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9B191A" w14:textId="77777777" w:rsidR="009631B4" w:rsidRPr="00835F9E" w:rsidRDefault="009631B4" w:rsidP="009631B4">
      <w:pPr>
        <w:pStyle w:val="Titolo100"/>
        <w:rPr>
          <w:lang w:val="it-IT"/>
        </w:rPr>
      </w:pPr>
      <w:bookmarkStart w:id="0" w:name="_Toc47702094"/>
      <w:r w:rsidRPr="00835F9E">
        <w:rPr>
          <w:lang w:val="it-IT"/>
        </w:rPr>
        <w:t xml:space="preserve">1 </w:t>
      </w:r>
      <w:proofErr w:type="spellStart"/>
      <w:r w:rsidRPr="00835F9E">
        <w:rPr>
          <w:lang w:val="it-IT"/>
        </w:rPr>
        <w:t>Introduction</w:t>
      </w:r>
      <w:bookmarkEnd w:id="0"/>
      <w:proofErr w:type="spellEnd"/>
    </w:p>
    <w:p w14:paraId="121EC2E7" w14:textId="77777777" w:rsidR="009631B4" w:rsidRPr="00835F9E" w:rsidRDefault="009631B4" w:rsidP="009631B4">
      <w:pPr>
        <w:pStyle w:val="author"/>
        <w:rPr>
          <w:lang w:val="it-IT"/>
        </w:rPr>
      </w:pPr>
      <w:r w:rsidRPr="00835F9E">
        <w:rPr>
          <w:lang w:val="it-IT"/>
        </w:rPr>
        <w:t xml:space="preserve">Paolo Rosa, Sergio Terzi and Bernd </w:t>
      </w:r>
      <w:proofErr w:type="spellStart"/>
      <w:r w:rsidRPr="00835F9E">
        <w:rPr>
          <w:lang w:val="it-IT"/>
        </w:rPr>
        <w:t>Kopacek</w:t>
      </w:r>
      <w:proofErr w:type="spellEnd"/>
    </w:p>
    <w:p w14:paraId="4127E432" w14:textId="77777777" w:rsidR="009631B4" w:rsidRPr="00F30959" w:rsidRDefault="009631B4" w:rsidP="009631B4">
      <w:pPr>
        <w:pStyle w:val="abstract"/>
        <w:rPr>
          <w:lang w:val="en-GB"/>
        </w:rPr>
      </w:pPr>
      <w:r w:rsidRPr="00F30959">
        <w:rPr>
          <w:b/>
          <w:lang w:val="en-GB"/>
        </w:rPr>
        <w:t>Abstract  </w:t>
      </w:r>
      <w:r>
        <w:rPr>
          <w:b/>
          <w:lang w:val="en-GB"/>
        </w:rPr>
        <w:t xml:space="preserve"> </w:t>
      </w:r>
      <w:r w:rsidRPr="00835F9E">
        <w:rPr>
          <w:lang w:val="en-GB"/>
        </w:rPr>
        <w:t>This chapter aims at clarifying the main research contents and presenting the main objective of the FENIX project. we briefly describe some fundamental concepts, like Circular Economy (CE), Industry 4.0 (I4.0) and Product-Service Systems (PSSs). All these contents are strictly connected in FENIX, since the project aims at demonstrating the benefits coming from the adoption of CE-related practices through a set of PSS-based business models supported by I4.0-based technologies.</w:t>
      </w:r>
    </w:p>
    <w:p w14:paraId="326A288F" w14:textId="77777777" w:rsidR="009631B4" w:rsidRPr="00835F9E" w:rsidRDefault="009631B4" w:rsidP="009631B4">
      <w:pPr>
        <w:pStyle w:val="affiliation"/>
        <w:ind w:left="0"/>
        <w:rPr>
          <w:rFonts w:cs="Times"/>
          <w:sz w:val="20"/>
          <w:lang w:val="it-IT"/>
        </w:rPr>
      </w:pPr>
      <w:r w:rsidRPr="00E9357F">
        <w:rPr>
          <w:rFonts w:cs="Times"/>
          <w:sz w:val="20"/>
          <w:lang w:val="it-IT"/>
        </w:rPr>
        <w:t xml:space="preserve">P. Rosa, </w:t>
      </w:r>
      <w:r w:rsidRPr="00835F9E">
        <w:rPr>
          <w:rFonts w:cs="Times"/>
          <w:sz w:val="20"/>
          <w:lang w:val="it-IT"/>
        </w:rPr>
        <w:t>S. Terzi</w:t>
      </w:r>
    </w:p>
    <w:p w14:paraId="2DA2B9FC" w14:textId="77777777" w:rsidR="009631B4" w:rsidRPr="00E9357F" w:rsidRDefault="009631B4" w:rsidP="009631B4">
      <w:pPr>
        <w:pStyle w:val="affiliation"/>
        <w:ind w:left="0"/>
        <w:rPr>
          <w:rFonts w:cs="Times"/>
          <w:sz w:val="20"/>
          <w:lang w:val="it-IT"/>
        </w:rPr>
      </w:pPr>
    </w:p>
    <w:p w14:paraId="56C5CFB0" w14:textId="77777777" w:rsidR="009631B4" w:rsidRPr="00E9357F" w:rsidRDefault="009631B4" w:rsidP="009631B4">
      <w:pPr>
        <w:pStyle w:val="affiliation"/>
        <w:ind w:left="0"/>
        <w:rPr>
          <w:rFonts w:cs="Times"/>
          <w:sz w:val="20"/>
          <w:lang w:val="it-IT"/>
        </w:rPr>
      </w:pPr>
      <w:r w:rsidRPr="00E9357F">
        <w:rPr>
          <w:rFonts w:cs="Times"/>
          <w:sz w:val="20"/>
          <w:lang w:val="it-IT"/>
        </w:rPr>
        <w:t xml:space="preserve">Department of Management, </w:t>
      </w:r>
      <w:proofErr w:type="spellStart"/>
      <w:r w:rsidRPr="00E9357F">
        <w:rPr>
          <w:rFonts w:cs="Times"/>
          <w:sz w:val="20"/>
          <w:lang w:val="it-IT"/>
        </w:rPr>
        <w:t>Economics</w:t>
      </w:r>
      <w:proofErr w:type="spellEnd"/>
      <w:r w:rsidRPr="00E9357F">
        <w:rPr>
          <w:rFonts w:cs="Times"/>
          <w:sz w:val="20"/>
          <w:lang w:val="it-IT"/>
        </w:rPr>
        <w:t xml:space="preserve"> and Industrial Engineering, Politecnico di Milano, Piazza L. da Vinci 32, 20133 Milan, </w:t>
      </w:r>
      <w:proofErr w:type="spellStart"/>
      <w:r w:rsidRPr="00E9357F">
        <w:rPr>
          <w:rFonts w:cs="Times"/>
          <w:sz w:val="20"/>
          <w:lang w:val="it-IT"/>
        </w:rPr>
        <w:t>Italy</w:t>
      </w:r>
      <w:proofErr w:type="spellEnd"/>
    </w:p>
    <w:p w14:paraId="7DBD764A" w14:textId="77777777" w:rsidR="009631B4" w:rsidRPr="00835F9E" w:rsidRDefault="009631B4" w:rsidP="009631B4">
      <w:pPr>
        <w:pStyle w:val="affiliation"/>
        <w:ind w:left="0"/>
        <w:rPr>
          <w:rFonts w:cs="Times"/>
          <w:sz w:val="20"/>
          <w:lang w:val="it-IT"/>
        </w:rPr>
      </w:pPr>
      <w:r w:rsidRPr="001F1520">
        <w:rPr>
          <w:rFonts w:cs="Times"/>
          <w:sz w:val="20"/>
          <w:lang w:val="it-IT"/>
        </w:rPr>
        <w:t xml:space="preserve">e-mail: </w:t>
      </w:r>
      <w:hyperlink r:id="rId8" w:history="1">
        <w:r w:rsidRPr="00363F68">
          <w:rPr>
            <w:rStyle w:val="Collegamentoipertestuale"/>
            <w:rFonts w:cs="Times"/>
            <w:sz w:val="20"/>
            <w:lang w:val="it-IT"/>
          </w:rPr>
          <w:t>paolo1.rosa@polimi.it</w:t>
        </w:r>
      </w:hyperlink>
      <w:r w:rsidRPr="001F1520">
        <w:rPr>
          <w:rFonts w:cs="Times"/>
          <w:sz w:val="20"/>
          <w:lang w:val="it-IT"/>
        </w:rPr>
        <w:t>;</w:t>
      </w:r>
      <w:r>
        <w:rPr>
          <w:rFonts w:cs="Times"/>
          <w:sz w:val="20"/>
          <w:lang w:val="it-IT"/>
        </w:rPr>
        <w:t xml:space="preserve"> </w:t>
      </w:r>
      <w:r w:rsidRPr="00835F9E">
        <w:rPr>
          <w:rFonts w:cs="Times"/>
          <w:sz w:val="20"/>
          <w:lang w:val="it-IT"/>
        </w:rPr>
        <w:t>e-mail: sergio.terzi@polimi.it</w:t>
      </w:r>
      <w:r>
        <w:rPr>
          <w:rFonts w:cs="Times"/>
          <w:sz w:val="20"/>
          <w:lang w:val="it-IT"/>
        </w:rPr>
        <w:t xml:space="preserve"> </w:t>
      </w:r>
    </w:p>
    <w:p w14:paraId="686FEF8A" w14:textId="77777777" w:rsidR="009631B4" w:rsidRPr="00835F9E" w:rsidRDefault="009631B4" w:rsidP="009631B4">
      <w:pPr>
        <w:pStyle w:val="affiliation"/>
        <w:rPr>
          <w:rFonts w:cs="Times"/>
          <w:sz w:val="20"/>
          <w:lang w:val="it-IT"/>
        </w:rPr>
      </w:pPr>
    </w:p>
    <w:p w14:paraId="29456850" w14:textId="77777777" w:rsidR="009631B4" w:rsidRPr="00835F9E" w:rsidRDefault="009631B4" w:rsidP="009631B4">
      <w:pPr>
        <w:pStyle w:val="affiliation"/>
        <w:ind w:left="0"/>
        <w:rPr>
          <w:rFonts w:cs="Times"/>
          <w:sz w:val="20"/>
          <w:lang w:val="en-GB"/>
        </w:rPr>
      </w:pPr>
      <w:r w:rsidRPr="00835F9E">
        <w:rPr>
          <w:rFonts w:cs="Times"/>
          <w:sz w:val="20"/>
          <w:lang w:val="en-GB"/>
        </w:rPr>
        <w:t xml:space="preserve">B. </w:t>
      </w:r>
      <w:proofErr w:type="spellStart"/>
      <w:r w:rsidRPr="00835F9E">
        <w:rPr>
          <w:rFonts w:cs="Times"/>
          <w:sz w:val="20"/>
          <w:lang w:val="en-GB"/>
        </w:rPr>
        <w:t>Kopacek</w:t>
      </w:r>
      <w:proofErr w:type="spellEnd"/>
    </w:p>
    <w:p w14:paraId="66BF7D1B" w14:textId="77777777" w:rsidR="009631B4" w:rsidRPr="00835F9E" w:rsidRDefault="009631B4" w:rsidP="009631B4">
      <w:pPr>
        <w:pStyle w:val="affiliation"/>
        <w:ind w:left="0"/>
        <w:rPr>
          <w:rFonts w:cs="Times"/>
          <w:sz w:val="20"/>
          <w:lang w:val="en-GB"/>
        </w:rPr>
      </w:pPr>
      <w:r w:rsidRPr="00835F9E">
        <w:rPr>
          <w:rFonts w:cs="Times"/>
          <w:sz w:val="20"/>
          <w:lang w:val="en-GB"/>
        </w:rPr>
        <w:t xml:space="preserve">SAT – Austrian Society for Systems Engineering and Automation, </w:t>
      </w:r>
      <w:proofErr w:type="spellStart"/>
      <w:r w:rsidRPr="00835F9E">
        <w:rPr>
          <w:rFonts w:cs="Times"/>
          <w:sz w:val="20"/>
          <w:lang w:val="en-GB"/>
        </w:rPr>
        <w:t>Beckmanngasse</w:t>
      </w:r>
      <w:proofErr w:type="spellEnd"/>
      <w:r w:rsidRPr="00835F9E">
        <w:rPr>
          <w:rFonts w:cs="Times"/>
          <w:sz w:val="20"/>
          <w:lang w:val="en-GB"/>
        </w:rPr>
        <w:t xml:space="preserve"> 51/28, A-1140 Vienna, Austria</w:t>
      </w:r>
    </w:p>
    <w:p w14:paraId="5B2F6FEA" w14:textId="77777777" w:rsidR="009631B4" w:rsidRPr="00835F9E" w:rsidRDefault="009631B4" w:rsidP="009631B4">
      <w:pPr>
        <w:pStyle w:val="affiliation"/>
        <w:ind w:left="0"/>
        <w:rPr>
          <w:rFonts w:cs="Times"/>
          <w:sz w:val="20"/>
          <w:lang w:val="it-IT"/>
        </w:rPr>
      </w:pPr>
      <w:r w:rsidRPr="00835F9E">
        <w:rPr>
          <w:rFonts w:cs="Times"/>
          <w:sz w:val="20"/>
          <w:lang w:val="it-IT"/>
        </w:rPr>
        <w:t>e-mail: bernd.kopacek@sat-research.at</w:t>
      </w:r>
    </w:p>
    <w:p w14:paraId="45E54E8E" w14:textId="77777777" w:rsidR="009631B4" w:rsidRPr="00835F9E" w:rsidRDefault="009631B4" w:rsidP="009631B4">
      <w:pPr>
        <w:rPr>
          <w:rFonts w:cs="Times"/>
          <w:lang w:val="it-IT"/>
        </w:rPr>
      </w:pPr>
    </w:p>
    <w:p w14:paraId="090382AB" w14:textId="77777777" w:rsidR="009631B4" w:rsidRPr="00835F9E" w:rsidRDefault="009631B4" w:rsidP="009631B4">
      <w:pPr>
        <w:pStyle w:val="heading1"/>
        <w:rPr>
          <w:lang w:val="en-GB"/>
        </w:rPr>
      </w:pPr>
      <w:bookmarkStart w:id="1" w:name="_Toc47702095"/>
      <w:r w:rsidRPr="00835F9E">
        <w:rPr>
          <w:lang w:val="en-GB"/>
        </w:rPr>
        <w:t>1.1 Circular Economy</w:t>
      </w:r>
      <w:bookmarkEnd w:id="1"/>
    </w:p>
    <w:p w14:paraId="66B88EDE" w14:textId="40A43004" w:rsidR="009631B4" w:rsidRPr="00835F9E" w:rsidRDefault="009631B4" w:rsidP="009631B4">
      <w:pPr>
        <w:spacing w:after="240" w:line="240" w:lineRule="auto"/>
        <w:rPr>
          <w:rFonts w:cs="Times"/>
        </w:rPr>
      </w:pPr>
      <w:r w:rsidRPr="00835F9E">
        <w:rPr>
          <w:rFonts w:cs="Times"/>
          <w:lang w:val="en-GB"/>
        </w:rPr>
        <w:t>Commonly agreed</w:t>
      </w:r>
      <w:r w:rsidRPr="00835F9E">
        <w:rPr>
          <w:rFonts w:cs="Times"/>
        </w:rPr>
        <w:t xml:space="preserve"> definitions of CE are those proposed by </w:t>
      </w:r>
      <w:r w:rsidRPr="00835F9E">
        <w:rPr>
          <w:rFonts w:cs="Times"/>
        </w:rPr>
        <w:fldChar w:fldCharType="begin" w:fldLock="1"/>
      </w:r>
      <w:r w:rsidR="0070633B">
        <w:rPr>
          <w:rFonts w:cs="Times"/>
        </w:rPr>
        <w:instrText>ADDIN CSL_CITATION {"citationItems":[{"id":"ITEM-1","itemData":{"DOI":"2012-04-03","ISBN":"1530-9290","ISSN":"10881980","PMID":"25246403","abstract":"This report is the first ever to look at the economic and business rationale for an accelerated transition towards a circular economy. The report was commissioned by the Ellen MacArthur Foundation with the support of its Founding Partners, B&amp;Q, BT, Cisco, National Grid and Renault. McKinsey &amp; Company, a global management consulting firm, provided the overall project management, developed the fact base and delivered the analytics. The report draws from the input and expertise of a wide range of academic and business leaders.","author":[{"dropping-particle":"","family":"The Ellen MacArthur Foundation","given":"","non-dropping-particle":"","parse-names":false,"suffix":""}],"id":"ITEM-1","issued":{"date-parts":[["2015"]]},"number-of-pages":"20","title":"Towards a Circular Economy: Business Rationale for an Accelerated Transition","type":"report"},"uris":["http://www.mendeley.com/documents/?uuid=971e4fa0-7fe9-4e1f-b452-62303eeda0d3"]}],"mendeley":{"formattedCitation":"[1]","plainTextFormattedCitation":"[1]","previouslyFormattedCitation":"(The Ellen MacArthur Foundation, 2015)"},"properties":{"noteIndex":0},"schema":"https://github.com/citation-style-language/schema/raw/master/csl-citation.json"}</w:instrText>
      </w:r>
      <w:r w:rsidRPr="00835F9E">
        <w:rPr>
          <w:rFonts w:cs="Times"/>
        </w:rPr>
        <w:fldChar w:fldCharType="separate"/>
      </w:r>
      <w:r w:rsidR="0070633B" w:rsidRPr="0070633B">
        <w:rPr>
          <w:rFonts w:cs="Times"/>
          <w:noProof/>
        </w:rPr>
        <w:t>[1]</w:t>
      </w:r>
      <w:r w:rsidRPr="00835F9E">
        <w:rPr>
          <w:rFonts w:cs="Times"/>
        </w:rPr>
        <w:fldChar w:fldCharType="end"/>
      </w:r>
      <w:r w:rsidRPr="00835F9E">
        <w:rPr>
          <w:rFonts w:cs="Times"/>
        </w:rPr>
        <w:t xml:space="preserve"> and </w:t>
      </w:r>
      <w:r w:rsidRPr="00835F9E">
        <w:rPr>
          <w:rFonts w:cs="Times"/>
        </w:rPr>
        <w:fldChar w:fldCharType="begin" w:fldLock="1"/>
      </w:r>
      <w:r w:rsidR="0070633B">
        <w:rPr>
          <w:rFonts w:cs="Times"/>
        </w:rPr>
        <w:instrText>ADDIN CSL_CITATION {"citationItems":[{"id":"ITEM-1","itemData":{"DOI":"10.1016/j.jclepro.2012.11.020","ISBN":"9789189301795","ISSN":"09596526","abstract":"Circular economy (CE) is a sustainable development strategy proposed by the central government of China, aiming to improve the efficiency of materials and energy use. This strategy, formally accepted in 2002, has been implemented and developed in a number of pilot areas in China. Scholars have produced rich studies in regard with the CE from its fundamental concept to its practical implementation. Successful enforcement of a CE can be seen as a way for China to tackle its urgent problem of environmental degradation and source scarcity. Given its importance, we provide a holistic literature review on the CE, aiming to provide a panorama of how this strategy has been developed and implemented. The review covers the concept, current practices, and assessment of the CE. To have a more numeric concept of how it has developed, we look at the performance of the CE in Dalian after its implementation of relevant policies and compare the changes with three other pilot cities, Beijing, Shanghai and Tianjin. Based on an examination of the statistical results, we identified the underlying problems and challenges for this national strategy. Finally, we offer a conclusion regarding CE's development as well as policy recommendations for future improvement. © 2012 Elsevier Ltd. All rights reserved.","author":[{"dropping-particle":"","family":"Su","given":"Biwei","non-dropping-particle":"","parse-names":false,"suffix":""},{"dropping-particle":"","family":"Heshmati","given":"Almas","non-dropping-particle":"","parse-names":false,"suffix":""},{"dropping-particle":"","family":"Geng","given":"Yong","non-dropping-particle":"","parse-names":false,"suffix":""},{"dropping-particle":"","family":"Yu","given":"Xiaoman","non-dropping-particle":"","parse-names":false,"suffix":""}],"container-title":"Journal of Cleaner Production","id":"ITEM-1","issued":{"date-parts":[["2013"]]},"page":"215-227","publisher":"Elsevier Ltd","title":"A review of the circular economy in China: Moving from rhetoric to implementation","type":"article-journal","volume":"42"},"uris":["http://www.mendeley.com/documents/?uuid=c56b5b3e-b865-44de-91d2-d02dc22ca517"]}],"mendeley":{"formattedCitation":"[2]","plainTextFormattedCitation":"[2]","previouslyFormattedCitation":"(Su et al., 2013)"},"properties":{"noteIndex":0},"schema":"https://github.com/citation-style-language/schema/raw/master/csl-citation.json"}</w:instrText>
      </w:r>
      <w:r w:rsidRPr="00835F9E">
        <w:rPr>
          <w:rFonts w:cs="Times"/>
        </w:rPr>
        <w:fldChar w:fldCharType="separate"/>
      </w:r>
      <w:r w:rsidR="0070633B" w:rsidRPr="0070633B">
        <w:rPr>
          <w:rFonts w:cs="Times"/>
          <w:noProof/>
        </w:rPr>
        <w:t>[2]</w:t>
      </w:r>
      <w:r w:rsidRPr="00835F9E">
        <w:rPr>
          <w:rFonts w:cs="Times"/>
        </w:rPr>
        <w:fldChar w:fldCharType="end"/>
      </w:r>
      <w:r w:rsidRPr="00835F9E">
        <w:rPr>
          <w:rFonts w:cs="Times"/>
        </w:rPr>
        <w:t xml:space="preserve">. First, the CE is defined as a global economic model to minimize the consumption of finite resources, by focusing on intelligent design of materials, products, and systems. Second, the CE aims at overcoming the dominant linear (e.g., take, make, and dispose) economy model (i.e., a traditional open-ended economy model developed with no built-in tendency to recycle; </w:t>
      </w:r>
      <w:r w:rsidRPr="00835F9E">
        <w:rPr>
          <w:rFonts w:cs="Times"/>
        </w:rPr>
        <w:fldChar w:fldCharType="begin" w:fldLock="1"/>
      </w:r>
      <w:r w:rsidR="0070633B">
        <w:rPr>
          <w:rFonts w:cs="Times"/>
        </w:rPr>
        <w:instrText>ADDIN CSL_CITATION {"citationItems":[{"id":"ITEM-1","itemData":{"author":[{"dropping-particle":"","family":"Stahel","given":"Walter R.","non-dropping-particle":"","parse-names":false,"suffix":""},{"dropping-particle":"","family":"Reday-Mulvey","given":"Genevieve","non-dropping-particle":"","parse-names":false,"suffix":""}],"edition":"1st","id":"ITEM-1","issued":{"date-parts":[["1981"]]},"publisher":"Vantage Press","publisher-place":"New York","title":"Jobs for tomorrow: the potential for substituting manpower for energy","type":"book"},"uris":["http://www.mendeley.com/documents/?uuid=bec7358b-72b9-43a4-9569-299a1a846640"]},{"id":"ITEM-2","itemData":{"DOI":"10.1016/0308-521X(91)90051-B","author":[{"dropping-particle":"","family":"Pearce","given":"David W.","non-dropping-particle":"","parse-names":false,"suffix":""},{"dropping-particle":"","family":"Turner","given":"R. Kerry","non-dropping-particle":"","parse-names":false,"suffix":""}],"container-title":"Land Economics","id":"ITEM-2","issue":"2","issued":{"date-parts":[["1991"]]},"page":"272-276","title":"Economics of natural resources and the environment","type":"article-journal","volume":"67"},"uris":["http://www.mendeley.com/documents/?uuid=9cdf1c13-804a-4b0f-9b72-bc0e6e93f732"]}],"mendeley":{"formattedCitation":"[3], [4]","plainTextFormattedCitation":"[3], [4]","previouslyFormattedCitation":"(Pearce &amp; Turner, 1991; Stahel &amp; Reday-Mulvey, 1981)"},"properties":{"noteIndex":0},"schema":"https://github.com/citation-style-language/schema/raw/master/csl-citation.json"}</w:instrText>
      </w:r>
      <w:r w:rsidRPr="00835F9E">
        <w:rPr>
          <w:rFonts w:cs="Times"/>
        </w:rPr>
        <w:fldChar w:fldCharType="separate"/>
      </w:r>
      <w:r w:rsidR="0070633B" w:rsidRPr="0070633B">
        <w:rPr>
          <w:rFonts w:cs="Times"/>
          <w:noProof/>
        </w:rPr>
        <w:t>[3], [4]</w:t>
      </w:r>
      <w:r w:rsidRPr="00835F9E">
        <w:rPr>
          <w:rFonts w:cs="Times"/>
        </w:rPr>
        <w:fldChar w:fldCharType="end"/>
      </w:r>
      <w:r w:rsidRPr="00835F9E">
        <w:rPr>
          <w:rFonts w:cs="Times"/>
        </w:rPr>
        <w:t xml:space="preserve">). However, only in the last few years has the relevance of the CE been amplified worldwide </w:t>
      </w:r>
      <w:r w:rsidRPr="00835F9E">
        <w:rPr>
          <w:rFonts w:cs="Times"/>
        </w:rPr>
        <w:fldChar w:fldCharType="begin" w:fldLock="1"/>
      </w:r>
      <w:r w:rsidR="0070633B">
        <w:rPr>
          <w:rFonts w:cs="Times"/>
        </w:rPr>
        <w:instrText>ADDIN CSL_CITATION {"citationItems":[{"id":"ITEM-1","itemData":{"ISBN":"9789280732672","author":[{"dropping-particle":"","family":"Reuter","given":"Markus A.","non-dropping-particle":"","parse-names":false,"suffix":""},{"dropping-particle":"","family":"Hudson","given":"Christian","non-dropping-particle":"","parse-names":false,"suffix":""},{"dropping-particle":"","family":"Schaik","given":"Antoinette","non-dropping-particle":"van","parse-names":false,"suffix":""},{"dropping-particle":"","family":"Heiskanen","given":"Kari","non-dropping-particle":"","parse-names":false,"suffix":""},{"dropping-particle":"","family":"Meskers","given":"Christina","non-dropping-particle":"","parse-names":false,"suffix":""},{"dropping-particle":"","family":"Hagelüken","given":"Christian","non-dropping-particle":"","parse-names":false,"suffix":""}],"id":"ITEM-1","issued":{"date-parts":[["2013"]]},"number-of-pages":"320","publisher":"UNEP - United Nations Environment Programme","title":"Metal Recycling: Opportunities, Limits, Infrastructure, A report of the Working Group on the Global Metal Flows to the International Resource Panel","type":"report"},"uris":["http://www.mendeley.com/documents/?uuid=c64e9636-29c6-4bbd-a95c-d81eb96b77cf","http://www.mendeley.com/documents/?uuid=5de78539-9143-4711-a147-135cc8d101d2"]}],"mendeley":{"formattedCitation":"[5]","plainTextFormattedCitation":"[5]","previouslyFormattedCitation":"(Reuter et al., 2013)"},"properties":{"noteIndex":0},"schema":"https://github.com/citation-style-language/schema/raw/master/csl-citation.json"}</w:instrText>
      </w:r>
      <w:r w:rsidRPr="00835F9E">
        <w:rPr>
          <w:rFonts w:cs="Times"/>
        </w:rPr>
        <w:fldChar w:fldCharType="separate"/>
      </w:r>
      <w:r w:rsidR="0070633B" w:rsidRPr="0070633B">
        <w:rPr>
          <w:rFonts w:cs="Times"/>
          <w:noProof/>
        </w:rPr>
        <w:t>[5]</w:t>
      </w:r>
      <w:r w:rsidRPr="00835F9E">
        <w:rPr>
          <w:rFonts w:cs="Times"/>
        </w:rPr>
        <w:fldChar w:fldCharType="end"/>
      </w:r>
      <w:r w:rsidRPr="00835F9E">
        <w:rPr>
          <w:rFonts w:cs="Times"/>
        </w:rPr>
        <w:t xml:space="preserve">. Before the CE was introduced, a traditional (linear) lifecycle was the only process followed </w:t>
      </w:r>
      <w:r w:rsidRPr="00835F9E">
        <w:rPr>
          <w:rFonts w:cs="Times"/>
        </w:rPr>
        <w:lastRenderedPageBreak/>
        <w:t xml:space="preserve">during the conceptualization, design, development, use, and disposal of products </w:t>
      </w:r>
      <w:r w:rsidRPr="00835F9E">
        <w:rPr>
          <w:rFonts w:cs="Times"/>
        </w:rPr>
        <w:fldChar w:fldCharType="begin" w:fldLock="1"/>
      </w:r>
      <w:r w:rsidR="0070633B">
        <w:rPr>
          <w:rFonts w:cs="Times"/>
        </w:rPr>
        <w:instrText>ADDIN CSL_CITATION {"citationItems":[{"id":"ITEM-1","itemData":{"DOI":"10.1016/j.jclepro.2012.11.020","ISBN":"9789189301795","ISSN":"09596526","abstract":"Circular economy (CE) is a sustainable development strategy proposed by the central government of China, aiming to improve the efficiency of materials and energy use. This strategy, formally accepted in 2002, has been implemented and developed in a number of pilot areas in China. Scholars have produced rich studies in regard with the CE from its fundamental concept to its practical implementation. Successful enforcement of a CE can be seen as a way for China to tackle its urgent problem of environmental degradation and source scarcity. Given its importance, we provide a holistic literature review on the CE, aiming to provide a panorama of how this strategy has been developed and implemented. The review covers the concept, current practices, and assessment of the CE. To have a more numeric concept of how it has developed, we look at the performance of the CE in Dalian after its implementation of relevant policies and compare the changes with three other pilot cities, Beijing, Shanghai and Tianjin. Based on an examination of the statistical results, we identified the underlying problems and challenges for this national strategy. Finally, we offer a conclusion regarding CE's development as well as policy recommendations for future improvement. © 2012 Elsevier Ltd. All rights reserved.","author":[{"dropping-particle":"","family":"Su","given":"Biwei","non-dropping-particle":"","parse-names":false,"suffix":""},{"dropping-particle":"","family":"Heshmati","given":"Almas","non-dropping-particle":"","parse-names":false,"suffix":""},{"dropping-particle":"","family":"Geng","given":"Yong","non-dropping-particle":"","parse-names":false,"suffix":""},{"dropping-particle":"","family":"Yu","given":"Xiaoman","non-dropping-particle":"","parse-names":false,"suffix":""}],"container-title":"Journal of Cleaner Production","id":"ITEM-1","issued":{"date-parts":[["2013"]]},"page":"215-227","publisher":"Elsevier Ltd","title":"A review of the circular economy in China: Moving from rhetoric to implementation","type":"article-journal","volume":"42"},"uris":["http://www.mendeley.com/documents/?uuid=9de1fb0d-fb67-42c6-9afb-cbc7263e657e","http://www.mendeley.com/documents/?uuid=c56b5b3e-b865-44de-91d2-d02dc22ca517"]}],"mendeley":{"formattedCitation":"[2]","plainTextFormattedCitation":"[2]","previouslyFormattedCitation":"(Su et al., 2013)"},"properties":{"noteIndex":0},"schema":"https://github.com/citation-style-language/schema/raw/master/csl-citation.json"}</w:instrText>
      </w:r>
      <w:r w:rsidRPr="00835F9E">
        <w:rPr>
          <w:rFonts w:cs="Times"/>
        </w:rPr>
        <w:fldChar w:fldCharType="separate"/>
      </w:r>
      <w:r w:rsidR="0070633B" w:rsidRPr="0070633B">
        <w:rPr>
          <w:rFonts w:cs="Times"/>
          <w:noProof/>
        </w:rPr>
        <w:t>[2]</w:t>
      </w:r>
      <w:r w:rsidRPr="00835F9E">
        <w:rPr>
          <w:rFonts w:cs="Times"/>
        </w:rPr>
        <w:fldChar w:fldCharType="end"/>
      </w:r>
      <w:r w:rsidRPr="00835F9E">
        <w:rPr>
          <w:rFonts w:cs="Times"/>
        </w:rPr>
        <w:t>. Progressively, closed-loop patterns—completely focused on balancing economic, environmental, and societal impacts—have substituted old industrial practices.</w:t>
      </w:r>
    </w:p>
    <w:p w14:paraId="514DD60E" w14:textId="77777777" w:rsidR="009631B4" w:rsidRPr="00835F9E" w:rsidRDefault="009631B4" w:rsidP="009631B4">
      <w:pPr>
        <w:pStyle w:val="heading1"/>
        <w:rPr>
          <w:lang w:val="en-GB"/>
        </w:rPr>
      </w:pPr>
      <w:bookmarkStart w:id="2" w:name="_Toc47702096"/>
      <w:r w:rsidRPr="00835F9E">
        <w:rPr>
          <w:lang w:val="en-GB"/>
        </w:rPr>
        <w:t>1.2 Industry 4.0</w:t>
      </w:r>
      <w:bookmarkEnd w:id="2"/>
    </w:p>
    <w:p w14:paraId="3219B725" w14:textId="760BD872" w:rsidR="009631B4" w:rsidRPr="00835F9E" w:rsidRDefault="009631B4" w:rsidP="009631B4">
      <w:pPr>
        <w:spacing w:line="240" w:lineRule="auto"/>
        <w:rPr>
          <w:rFonts w:cs="Times"/>
        </w:rPr>
      </w:pPr>
      <w:r w:rsidRPr="00835F9E">
        <w:rPr>
          <w:rFonts w:cs="Times"/>
          <w:lang w:val="en-GB"/>
        </w:rPr>
        <w:t>Differently from CE</w:t>
      </w:r>
      <w:r w:rsidRPr="00835F9E">
        <w:rPr>
          <w:rFonts w:cs="Times"/>
        </w:rPr>
        <w:t xml:space="preserve">, there is no consensus among experts about which technologies can be classified under the I4.0 umbrella. Thus, we decided to follow an alternative strategy during the implementation of this work. Initially, they adopted the nine pillars described by </w:t>
      </w:r>
      <w:r w:rsidRPr="00835F9E">
        <w:rPr>
          <w:rFonts w:cs="Times"/>
        </w:rPr>
        <w:fldChar w:fldCharType="begin" w:fldLock="1"/>
      </w:r>
      <w:r w:rsidR="0070633B">
        <w:rPr>
          <w:rFonts w:cs="Times"/>
        </w:rPr>
        <w:instrText>ADDIN CSL_CITATION {"citationItems":[{"id":"ITEM-1","itemData":{"DOI":"10.1007/s12599-014-0334-4","ISBN":"9783935089296","ISSN":"9783935089296","PMID":"1556941973","abstract":"Industry 4.0 will transform the design, manufacture, operation, and service of products and production systems. Connectivity and interaction among parts, machines, and humans will make production systems as much as 30 percent faster and 25 percent more efficient and elevate mass customization to new levels.","author":[{"dropping-particle":"","family":"Rüßmann","given":"Michael","non-dropping-particle":"","parse-names":false,"suffix":""},{"dropping-particle":"","family":"Lorenz","given":"Markus","non-dropping-particle":"","parse-names":false,"suffix":""},{"dropping-particle":"","family":"Gerbert","given":"Philipp","non-dropping-particle":"","parse-names":false,"suffix":""},{"dropping-particle":"","family":"Waldner","given":"Manuela","non-dropping-particle":"","parse-names":false,"suffix":""},{"dropping-particle":"","family":"Justus","given":"Jan","non-dropping-particle":"","parse-names":false,"suffix":""},{"dropping-particle":"","family":"Engel","given":"Pascal","non-dropping-particle":"","parse-names":false,"suffix":""},{"dropping-particle":"","family":"Harnisch","given":"Michael","non-dropping-particle":"","parse-names":false,"suffix":""}],"id":"ITEM-1","issue":"April","issued":{"date-parts":[["2015"]]},"title":"Industry 4.0 - The Future of Productivity and Growth in Manufacturing Industries","type":"report"},"uris":["http://www.mendeley.com/documents/?uuid=d823195c-6079-4fb5-9874-e09c50285895"]}],"mendeley":{"formattedCitation":"[6]","plainTextFormattedCitation":"[6]","previouslyFormattedCitation":"(Rüßmann et al., 2015)"},"properties":{"noteIndex":0},"schema":"https://github.com/citation-style-language/schema/raw/master/csl-citation.json"}</w:instrText>
      </w:r>
      <w:r w:rsidRPr="00835F9E">
        <w:rPr>
          <w:rFonts w:cs="Times"/>
        </w:rPr>
        <w:fldChar w:fldCharType="separate"/>
      </w:r>
      <w:r w:rsidR="0070633B" w:rsidRPr="0070633B">
        <w:rPr>
          <w:rFonts w:cs="Times"/>
          <w:noProof/>
        </w:rPr>
        <w:t>[6]</w:t>
      </w:r>
      <w:r w:rsidRPr="00835F9E">
        <w:rPr>
          <w:rFonts w:cs="Times"/>
        </w:rPr>
        <w:fldChar w:fldCharType="end"/>
      </w:r>
      <w:r w:rsidRPr="00835F9E">
        <w:rPr>
          <w:rFonts w:cs="Times"/>
        </w:rPr>
        <w:t xml:space="preserve"> as keywords to exploit during the literature assessment. Basing on the resulting literature gathered from the web, only five of the nine pillars were further assessed. This way, cyber-physical systems (CPSs), the IoT, big data and analytics (BDA), additive manufacturing (AM), and simulation were identified as the main I4.0-based technologies related to the CE. For clarification, brief descriptions of these four technologies are provided. First, CPSs are an integration of computation and physical processes. Embedded computers and networks monitor and control the physical process, usually with feedback loops, where physical processes affect computations, and vice versa </w:t>
      </w:r>
      <w:r w:rsidRPr="00835F9E">
        <w:rPr>
          <w:rFonts w:cs="Times"/>
        </w:rPr>
        <w:fldChar w:fldCharType="begin" w:fldLock="1"/>
      </w:r>
      <w:r w:rsidR="0070633B">
        <w:rPr>
          <w:rFonts w:cs="Times"/>
        </w:rPr>
        <w:instrText>ADDIN CSL_CITATION {"citationItems":[{"id":"ITEM-1","itemData":{"DOI":"10.1109/ISORC.2008.25","ISBN":"978-0-7695-3132-8","ISSN":"1555-0885","author":[{"dropping-particle":"","family":"Lee","given":"Jay","non-dropping-particle":"","parse-names":false,"suffix":""},{"dropping-particle":"","family":"Bagheri","given":"Behrad","non-dropping-particle":"","parse-names":false,"suffix":""},{"dropping-particle":"","family":"Kao","given":"Hung-An","non-dropping-particle":"","parse-names":false,"suffix":""}],"container-title":"Manufacturing Letters","id":"ITEM-1","issued":{"date-parts":[["2015"]]},"page":"18-23","title":"A Cyber-Physical Systems architecture for Industry 4.0-based manufacturing systems","type":"article-journal","volume":"3"},"uris":["http://www.mendeley.com/documents/?uuid=01650a99-886b-45fc-bcd1-109732f72b6a","http://www.mendeley.com/documents/?uuid=173440bc-7316-4c9b-947f-336a12fd973c"]}],"mendeley":{"formattedCitation":"[7]","plainTextFormattedCitation":"[7]","previouslyFormattedCitation":"(Lee et al., 2015)"},"properties":{"noteIndex":0},"schema":"https://github.com/citation-style-language/schema/raw/master/csl-citation.json"}</w:instrText>
      </w:r>
      <w:r w:rsidRPr="00835F9E">
        <w:rPr>
          <w:rFonts w:cs="Times"/>
        </w:rPr>
        <w:fldChar w:fldCharType="separate"/>
      </w:r>
      <w:r w:rsidR="0070633B" w:rsidRPr="0070633B">
        <w:rPr>
          <w:rFonts w:cs="Times"/>
          <w:noProof/>
        </w:rPr>
        <w:t>[7]</w:t>
      </w:r>
      <w:r w:rsidRPr="00835F9E">
        <w:rPr>
          <w:rFonts w:cs="Times"/>
        </w:rPr>
        <w:fldChar w:fldCharType="end"/>
      </w:r>
      <w:r w:rsidRPr="00835F9E">
        <w:rPr>
          <w:rFonts w:cs="Times"/>
        </w:rPr>
        <w:t xml:space="preserve">. Second, the IoT are technologies that allow interaction and cooperation among people, devices, things, or objects through the use of modern wireless telecommunications, such as radio frequency identification (RFID), sensors, tags, actuators, and mobile phones </w:t>
      </w:r>
      <w:r w:rsidRPr="00835F9E">
        <w:rPr>
          <w:rFonts w:cs="Times"/>
        </w:rPr>
        <w:fldChar w:fldCharType="begin" w:fldLock="1"/>
      </w:r>
      <w:r w:rsidR="0070633B">
        <w:rPr>
          <w:rFonts w:cs="Times"/>
        </w:rPr>
        <w:instrText>ADDIN CSL_CITATION {"citationItems":[{"id":"ITEM-1","itemData":{"DOI":"10.23919/PICMET.2017.8125369","ISBN":"9781890843366","abstract":"Demands towards sustainable choices in business operations are increasing and more influential solutions are required. This means changes and development of innovations that allow the creation of new markets and value networks by combining new set of sustainability -driven values-finding disruptive innovations for sustainability. Increased digitalization is seen to provide multiple value creation mechanisms and possibilities by enhancing the more effective use of resources. The emergence of IOT (Internet of Things) has connected objects (e.g. physical devices, buildings and vehicles) to existing network of information. IOT can work as a trigger for creation of new markets and value networks by connecting existing information, networked economies and societies together in a new way. Expectations towards IOT solutions are high and they are expected to revolutionize the business markets by promoting the emergence of disruptive innovations for sustainability e.g. in healthcare and transportation solutions, smart cities, intelligent energy services and circular economy. The study focuses on reviewing the impact of IOT in developing these innovations aiming to foster disruptive sustainable change.","author":[{"dropping-particle":"","family":"Nasiri","given":"Mina","non-dropping-particle":"","parse-names":false,"suffix":""},{"dropping-particle":"","family":"Tura","given":"Nina","non-dropping-particle":"","parse-names":false,"suffix":""},{"dropping-particle":"","family":"Ojanen","given":"Ville","non-dropping-particle":"","parse-names":false,"suffix":""}],"container-title":"PICMET '17 - Portland International Conference on Management of Engineering and Technology","id":"ITEM-1","issued":{"date-parts":[["2017"]]},"page":"1-10","title":"Developing disruptive innovations for sustainability: A review on Impact of Internet of Things (IOT)","type":"paper-conference"},"uris":["http://www.mendeley.com/documents/?uuid=0e18a5f9-1ab9-4285-81be-ba2d37572eeb","http://www.mendeley.com/documents/?uuid=cbf1c8a8-5319-48ae-93b3-aa37bb161482"]}],"mendeley":{"formattedCitation":"[8]","plainTextFormattedCitation":"[8]","previouslyFormattedCitation":"(Nasiri et al., 2017)"},"properties":{"noteIndex":0},"schema":"https://github.com/citation-style-language/schema/raw/master/csl-citation.json"}</w:instrText>
      </w:r>
      <w:r w:rsidRPr="00835F9E">
        <w:rPr>
          <w:rFonts w:cs="Times"/>
        </w:rPr>
        <w:fldChar w:fldCharType="separate"/>
      </w:r>
      <w:r w:rsidR="0070633B" w:rsidRPr="0070633B">
        <w:rPr>
          <w:rFonts w:cs="Times"/>
          <w:noProof/>
        </w:rPr>
        <w:t>[8]</w:t>
      </w:r>
      <w:r w:rsidRPr="00835F9E">
        <w:rPr>
          <w:rFonts w:cs="Times"/>
        </w:rPr>
        <w:fldChar w:fldCharType="end"/>
      </w:r>
      <w:r w:rsidRPr="00835F9E">
        <w:rPr>
          <w:rFonts w:cs="Times"/>
        </w:rPr>
        <w:t xml:space="preserve">. Third, BDA is the application of advanced data analysis techniques for managing big datasets </w:t>
      </w:r>
      <w:r w:rsidRPr="00835F9E">
        <w:rPr>
          <w:rFonts w:cs="Times"/>
        </w:rPr>
        <w:fldChar w:fldCharType="begin" w:fldLock="1"/>
      </w:r>
      <w:r w:rsidR="0070633B">
        <w:rPr>
          <w:rFonts w:cs="Times"/>
        </w:rPr>
        <w:instrText>ADDIN CSL_CITATION {"citationItems":[{"id":"ITEM-1","itemData":{"DOI":"10.1016/j.procir.2017.03.319","ISBN":"22128271 (ISSN)","ISSN":"22128271","abstract":"Redistributed manufacturing (RdM) refers to manufacturing business models, strategies, systems and technologies that change the economics and organization of manufacturing, particularly related to location and scale. Small-scale manufacturing has the potential to help tailor products to satisfy the specific needs of consumers different in terms of geographical location, cultural roots, improve sustainability and drive the society towards circular economy. While RdM has the great potential to deliver this, currently, very little has been understood on how RdM could help SMEs for gaining economic benefits due to the constraint of their business model, lack of understanding on customers, limited resource commitment on R&amp;D, marketing and sales, supply chain integration, etc. Similarly user-driven design and customer-insights delivered through 'big data' analytics has the potentially to be highly beneficial for manufacturing SME and little is known of how they can be combined with RdM to benefit SMEs. Hence, they may impose risks on the business and operation of SMEs should poor choices be made or systems be implemented badly. The economic importance of SMEs within the UK and Europe is long established with manufacturing SMEs accounting for 60% of all private sector jobs in the UK. Within the European Union the overwhelming majority of companies (trading in the non-financial sectors) were SMEs (99.8%), employing 89.7 million people (67.1% of the workforce). This paper reports some of the results of an initial exploratory survey of manufacturing SMEs within the United Kingdom. Focusing on their background and status, and their current understanding and interests in RdM, big customer analytics and related topics.","author":[{"dropping-particle":"","family":"Soroka","given":"Anthony","non-dropping-particle":"","parse-names":false,"suffix":""},{"dropping-particle":"","family":"Liu","given":"Ying","non-dropping-particle":"","parse-names":false,"suffix":""},{"dropping-particle":"","family":"Han","given":"Liangxiu","non-dropping-particle":"","parse-names":false,"suffix":""},{"dropping-particle":"","family":"Haleem","given":"Muhammad Salman","non-dropping-particle":"","parse-names":false,"suffix":""}],"container-title":"Procedia CIRP","id":"ITEM-1","issued":{"date-parts":[["2017"]]},"page":"692-697","publisher":"The Author(s)","title":"Big Data Driven Customer Insights for SMEs in Redistributed Manufacturing","type":"article-journal","volume":"63"},"uris":["http://www.mendeley.com/documents/?uuid=8e8b19eb-6565-4878-a3e1-cc4e63edab75","http://www.mendeley.com/documents/?uuid=74b49608-a2ab-4545-b967-b9fa35f927ef"]}],"mendeley":{"formattedCitation":"[9]","plainTextFormattedCitation":"[9]","previouslyFormattedCitation":"(Soroka et al., 2017)"},"properties":{"noteIndex":0},"schema":"https://github.com/citation-style-language/schema/raw/master/csl-citation.json"}</w:instrText>
      </w:r>
      <w:r w:rsidRPr="00835F9E">
        <w:rPr>
          <w:rFonts w:cs="Times"/>
        </w:rPr>
        <w:fldChar w:fldCharType="separate"/>
      </w:r>
      <w:r w:rsidR="0070633B" w:rsidRPr="0070633B">
        <w:rPr>
          <w:rFonts w:cs="Times"/>
          <w:noProof/>
        </w:rPr>
        <w:t>[9]</w:t>
      </w:r>
      <w:r w:rsidRPr="00835F9E">
        <w:rPr>
          <w:rFonts w:cs="Times"/>
        </w:rPr>
        <w:fldChar w:fldCharType="end"/>
      </w:r>
      <w:r w:rsidRPr="00835F9E">
        <w:rPr>
          <w:rFonts w:cs="Times"/>
        </w:rPr>
        <w:t xml:space="preserve">. Fourth, AM describes a suite of technologies that allow the production of a growing spectrum of goods via the layering or 3D printing of materials </w:t>
      </w:r>
      <w:r w:rsidRPr="00835F9E">
        <w:rPr>
          <w:rFonts w:cs="Times"/>
        </w:rPr>
        <w:fldChar w:fldCharType="begin" w:fldLock="1"/>
      </w:r>
      <w:r w:rsidR="0070633B">
        <w:rPr>
          <w:rFonts w:cs="Times"/>
        </w:rPr>
        <w:instrText>ADDIN CSL_CITATION {"citationItems":[{"id":"ITEM-1","itemData":{"DOI":"10.1115/1.1355029","ISBN":"15309827","ISSN":"15309827","abstract":"This paper reviews the emerging field of layered manufacturing. This field is little over 10 years old but a significant amount of research has been conducted and results to date are quite promising. We consider three broad topics namely, design systems for heterogeneous objects, layered manufacturing processes, and process planning techniques. Several applications/examples are included in the course of the survey and limitations of current technology identified. We conclude with some possibilities for the future.","author":[{"dropping-particle":"","family":"Dutta","given":"Debasish","non-dropping-particle":"","parse-names":false,"suffix":""},{"dropping-particle":"","family":"Prinz","given":"Fritz B.","non-dropping-particle":"","parse-names":false,"suffix":""},{"dropping-particle":"","family":"Rosen","given":"David","non-dropping-particle":"","parse-names":false,"suffix":""},{"dropping-particle":"","family":"Weiss","given":"Lee","non-dropping-particle":"","parse-names":false,"suffix":""}],"container-title":"Journal of Computing and Information Science in Engineering","id":"ITEM-1","issued":{"date-parts":[["2001"]]},"page":"60-71","title":"Layered Manufacturing: Current Status and Future Trends","type":"article-journal","volume":"1"},"uris":["http://www.mendeley.com/documents/?uuid=48bb2f29-53f7-47e8-9c15-5966bbe7cb9b","http://www.mendeley.com/documents/?uuid=ca58c8bc-1cf2-4b85-aac2-79a64b63d010"]}],"mendeley":{"formattedCitation":"[10]","plainTextFormattedCitation":"[10]","previouslyFormattedCitation":"(Dutta et al., 2001)"},"properties":{"noteIndex":0},"schema":"https://github.com/citation-style-language/schema/raw/master/csl-citation.json"}</w:instrText>
      </w:r>
      <w:r w:rsidRPr="00835F9E">
        <w:rPr>
          <w:rFonts w:cs="Times"/>
        </w:rPr>
        <w:fldChar w:fldCharType="separate"/>
      </w:r>
      <w:r w:rsidR="0070633B" w:rsidRPr="0070633B">
        <w:rPr>
          <w:rFonts w:cs="Times"/>
          <w:noProof/>
        </w:rPr>
        <w:t>[10]</w:t>
      </w:r>
      <w:r w:rsidRPr="00835F9E">
        <w:rPr>
          <w:rFonts w:cs="Times"/>
        </w:rPr>
        <w:fldChar w:fldCharType="end"/>
      </w:r>
      <w:r w:rsidRPr="00835F9E">
        <w:rPr>
          <w:rFonts w:cs="Times"/>
        </w:rPr>
        <w:t>. Finally, simulations consider a wide range of mathematical programming techniques to achieve purposes related to CE and I4.0 paradigms. What is rarely assessed by the literature is the relation between I4.0 and the CE, and their reciprocal effect on the overall performance of a company.</w:t>
      </w:r>
    </w:p>
    <w:p w14:paraId="1F93DB0A" w14:textId="77777777" w:rsidR="009631B4" w:rsidRPr="00835F9E" w:rsidRDefault="009631B4" w:rsidP="009631B4">
      <w:pPr>
        <w:pStyle w:val="heading1"/>
        <w:rPr>
          <w:lang w:val="en-GB"/>
        </w:rPr>
      </w:pPr>
      <w:bookmarkStart w:id="3" w:name="_Toc47702097"/>
      <w:r w:rsidRPr="00835F9E">
        <w:rPr>
          <w:lang w:val="en-GB"/>
        </w:rPr>
        <w:t>1.3 Product-Service Systems</w:t>
      </w:r>
      <w:bookmarkEnd w:id="3"/>
    </w:p>
    <w:p w14:paraId="0646C4E2" w14:textId="08E90556" w:rsidR="009631B4" w:rsidRPr="00835F9E" w:rsidRDefault="009631B4" w:rsidP="009631B4">
      <w:pPr>
        <w:spacing w:line="240" w:lineRule="auto"/>
        <w:rPr>
          <w:rFonts w:cs="Times"/>
          <w:lang w:val="en-GB"/>
        </w:rPr>
      </w:pPr>
      <w:r w:rsidRPr="00835F9E">
        <w:rPr>
          <w:rFonts w:cs="Times"/>
          <w:lang w:val="en-GB"/>
        </w:rPr>
        <w:t xml:space="preserve">The adoption of the service business by manufacturing companies is a common trend in many industrial sectors, especially those offering durable goods. This shift, referred to in literature as </w:t>
      </w:r>
      <w:proofErr w:type="spellStart"/>
      <w:r w:rsidRPr="00835F9E">
        <w:rPr>
          <w:rFonts w:cs="Times"/>
          <w:lang w:val="en-GB"/>
        </w:rPr>
        <w:t>servitization</w:t>
      </w:r>
      <w:proofErr w:type="spellEnd"/>
      <w:r w:rsidRPr="00835F9E">
        <w:rPr>
          <w:rFonts w:cs="Times"/>
          <w:lang w:val="en-GB"/>
        </w:rPr>
        <w:t xml:space="preserve"> process, is defined as “[…] the increased offering of fuller market packages or ‘bundles’ of customer focused combinations of goods, services, support, self-service and knowledge in order to add value to core product offerings” </w:t>
      </w:r>
      <w:r w:rsidR="006552BB">
        <w:rPr>
          <w:rFonts w:cs="Times"/>
          <w:lang w:val="en-GB"/>
        </w:rPr>
        <w:fldChar w:fldCharType="begin" w:fldLock="1"/>
      </w:r>
      <w:r w:rsidR="0070633B">
        <w:rPr>
          <w:rFonts w:cs="Times"/>
          <w:lang w:val="en-GB"/>
        </w:rPr>
        <w:instrText>ADDIN CSL_CITATION {"citationItems":[{"id":"ITEM-1","itemData":{"DOI":"10.1007/s12599-014-0334-4","ISBN":"9783935089296","ISSN":"9783935089296","PMID":"1556941973","abstract":"Industry 4.0 will transform the design, manufacture, operation, and service of products and production systems. Connectivity and interaction among parts, machines, and humans will make production systems as much as 30 percent faster and 25 percent more efficient and elevate mass customization to new levels.","author":[{"dropping-particle":"","family":"Rüßmann","given":"Michael","non-dropping-particle":"","parse-names":false,"suffix":""},{"dropping-particle":"","family":"Lorenz","given":"Markus","non-dropping-particle":"","parse-names":false,"suffix":""},{"dropping-particle":"","family":"Gerbert","given":"Philipp","non-dropping-particle":"","parse-names":false,"suffix":""},{"dropping-particle":"","family":"Waldner","given":"Manuela","non-dropping-particle":"","parse-names":false,"suffix":""},{"dropping-particle":"","family":"Justus","given":"Jan","non-dropping-particle":"","parse-names":false,"suffix":""},{"dropping-particle":"","family":"Engel","given":"Pascal","non-dropping-particle":"","parse-names":false,"suffix":""},{"dropping-particle":"","family":"Harnisch","given":"Michael","non-dropping-particle":"","parse-names":false,"suffix":""}],"id":"ITEM-1","issue":"April","issued":{"date-parts":[["2015"]]},"title":"Industry 4.0 - The Future of Productivity and Growth in Manufacturing Industries","type":"report"},"uris":["http://www.mendeley.com/documents/?uuid=d823195c-6079-4fb5-9874-e09c50285895"]}],"mendeley":{"formattedCitation":"[6]","plainTextFormattedCitation":"[6]","previouslyFormattedCitation":"(Rüßmann et al., 2015)"},"properties":{"noteIndex":0},"schema":"https://github.com/citation-style-language/schema/raw/master/csl-citation.json"}</w:instrText>
      </w:r>
      <w:r w:rsidR="006552BB">
        <w:rPr>
          <w:rFonts w:cs="Times"/>
          <w:lang w:val="en-GB"/>
        </w:rPr>
        <w:fldChar w:fldCharType="separate"/>
      </w:r>
      <w:r w:rsidR="0070633B" w:rsidRPr="0070633B">
        <w:rPr>
          <w:rFonts w:cs="Times"/>
          <w:noProof/>
          <w:lang w:val="en-GB"/>
        </w:rPr>
        <w:t>[6]</w:t>
      </w:r>
      <w:r w:rsidR="006552BB">
        <w:rPr>
          <w:rFonts w:cs="Times"/>
          <w:lang w:val="en-GB"/>
        </w:rPr>
        <w:fldChar w:fldCharType="end"/>
      </w:r>
      <w:r w:rsidRPr="00835F9E">
        <w:rPr>
          <w:rFonts w:cs="Times"/>
          <w:lang w:val="en-GB"/>
        </w:rPr>
        <w:t xml:space="preserve">. </w:t>
      </w:r>
      <w:proofErr w:type="spellStart"/>
      <w:r w:rsidRPr="00835F9E">
        <w:rPr>
          <w:rFonts w:cs="Times"/>
          <w:lang w:val="en-GB"/>
        </w:rPr>
        <w:t>Servitization</w:t>
      </w:r>
      <w:proofErr w:type="spellEnd"/>
      <w:r w:rsidRPr="00835F9E">
        <w:rPr>
          <w:rFonts w:cs="Times"/>
          <w:lang w:val="en-GB"/>
        </w:rPr>
        <w:t xml:space="preserve"> supports companies to strengthen their competitive position thanks to the financial, marketing and strategic benefits led by the integration of services in the companies’ offer </w:t>
      </w:r>
      <w:r w:rsidR="006552BB">
        <w:rPr>
          <w:rFonts w:cs="Times"/>
          <w:lang w:val="en-GB"/>
        </w:rPr>
        <w:fldChar w:fldCharType="begin" w:fldLock="1"/>
      </w:r>
      <w:r w:rsidR="0070633B">
        <w:rPr>
          <w:rFonts w:cs="Times"/>
          <w:lang w:val="en-GB"/>
        </w:rPr>
        <w:instrText>ADDIN CSL_CITATION {"citationItems":[{"id":"ITEM-1","itemData":{"DOI":"10.1007/s12599-014-0334-4","ISBN":"9783935089296","ISSN":"9783935089296","PMID":"1556941973","abstract":"Industry 4.0 will transform the design, manufacture, operation, and service of products and production systems. Connectivity and interaction among parts, machines, and humans will make production systems as much as 30 percent faster and 25 percent more efficient and elevate mass customization to new levels.","author":[{"dropping-particle":"","family":"Rüßmann","given":"Michael","non-dropping-particle":"","parse-names":false,"suffix":""},{"dropping-particle":"","family":"Lorenz","given":"Markus","non-dropping-particle":"","parse-names":false,"suffix":""},{"dropping-particle":"","family":"Gerbert","given":"Philipp","non-dropping-particle":"","parse-names":false,"suffix":""},{"dropping-particle":"","family":"Waldner","given":"Manuela","non-dropping-particle":"","parse-names":false,"suffix":""},{"dropping-particle":"","family":"Justus","given":"Jan","non-dropping-particle":"","parse-names":false,"suffix":""},{"dropping-particle":"","family":"Engel","given":"Pascal","non-dropping-particle":"","parse-names":false,"suffix":""},{"dropping-particle":"","family":"Harnisch","given":"Michael","non-dropping-particle":"","parse-names":false,"suffix":""}],"id":"ITEM-1","issue":"April","issued":{"date-parts":[["2015"]]},"title":"Industry 4.0 - The Future of Productivity and Growth in Manufacturing Industries","type":"report"},"uris":["http://www.mendeley.com/documents/?uuid=d823195c-6079-4fb5-9874-e09c50285895"]},{"id":"ITEM-2","itemData":{"DOI":"10.1016/j.procir.2017.03.319","ISBN":"22128271 (ISSN)","ISSN":"22128271","abstract":"Redistributed manufacturing (RdM) refers to manufacturing business models, strategies, systems and technologies that change the economics and organization of manufacturing, particularly related to location and scale. Small-scale manufacturing has the potential to help tailor products to satisfy the specific needs of consumers different in terms of geographical location, cultural roots, improve sustainability and drive the society towards circular economy. While RdM has the great potential to deliver this, currently, very little has been understood on how RdM could help SMEs for gaining economic benefits due to the constraint of their business model, lack of understanding on customers, limited resource commitment on R&amp;D, marketing and sales, supply chain integration, etc. Similarly user-driven design and customer-insights delivered through 'big data' analytics has the potentially to be highly beneficial for manufacturing SME and little is known of how they can be combined with RdM to benefit SMEs. Hence, they may impose risks on the business and operation of SMEs should poor choices be made or systems be implemented badly. The economic importance of SMEs within the UK and Europe is long established with manufacturing SMEs accounting for 60% of all private sector jobs in the UK. Within the European Union the overwhelming majority of companies (trading in the non-financial sectors) were SMEs (99.8%), employing 89.7 million people (67.1% of the workforce). This paper reports some of the results of an initial exploratory survey of manufacturing SMEs within the United Kingdom. Focusing on their background and status, and their current understanding and interests in RdM, big customer analytics and related topics.","author":[{"dropping-particle":"","family":"Soroka","given":"Anthony","non-dropping-particle":"","parse-names":false,"suffix":""},{"dropping-particle":"","family":"Liu","given":"Ying","non-dropping-particle":"","parse-names":false,"suffix":""},{"dropping-particle":"","family":"Han","given":"Liangxiu","non-dropping-particle":"","parse-names":false,"suffix":""},{"dropping-particle":"","family":"Haleem","given":"Muhammad Salman","non-dropping-particle":"","parse-names":false,"suffix":""}],"container-title":"Procedia CIRP","id":"ITEM-2","issued":{"date-parts":[["2017"]]},"page":"692-697","publisher":"The Author(s)","title":"Big Data Driven Customer Insights for SMEs in Redistributed Manufacturing","type":"article-journal","volume":"63"},"uris":["http://www.mendeley.com/documents/?uuid=74b49608-a2ab-4545-b967-b9fa35f927ef"]},{"id":"ITEM-3","itemData":{"author":[{"dropping-particle":"","family":"Stahel","given":"Walter R.","non-dropping-particle":"","parse-names":false,"suffix":""},{"dropping-particle":"","family":"Reday-Mulvey","given":"Genevieve","non-dropping-particle":"","parse-names":false,"suffix":""}],"edition":"1st","id":"ITEM-3","issued":{"date-parts":[["1981"]]},"publisher":"Vantage Press","publisher-place":"New York","title":"Jobs for tomorrow: the potential for substituting manpower for energy","type":"book"},"uris":["http://www.mendeley.com/documents/?uuid=bec7358b-72b9-43a4-9569-299a1a846640"]},{"id":"ITEM-4","itemData":{"DOI":"10.1016/j.jclepro.2012.11.020","ISBN":"9789189301795","ISSN":"09596526","abstract":"Circular economy (CE) is a sustainable development strategy proposed by the central government of China, aiming to improve the efficiency of materials and energy use. This strategy, formally accepted in 2002, has been implemented and developed in a number of pilot areas in China. Scholars have produced rich studies in regard with the CE from its fundamental concept to its practical implementation. Successful enforcement of a CE can be seen as a way for China to tackle its urgent problem of environmental degradation and source scarcity. Given its importance, we provide a holistic literature review on the CE, aiming to provide a panorama of how this strategy has been developed and implemented. The review covers the concept, current practices, and assessment of the CE. To have a more numeric concept of how it has developed, we look at the performance of the CE in Dalian after its implementation of relevant policies and compare the changes with three other pilot cities, Beijing, Shanghai and Tianjin. Based on an examination of the statistical results, we identified the underlying problems and challenges for this national strategy. Finally, we offer a conclusion regarding CE's development as well as policy recommendations for future improvement. © 2012 Elsevier Ltd. All rights reserved.","author":[{"dropping-particle":"","family":"Su","given":"Biwei","non-dropping-particle":"","parse-names":false,"suffix":""},{"dropping-particle":"","family":"Heshmati","given":"Almas","non-dropping-particle":"","parse-names":false,"suffix":""},{"dropping-particle":"","family":"Geng","given":"Yong","non-dropping-particle":"","parse-names":false,"suffix":""},{"dropping-particle":"","family":"Yu","given":"Xiaoman","non-dropping-particle":"","parse-names":false,"suffix":""}],"container-title":"Journal of Cleaner Production","id":"ITEM-4","issued":{"date-parts":[["2013"]]},"page":"215-227","publisher":"Elsevier Ltd","title":"A review of the circular economy in China: Moving from rhetoric to implementation","type":"article-journal","volume":"42"},"uris":["http://www.mendeley.com/documents/?uuid=c56b5b3e-b865-44de-91d2-d02dc22ca517"]}],"mendeley":{"formattedCitation":"[2], [3], [6], [9]","plainTextFormattedCitation":"[2], [3], [6], [9]","previouslyFormattedCitation":"(Rüßmann et al., 2015; Soroka et al., 2017; Stahel &amp; Reday-Mulvey, 1981; Su et al., 2013)"},"properties":{"noteIndex":0},"schema":"https://github.com/citation-style-language/schema/raw/master/csl-citation.json"}</w:instrText>
      </w:r>
      <w:r w:rsidR="006552BB">
        <w:rPr>
          <w:rFonts w:cs="Times"/>
          <w:lang w:val="en-GB"/>
        </w:rPr>
        <w:fldChar w:fldCharType="separate"/>
      </w:r>
      <w:r w:rsidR="0070633B" w:rsidRPr="0070633B">
        <w:rPr>
          <w:rFonts w:cs="Times"/>
          <w:noProof/>
          <w:lang w:val="en-GB"/>
        </w:rPr>
        <w:t>[2], [3], [6], [9]</w:t>
      </w:r>
      <w:r w:rsidR="006552BB">
        <w:rPr>
          <w:rFonts w:cs="Times"/>
          <w:lang w:val="en-GB"/>
        </w:rPr>
        <w:fldChar w:fldCharType="end"/>
      </w:r>
      <w:r w:rsidRPr="00835F9E">
        <w:rPr>
          <w:rFonts w:cs="Times"/>
          <w:lang w:val="en-GB"/>
        </w:rPr>
        <w:t>. Dif</w:t>
      </w:r>
      <w:r w:rsidRPr="00835F9E">
        <w:rPr>
          <w:rFonts w:cs="Times"/>
          <w:lang w:val="en-GB"/>
        </w:rPr>
        <w:lastRenderedPageBreak/>
        <w:t xml:space="preserve">ferentiation against competitors, hindering competitors to offer similar product-service bundles and the increasing of customer loyalty are the main benefits of </w:t>
      </w:r>
      <w:proofErr w:type="spellStart"/>
      <w:r w:rsidRPr="00835F9E">
        <w:rPr>
          <w:rFonts w:cs="Times"/>
          <w:lang w:val="en-GB"/>
        </w:rPr>
        <w:t>servitization</w:t>
      </w:r>
      <w:proofErr w:type="spellEnd"/>
      <w:r w:rsidRPr="00835F9E">
        <w:rPr>
          <w:rFonts w:cs="Times"/>
          <w:lang w:val="en-GB"/>
        </w:rPr>
        <w:t xml:space="preserve">. Today, more than ever, </w:t>
      </w:r>
      <w:proofErr w:type="spellStart"/>
      <w:r w:rsidRPr="00835F9E">
        <w:rPr>
          <w:rFonts w:cs="Times"/>
          <w:lang w:val="en-GB"/>
        </w:rPr>
        <w:t>servitization</w:t>
      </w:r>
      <w:proofErr w:type="spellEnd"/>
      <w:r w:rsidRPr="00835F9E">
        <w:rPr>
          <w:rFonts w:cs="Times"/>
          <w:lang w:val="en-GB"/>
        </w:rPr>
        <w:t xml:space="preserve"> is customer driven </w:t>
      </w:r>
      <w:r w:rsidR="006552BB">
        <w:rPr>
          <w:rFonts w:cs="Times"/>
          <w:lang w:val="en-GB"/>
        </w:rPr>
        <w:fldChar w:fldCharType="begin" w:fldLock="1"/>
      </w:r>
      <w:r w:rsidR="0070633B">
        <w:rPr>
          <w:rFonts w:cs="Times"/>
          <w:lang w:val="en-GB"/>
        </w:rPr>
        <w:instrText>ADDIN CSL_CITATION {"citationItems":[{"id":"ITEM-1","itemData":{"DOI":"2012-04-03","ISBN":"1530-9290","ISSN":"10881980","PMID":"25246403","abstract":"This report is the first ever to look at the economic and business rationale for an accelerated transition towards a circular economy. The report was commissioned by the Ellen MacArthur Foundation with the support of its Founding Partners, B&amp;Q, BT, Cisco, National Grid and Renault. McKinsey &amp; Company, a global management consulting firm, provided the overall project management, developed the fact base and delivered the analytics. The report draws from the input and expertise of a wide range of academic and business leaders.","author":[{"dropping-particle":"","family":"The Ellen MacArthur Foundation","given":"","non-dropping-particle":"","parse-names":false,"suffix":""}],"id":"ITEM-1","issued":{"date-parts":[["2015"]]},"number-of-pages":"20","title":"Towards a Circular Economy: Business Rationale for an Accelerated Transition","type":"report"},"uris":["http://www.mendeley.com/documents/?uuid=971e4fa0-7fe9-4e1f-b452-62303eeda0d3"]}],"mendeley":{"formattedCitation":"[1]","plainTextFormattedCitation":"[1]","previouslyFormattedCitation":"(The Ellen MacArthur Foundation, 2015)"},"properties":{"noteIndex":0},"schema":"https://github.com/citation-style-language/schema/raw/master/csl-citation.json"}</w:instrText>
      </w:r>
      <w:r w:rsidR="006552BB">
        <w:rPr>
          <w:rFonts w:cs="Times"/>
          <w:lang w:val="en-GB"/>
        </w:rPr>
        <w:fldChar w:fldCharType="separate"/>
      </w:r>
      <w:r w:rsidR="0070633B" w:rsidRPr="0070633B">
        <w:rPr>
          <w:rFonts w:cs="Times"/>
          <w:noProof/>
          <w:lang w:val="en-GB"/>
        </w:rPr>
        <w:t>[1]</w:t>
      </w:r>
      <w:r w:rsidR="006552BB">
        <w:rPr>
          <w:rFonts w:cs="Times"/>
          <w:lang w:val="en-GB"/>
        </w:rPr>
        <w:fldChar w:fldCharType="end"/>
      </w:r>
      <w:r w:rsidRPr="00835F9E">
        <w:rPr>
          <w:rFonts w:cs="Times"/>
          <w:lang w:val="en-GB"/>
        </w:rPr>
        <w:t xml:space="preserve">. A research field that is often associated to the </w:t>
      </w:r>
      <w:proofErr w:type="spellStart"/>
      <w:r w:rsidRPr="00835F9E">
        <w:rPr>
          <w:rFonts w:cs="Times"/>
          <w:lang w:val="en-GB"/>
        </w:rPr>
        <w:t>servitization</w:t>
      </w:r>
      <w:proofErr w:type="spellEnd"/>
      <w:r w:rsidRPr="00835F9E">
        <w:rPr>
          <w:rFonts w:cs="Times"/>
          <w:lang w:val="en-GB"/>
        </w:rPr>
        <w:t xml:space="preserve"> process is the one related to the Product Service-Systems (PSS) </w:t>
      </w:r>
      <w:r w:rsidR="00324724">
        <w:rPr>
          <w:rFonts w:cs="Times"/>
          <w:lang w:val="en-GB"/>
        </w:rPr>
        <w:fldChar w:fldCharType="begin" w:fldLock="1"/>
      </w:r>
      <w:r w:rsidR="0070633B">
        <w:rPr>
          <w:rFonts w:cs="Times"/>
          <w:lang w:val="en-GB"/>
        </w:rPr>
        <w:instrText>ADDIN CSL_CITATION {"citationItems":[{"id":"ITEM-1","itemData":{"DOI":"10.1007/978-3-319-70223-0_3","ISSN":"18653537","abstract":"The concept of sustainable product-service systems has emerged recently, and is distinct from the ideas of cleaner production, eco-design and design for the environment. The concept goes beyond the environmental optimisation of products and processes and requires radical and creative thinking to reduce environmental impacts by a factor of between four and 20 times while maintaining an acceptable quality of service. Sustainable product-services consider alternative socio-technical systems that can provide the essential end-use function, such as warmth or mobility, that an existing product offers. Four types are outlined-result services; shared utilisation services; product-life extension services; and demand side management. Sustainable product-service systems attempt to create designs that are sustainable in terms of environmental burden and resource use, whilst developing product concepts as parts of sustainable whole systems, that provide a service or function to meet essential needs. (C) 2000 Elsevier Science Ltd. All rights reserved.","author":[{"dropping-particle":"","family":"Roy","given":"Robin","non-dropping-particle":"","parse-names":false,"suffix":""}],"container-title":"Futures","id":"ITEM-1","issued":{"date-parts":[["2000"]]},"page":"289-299","title":"Sustainable Product-Service Systems","type":"article-journal","volume":"32"},"uris":["http://www.mendeley.com/documents/?uuid=e567cfc1-422b-4e0b-8d38-ff635ac6dbe9"]}],"mendeley":{"formattedCitation":"[11]","plainTextFormattedCitation":"[11]","previouslyFormattedCitation":"(Roy, 2000)"},"properties":{"noteIndex":0},"schema":"https://github.com/citation-style-language/schema/raw/master/csl-citation.json"}</w:instrText>
      </w:r>
      <w:r w:rsidR="00324724">
        <w:rPr>
          <w:rFonts w:cs="Times"/>
          <w:lang w:val="en-GB"/>
        </w:rPr>
        <w:fldChar w:fldCharType="separate"/>
      </w:r>
      <w:r w:rsidR="0070633B" w:rsidRPr="0070633B">
        <w:rPr>
          <w:rFonts w:cs="Times"/>
          <w:noProof/>
          <w:lang w:val="en-GB"/>
        </w:rPr>
        <w:t>[11]</w:t>
      </w:r>
      <w:r w:rsidR="00324724">
        <w:rPr>
          <w:rFonts w:cs="Times"/>
          <w:lang w:val="en-GB"/>
        </w:rPr>
        <w:fldChar w:fldCharType="end"/>
      </w:r>
      <w:r w:rsidRPr="00835F9E">
        <w:rPr>
          <w:rFonts w:cs="Times"/>
          <w:lang w:val="en-GB"/>
        </w:rPr>
        <w:t xml:space="preserve">. The first definition of a PSS was given in 1999: “A product service-system is a system of products, services, networks of players and supporting infrastructure that continuously strives to be competitive, satisfy customer needs and have a lower environmental impact than traditional business models” </w:t>
      </w:r>
      <w:r w:rsidR="00AB2A70">
        <w:rPr>
          <w:rFonts w:cs="Times"/>
          <w:lang w:val="en-GB"/>
        </w:rPr>
        <w:fldChar w:fldCharType="begin" w:fldLock="1"/>
      </w:r>
      <w:r w:rsidR="0070633B">
        <w:rPr>
          <w:rFonts w:cs="Times"/>
          <w:lang w:val="en-GB"/>
        </w:rPr>
        <w:instrText>ADDIN CSL_CITATION {"citationItems":[{"id":"ITEM-1","itemData":{"ISBN":"3170342622","author":[{"dropping-particle":"","family":"Goedkoop","given":"Mark J.","non-dropping-particle":"","parse-names":false,"suffix":""},{"dropping-particle":"","family":"Halen","given":"Cees J.G.","non-dropping-particle":"van","parse-names":false,"suffix":""},{"dropping-particle":"","family":"Riele","given":"Harry R.M.","non-dropping-particle":"te","parse-names":false,"suffix":""},{"dropping-particle":"","family":"Rommens","given":"Peter J.M.","non-dropping-particle":"","parse-names":false,"suffix":""}],"id":"ITEM-1","issue":"1","issued":{"date-parts":[["1999"]]},"number-of-pages":"133","title":"Product service systems, ecological and economic basics","type":"report","volume":"36"},"uris":["http://www.mendeley.com/documents/?uuid=95be4542-9529-4302-9844-441ee95b7b58"]}],"mendeley":{"formattedCitation":"[12]","plainTextFormattedCitation":"[12]","previouslyFormattedCitation":"(Goedkoop et al., 1999)"},"properties":{"noteIndex":0},"schema":"https://github.com/citation-style-language/schema/raw/master/csl-citation.json"}</w:instrText>
      </w:r>
      <w:r w:rsidR="00AB2A70">
        <w:rPr>
          <w:rFonts w:cs="Times"/>
          <w:lang w:val="en-GB"/>
        </w:rPr>
        <w:fldChar w:fldCharType="separate"/>
      </w:r>
      <w:r w:rsidR="0070633B" w:rsidRPr="0070633B">
        <w:rPr>
          <w:rFonts w:cs="Times"/>
          <w:noProof/>
          <w:lang w:val="en-GB"/>
        </w:rPr>
        <w:t>[12]</w:t>
      </w:r>
      <w:r w:rsidR="00AB2A70">
        <w:rPr>
          <w:rFonts w:cs="Times"/>
          <w:lang w:val="en-GB"/>
        </w:rPr>
        <w:fldChar w:fldCharType="end"/>
      </w:r>
      <w:r w:rsidRPr="00835F9E">
        <w:rPr>
          <w:rFonts w:cs="Times"/>
          <w:lang w:val="en-GB"/>
        </w:rPr>
        <w:t xml:space="preserve">. Manzini points out that PSS is an innovation strategy that allows fulfilling specific customer needs </w:t>
      </w:r>
      <w:r w:rsidR="006552BB">
        <w:rPr>
          <w:rFonts w:cs="Times"/>
          <w:lang w:val="en-GB"/>
        </w:rPr>
        <w:fldChar w:fldCharType="begin" w:fldLock="1"/>
      </w:r>
      <w:r w:rsidR="0070633B">
        <w:rPr>
          <w:rFonts w:cs="Times"/>
          <w:lang w:val="en-GB"/>
        </w:rPr>
        <w:instrText>ADDIN CSL_CITATION {"citationItems":[{"id":"ITEM-1","itemData":{"DOI":"10.1016/S0959-6526(02)00153-1","ISSN":"09596526","author":[{"dropping-particle":"","family":"Manzini","given":"Ezio","non-dropping-particle":"","parse-names":false,"suffix":""},{"dropping-particle":"","family":"Vezzoli","given":"Carlo","non-dropping-particle":"","parse-names":false,"suffix":""}],"container-title":"Journal of Cleaner Production","id":"ITEM-1","issued":{"date-parts":[["2003"]]},"page":"851-857","title":"A strategic design approach to develop sustainable product service systems: examples taken from the ‘environmentally friendly innovation’ Italian prize","type":"article-journal","volume":"11"},"uris":["http://www.mendeley.com/documents/?uuid=286b71b2-0e59-4c81-ae75-d7381cbbeb03"]}],"mendeley":{"formattedCitation":"[13]","plainTextFormattedCitation":"[13]","previouslyFormattedCitation":"(Manzini &amp; Vezzoli, 2003)"},"properties":{"noteIndex":0},"schema":"https://github.com/citation-style-language/schema/raw/master/csl-citation.json"}</w:instrText>
      </w:r>
      <w:r w:rsidR="006552BB">
        <w:rPr>
          <w:rFonts w:cs="Times"/>
          <w:lang w:val="en-GB"/>
        </w:rPr>
        <w:fldChar w:fldCharType="separate"/>
      </w:r>
      <w:r w:rsidR="0070633B" w:rsidRPr="0070633B">
        <w:rPr>
          <w:rFonts w:cs="Times"/>
          <w:noProof/>
          <w:lang w:val="en-GB"/>
        </w:rPr>
        <w:t>[13]</w:t>
      </w:r>
      <w:r w:rsidR="006552BB">
        <w:rPr>
          <w:rFonts w:cs="Times"/>
          <w:lang w:val="en-GB"/>
        </w:rPr>
        <w:fldChar w:fldCharType="end"/>
      </w:r>
      <w:r w:rsidRPr="00835F9E">
        <w:rPr>
          <w:rFonts w:cs="Times"/>
          <w:lang w:val="en-GB"/>
        </w:rPr>
        <w:t xml:space="preserve">. </w:t>
      </w:r>
      <w:proofErr w:type="spellStart"/>
      <w:r w:rsidRPr="00835F9E">
        <w:rPr>
          <w:rFonts w:cs="Times"/>
          <w:lang w:val="en-GB"/>
        </w:rPr>
        <w:t>Tukker</w:t>
      </w:r>
      <w:proofErr w:type="spellEnd"/>
      <w:r w:rsidRPr="00835F9E">
        <w:rPr>
          <w:rFonts w:cs="Times"/>
          <w:lang w:val="en-GB"/>
        </w:rPr>
        <w:t xml:space="preserve"> observes that PSS is capable to enhance customer loyalty and build unique relationships since it follows customer needs better </w:t>
      </w:r>
      <w:r w:rsidR="006552BB">
        <w:rPr>
          <w:rFonts w:cs="Times"/>
          <w:lang w:val="en-GB"/>
        </w:rPr>
        <w:fldChar w:fldCharType="begin" w:fldLock="1"/>
      </w:r>
      <w:r w:rsidR="0070633B">
        <w:rPr>
          <w:rFonts w:cs="Times"/>
          <w:lang w:val="en-GB"/>
        </w:rPr>
        <w:instrText>ADDIN CSL_CITATION {"citationItems":[{"id":"ITEM-1","itemData":{"DOI":"10.1016/j.jclepro.2006.01.022","ISSN":"09596526","author":[{"dropping-particle":"","family":"Tukker","given":"Arnold","non-dropping-particle":"","parse-names":false,"suffix":""},{"dropping-particle":"","family":"Tischner","given":"Ursula","non-dropping-particle":"","parse-names":false,"suffix":""}],"container-title":"Journal of Cleaner Production","id":"ITEM-1","issue":"17","issued":{"date-parts":[["2006","1"]]},"page":"1552-1556","title":"Product-services as a research field: past, present and future. Reflections from a decade of research","type":"article-journal","volume":"14"},"uris":["http://www.mendeley.com/documents/?uuid=b279dabf-6ab5-4039-b8a8-1302711c9cc0"]}],"mendeley":{"formattedCitation":"[14]","plainTextFormattedCitation":"[14]","previouslyFormattedCitation":"(Tukker &amp; Tischner, 2006)"},"properties":{"noteIndex":0},"schema":"https://github.com/citation-style-language/schema/raw/master/csl-citation.json"}</w:instrText>
      </w:r>
      <w:r w:rsidR="006552BB">
        <w:rPr>
          <w:rFonts w:cs="Times"/>
          <w:lang w:val="en-GB"/>
        </w:rPr>
        <w:fldChar w:fldCharType="separate"/>
      </w:r>
      <w:r w:rsidR="0070633B" w:rsidRPr="0070633B">
        <w:rPr>
          <w:rFonts w:cs="Times"/>
          <w:noProof/>
          <w:lang w:val="en-GB"/>
        </w:rPr>
        <w:t>[14]</w:t>
      </w:r>
      <w:r w:rsidR="006552BB">
        <w:rPr>
          <w:rFonts w:cs="Times"/>
          <w:lang w:val="en-GB"/>
        </w:rPr>
        <w:fldChar w:fldCharType="end"/>
      </w:r>
      <w:r w:rsidRPr="00835F9E">
        <w:rPr>
          <w:rFonts w:cs="Times"/>
          <w:lang w:val="en-GB"/>
        </w:rPr>
        <w:t xml:space="preserve">. Another important contribution comes from </w:t>
      </w:r>
      <w:proofErr w:type="spellStart"/>
      <w:r w:rsidRPr="00835F9E">
        <w:rPr>
          <w:rFonts w:cs="Times"/>
          <w:lang w:val="en-GB"/>
        </w:rPr>
        <w:t>Sakao</w:t>
      </w:r>
      <w:proofErr w:type="spellEnd"/>
      <w:r w:rsidRPr="00835F9E">
        <w:rPr>
          <w:rFonts w:cs="Times"/>
          <w:lang w:val="en-GB"/>
        </w:rPr>
        <w:t xml:space="preserve"> and Shimomura that see PSS as a social system that enhances social and economic values for stakeholders </w:t>
      </w:r>
      <w:r w:rsidR="006552BB">
        <w:rPr>
          <w:rFonts w:cs="Times"/>
          <w:lang w:val="en-GB"/>
        </w:rPr>
        <w:fldChar w:fldCharType="begin" w:fldLock="1"/>
      </w:r>
      <w:r w:rsidR="0070633B">
        <w:rPr>
          <w:rFonts w:cs="Times"/>
          <w:lang w:val="en-GB"/>
        </w:rPr>
        <w:instrText>ADDIN CSL_CITATION {"citationItems":[{"id":"ITEM-1","itemData":{"DOI":"10.1016/j.jclepro.2006.05.015","ISSN":"09596526","abstract":"In order to pursue sustainability, commercial activities between the supply and demand sides must be somehow changed. In the context of eco-design, producers must need a much bigger framework than is available in current eco-design techniques. This calls for establishing a new discipline. This paper aims at proposing a novel engineering discipline for producers toward sustainable production and consumption, Service Engineering (SE). For the sake of this, the scheme of SE is first explained. Second, a methodology of modeling and designing services, and a computer-aided design tool called Service Explorer, are presented. Third, they are proved to be effective through two applications. In SE, positive and negative changes of consumers are modelled as value and cost, respectively. In addition, the model to describe a target consumer is provided for grounding the identified value. A design methodology including the identification of value with realization structures is also provided. Furthermore, SE allows designing services in parallel with products. In the application to service redesign of an existing hotel in Italy, it was demonstrated that the presented methods and tools facilitate designers adding new value like the view of outside through a window in energy-saving structure. It was also proven to deal with both products and services through generating a solution called \"cash-back per non-wash\" system for washing towels. The other smaller-scaled application to design of renting home appliances revealed that they support to determine a property of an adopted physical product like the size of a TV set depending on target customers' properties effectively. © 2006 Elsevier Ltd. All rights reserved.","author":[{"dropping-particle":"","family":"Sakao","given":"Tomohiko","non-dropping-particle":"","parse-names":false,"suffix":""},{"dropping-particle":"","family":"Shimomura","given":"Yoshiki","non-dropping-particle":"","parse-names":false,"suffix":""}],"container-title":"Journal of Cleaner Production","id":"ITEM-1","issue":"6","issued":{"date-parts":[["2007"]]},"page":"590-604","title":"Service Engineering: a novel engineering discipline for producers to increase value combining service and product","type":"article-journal","volume":"15"},"uris":["http://www.mendeley.com/documents/?uuid=b5b18c46-f2b5-43a7-aa4e-afd38cb53bd2"]}],"mendeley":{"formattedCitation":"[15]","plainTextFormattedCitation":"[15]","previouslyFormattedCitation":"(Sakao &amp; Shimomura, 2007)"},"properties":{"noteIndex":0},"schema":"https://github.com/citation-style-language/schema/raw/master/csl-citation.json"}</w:instrText>
      </w:r>
      <w:r w:rsidR="006552BB">
        <w:rPr>
          <w:rFonts w:cs="Times"/>
          <w:lang w:val="en-GB"/>
        </w:rPr>
        <w:fldChar w:fldCharType="separate"/>
      </w:r>
      <w:r w:rsidR="0070633B" w:rsidRPr="0070633B">
        <w:rPr>
          <w:rFonts w:cs="Times"/>
          <w:noProof/>
          <w:lang w:val="en-GB"/>
        </w:rPr>
        <w:t>[15]</w:t>
      </w:r>
      <w:r w:rsidR="006552BB">
        <w:rPr>
          <w:rFonts w:cs="Times"/>
          <w:lang w:val="en-GB"/>
        </w:rPr>
        <w:fldChar w:fldCharType="end"/>
      </w:r>
      <w:r w:rsidRPr="00835F9E">
        <w:rPr>
          <w:rFonts w:cs="Times"/>
          <w:lang w:val="en-GB"/>
        </w:rPr>
        <w:t xml:space="preserve">. The move towards the PSS entails an organizational change that makes a company shift from a product-oriented culture to a service-oriented one. The transition is quite a complex process that requires several changes and that usually happens in subsequent steps. Martinez et al. identify the five categories of challenges a company must deal with when moving along the </w:t>
      </w:r>
      <w:proofErr w:type="spellStart"/>
      <w:r w:rsidRPr="00835F9E">
        <w:rPr>
          <w:rFonts w:cs="Times"/>
          <w:lang w:val="en-GB"/>
        </w:rPr>
        <w:t>servitization</w:t>
      </w:r>
      <w:proofErr w:type="spellEnd"/>
      <w:r w:rsidRPr="00835F9E">
        <w:rPr>
          <w:rFonts w:cs="Times"/>
          <w:lang w:val="en-GB"/>
        </w:rPr>
        <w:t xml:space="preserve"> process, namely embedded product-service culture, delivery of integrated offering, internal processes and capabilities, strategic alignment and supplier relationships </w:t>
      </w:r>
      <w:r w:rsidR="006552BB">
        <w:rPr>
          <w:rFonts w:cs="Times"/>
          <w:lang w:val="en-GB"/>
        </w:rPr>
        <w:fldChar w:fldCharType="begin" w:fldLock="1"/>
      </w:r>
      <w:r w:rsidR="0070633B">
        <w:rPr>
          <w:rFonts w:cs="Times"/>
          <w:lang w:val="en-GB"/>
        </w:rPr>
        <w:instrText>ADDIN CSL_CITATION {"citationItems":[{"id":"ITEM-1","itemData":{"DOI":"10.1016/j.jclepro.2019.01.313","ISSN":"09596526","abstract":"As the demand for critical and valuable metals increases due to industrial developments, especially in electronics and high-technology industries, the search for novel and sustainable sources grows in significance. Incinerated municipal solid waste (MSW) is a potential source of valuable metals, since a lot of waste from electrical and electronic equipment (WEEE) is not recycled properly and are is managed together with the refuse fraction of MSW, which is often landfilled or incinerated. Bottom Ash (BA) is the main by-product of incinerated MSW, which has been characterized to assess the potential recovery of valuable metals. The determination of the total amount of valuable metals (Ag, Al, Au, Be, Co, Cu, Ga, Ge, In, Ir, Li, Ni, Pd, Pt, Sb, Ta, and W) in seasonal samples of weather bottom ash (WBA) was performed by a total acid digestion followed by a chemical analysis. Besides, a sequential extraction procedure (SEP) is conducted to define their partition. The characterisation has shown that the content of valuable metals in the incineration WBA, which was highest in the 0–2 mm fraction was much lower than in concentrated ores commonly used as primary sources. Moreover, the SEP showed little potential for the valorisation of most of the metals, as they are embedded in or bound to a silicic matrix or sintered metal oxides, and so their extraction requires strong-acid digestion or a highly oxidizing environment. This work contributes to the use of residual sources as secondary resources and to the correct management of the end-of-life electrical and electronic equipment.","author":[{"dropping-particle":"","family":"Pérez-Martínez","given":"S.","non-dropping-particle":"","parse-names":false,"suffix":""},{"dropping-particle":"","family":"Giro-Paloma","given":"J.","non-dropping-particle":"","parse-names":false,"suffix":""},{"dropping-particle":"","family":"Maldonado-Alameda","given":"A.","non-dropping-particle":"","parse-names":false,"suffix":""},{"dropping-particle":"","family":"Formosa","given":"J.","non-dropping-particle":"","parse-names":false,"suffix":""},{"dropping-particle":"","family":"Queralt","given":"I.","non-dropping-particle":"","parse-names":false,"suffix":""},{"dropping-particle":"","family":"Chimenos","given":"J.M.","non-dropping-particle":"","parse-names":false,"suffix":""}],"container-title":"Journal of Cleaner Production","id":"ITEM-1","issued":{"date-parts":[["2019"]]},"page":"61-68","title":"Characterisation and partition of valuable metals from WEEE in weathered municipal solid waste incineration bottom ash, with a view to recovering","type":"article-journal","volume":"218"},"uris":["http://www.mendeley.com/documents/?uuid=6c362808-5cd6-4164-a0aa-e2d263d42bcf"]}],"mendeley":{"formattedCitation":"[16]","plainTextFormattedCitation":"[16]","previouslyFormattedCitation":"(Pérez-Martínez et al., 2019)"},"properties":{"noteIndex":0},"schema":"https://github.com/citation-style-language/schema/raw/master/csl-citation.json"}</w:instrText>
      </w:r>
      <w:r w:rsidR="006552BB">
        <w:rPr>
          <w:rFonts w:cs="Times"/>
          <w:lang w:val="en-GB"/>
        </w:rPr>
        <w:fldChar w:fldCharType="separate"/>
      </w:r>
      <w:r w:rsidR="0070633B" w:rsidRPr="0070633B">
        <w:rPr>
          <w:rFonts w:cs="Times"/>
          <w:noProof/>
          <w:lang w:val="en-GB"/>
        </w:rPr>
        <w:t>[16]</w:t>
      </w:r>
      <w:r w:rsidR="006552BB">
        <w:rPr>
          <w:rFonts w:cs="Times"/>
          <w:lang w:val="en-GB"/>
        </w:rPr>
        <w:fldChar w:fldCharType="end"/>
      </w:r>
      <w:r w:rsidRPr="00835F9E">
        <w:rPr>
          <w:rFonts w:cs="Times"/>
          <w:lang w:val="en-GB"/>
        </w:rPr>
        <w:t xml:space="preserve">. PSS often include value adding services based on ICT contributions, both in terms of enhanced information and knowledge generation/sharing, as well as of additional functionalities </w:t>
      </w:r>
      <w:r w:rsidR="002634E7">
        <w:rPr>
          <w:rFonts w:cs="Times"/>
          <w:lang w:val="en-GB"/>
        </w:rPr>
        <w:fldChar w:fldCharType="begin" w:fldLock="1"/>
      </w:r>
      <w:r w:rsidR="0070633B">
        <w:rPr>
          <w:rFonts w:cs="Times"/>
          <w:lang w:val="en-GB"/>
        </w:rPr>
        <w:instrText>ADDIN CSL_CITATION {"citationItems":[{"id":"ITEM-1","itemData":{"DOI":"10.1016/j.compind.2012.02.007","ISSN":"01663615","abstract":"The present paper discusses Life Cycle Simulation (LCS) as a new approach for supporting the design of Product-Service Systems. The increased relevance of the life cycle perspective in modern society calls for more sustainable approaches to design, engineer and construct everyday products and related services. To respond to such a need, designers and engineers may have access to new methods and tools that are able to integrate the life cycle perspective in a proper way. In such a context, simulation - in its wider meaning - could play a relevant role for engineering the life cycle of a product and analyzing the related service networks. Within this context, the paper conducts a state of the art review of existing solutions implementing LCS, in order to identify common characteristics and prioritize next steps to be done for a comprehensive implementation. To this end a reference architecture is proposed. ? 2012 Elsevier B.V. All rights reserved.","author":[{"dropping-particle":"","family":"Garetti","given":"Marco","non-dropping-particle":"","parse-names":false,"suffix":""},{"dropping-particle":"","family":"Rosa","given":"Paolo","non-dropping-particle":"","parse-names":false,"suffix":""},{"dropping-particle":"","family":"Terzi","given":"Sergio","non-dropping-particle":"","parse-names":false,"suffix":""}],"container-title":"Computers in Industry","id":"ITEM-1","issued":{"date-parts":[["2012"]]},"page":"361-369","title":"Life Cycle Simulation for the design of Product-Service Systems","type":"article-journal","volume":"63"},"uris":["http://www.mendeley.com/documents/?uuid=3c01d381-fc46-36ea-b855-f77237c913ca"]},{"id":"ITEM-2","itemData":{"DOI":"10.1243/09544054JEM858","ISBN":"0954-4054","ISSN":"09544054","PMID":"15092803","abstract":"A Product-Service System (PSS) is an integrated combination of products and services. This Western concept embraces a service-led competitive strategy, environmental sustainability, and the basis to differentiate from competitors who simply offer lower priced products. This paper aims to report the state-of-the-art of PSS research by presenting a clinical review of literature currently available on this topic. The literature is classified and the major outcomes of each study are addressed and analysed. On this basis, this paper defines the PSS concept, reports on its origin and features, gives examples of applications along with potential benefits and barriers to adoption, summarizes available tools and methodologies, and identifies future research challenges.","author":[{"dropping-particle":"","family":"Baines","given":"Tim S.","non-dropping-particle":"","parse-names":false,"suffix":""},{"dropping-particle":"","family":"Lightfoot","given":"H.W.","non-dropping-particle":"","parse-names":false,"suffix":""},{"dropping-particle":"","family":"Evans","given":"Stephen","non-dropping-particle":"","parse-names":false,"suffix":""},{"dropping-particle":"","family":"Neely","given":"Andy","non-dropping-particle":"","parse-names":false,"suffix":""},{"dropping-particle":"","family":"Greenough","given":"R.","non-dropping-particle":"","parse-names":false,"suffix":""},{"dropping-particle":"","family":"Peppard","given":"J.","non-dropping-particle":"","parse-names":false,"suffix":""},{"dropping-particle":"","family":"Roy","given":"R.","non-dropping-particle":"","parse-names":false,"suffix":""},{"dropping-particle":"","family":"Shehab","given":"Essam","non-dropping-particle":"","parse-names":false,"suffix":""},{"dropping-particle":"","family":"Braganza","given":"A.","non-dropping-particle":"","parse-names":false,"suffix":""},{"dropping-particle":"","family":"Tiwari","given":"Ashutosh","non-dropping-particle":"","parse-names":false,"suffix":""},{"dropping-particle":"","family":"Alcock","given":"J.R.","non-dropping-particle":"","parse-names":false,"suffix":""},{"dropping-particle":"","family":"Angus","given":"J.P.","non-dropping-particle":"","parse-names":false,"suffix":""},{"dropping-particle":"","family":"Bastl","given":"Marko","non-dropping-particle":"","parse-names":false,"suffix":""},{"dropping-particle":"","family":"Cousens","given":"A.","non-dropping-particle":"","parse-names":false,"suffix":""},{"dropping-particle":"","family":"Irving","given":"P.","non-dropping-particle":"","parse-names":false,"suffix":""},{"dropping-particle":"","family":"Johnson","given":"M.R.","non-dropping-particle":"","parse-names":false,"suffix":""},{"dropping-particle":"","family":"Kingston","given":"Jennifer","non-dropping-particle":"","parse-names":false,"suffix":""},{"dropping-particle":"","family":"Lockett","given":"H.","non-dropping-particle":"","parse-names":false,"suffix":""},{"dropping-particle":"","family":"Martinez","given":"Veronica","non-dropping-particle":"","parse-names":false,"suffix":""},{"dropping-particle":"","family":"Michele","given":"P.","non-dropping-particle":"","parse-names":false,"suffix":""},{"dropping-particle":"","family":"Tranfield","given":"D.","non-dropping-particle":"","parse-names":false,"suffix":""},{"dropping-particle":"","family":"Walton","given":"I.M.","non-dropping-particle":"","parse-names":false,"suffix":""},{"dropping-particle":"","family":"Wilson","given":"Hugh N.","non-dropping-particle":"","parse-names":false,"suffix":""}],"container-title":"Proceedings of the Institution of Mechanical Engineers, Part B: Journal of Engineering Manufacture","id":"ITEM-2","issue":"10","issued":{"date-parts":[["2007"]]},"page":"1543-1552","title":"State-of-the-art in product-service systems","type":"article-journal","volume":"221"},"uris":["http://www.mendeley.com/documents/?uuid=e32b3def-9f53-4adb-9fe8-55a0e3e2a2e7"]}],"mendeley":{"formattedCitation":"[17], [18]","plainTextFormattedCitation":"[17], [18]","previouslyFormattedCitation":"(Baines et al., 2007; Garetti et al., 2012)"},"properties":{"noteIndex":0},"schema":"https://github.com/citation-style-language/schema/raw/master/csl-citation.json"}</w:instrText>
      </w:r>
      <w:r w:rsidR="002634E7">
        <w:rPr>
          <w:rFonts w:cs="Times"/>
          <w:lang w:val="en-GB"/>
        </w:rPr>
        <w:fldChar w:fldCharType="separate"/>
      </w:r>
      <w:r w:rsidR="0070633B" w:rsidRPr="0070633B">
        <w:rPr>
          <w:rFonts w:cs="Times"/>
          <w:noProof/>
          <w:lang w:val="en-GB"/>
        </w:rPr>
        <w:t>[17], [18]</w:t>
      </w:r>
      <w:r w:rsidR="002634E7">
        <w:rPr>
          <w:rFonts w:cs="Times"/>
          <w:lang w:val="en-GB"/>
        </w:rPr>
        <w:fldChar w:fldCharType="end"/>
      </w:r>
      <w:r w:rsidRPr="00835F9E">
        <w:rPr>
          <w:rFonts w:cs="Times"/>
          <w:lang w:val="en-GB"/>
        </w:rPr>
        <w:t xml:space="preserve">. PSS providers need to establish collaboration among specialized companies. Fisher et al. discussed approaches for service business development on a global scale. They consider organizational elements, such as customer proximity or behavioural orientation </w:t>
      </w:r>
      <w:r w:rsidR="002634E7">
        <w:rPr>
          <w:rFonts w:cs="Times"/>
          <w:lang w:val="en-GB"/>
        </w:rPr>
        <w:fldChar w:fldCharType="begin" w:fldLock="1"/>
      </w:r>
      <w:r w:rsidR="0070633B">
        <w:rPr>
          <w:rFonts w:cs="Times"/>
          <w:lang w:val="en-GB"/>
        </w:rPr>
        <w:instrText>ADDIN CSL_CITATION {"citationItems":[{"id":"ITEM-1","itemData":{"DOI":"10.1016/j.jmsy.2018.03.005","ISSN":"02786125","abstract":"Cloud Manufacturing (CM) is a service oriented business model to share manufacturing capabilities and resources on a cloud platform. Manufacturing is under pressure to achieve cost and environmental impact reductions, as manufacturing becomes more integrated and complex. Cloud manufacturing offers a solution, as it is capable of making intelligent decisions to provide the most sustainable and robust manufacturing route available. Although CM research has progressed, a consensus is still lacking on the concepts within CM as well as applications and scope beyond discrete manufacturing. The aim of this paper is to demonstrate how CM offers a more sustainable manufacturing future to the industry as a whole, before focusing specifically on the application to process manufacturing (e.g. food, pharmaceuticals and chemicals). This paper details the definitions, characteristics, architectures and previous case studies on CM. From this, the fundamental aspects of the CM concept are identified, along with an analysis of how the concept has progressed. A new, comprehensive CM definition is formulated by combining key concepts drawn from previous definitions and emphasizes CM potential for sustainable manufacturing. Four key methods of how CM increases sustainability are identified: (1) collaborative design; (2) greater automation; (3) improved process resilience and (4) enhanced waste reduction, reuse and recovery. The first two key methods are common to both discrete and process manufacturing, however key methods (3) and (4) are more process manufacturing specific and application of CM for these has yet to be fully realised. Examples of how CM's characteristics may be utilised to solve various process manufacturing problems are presented to demonstrate the applications of CM to process manufacturing. Waste is an important consideration in manufacturing, with strong sustainability implications. The current focus has been on using CM for waste minimisation; however, process manufacturing offers waste as a resource (valorisation opportunities from diversifying co-products, reuse, recycle and energy recovery). Exploring CM's potential to characterise and evaluate alternative process routes for the valorisation of process manufacturing waste is considered for the first time. The specific limitations preventing CM adoption by process manufacturers are discussed. Finally, CM's place in the future of manufacturing is explored, including how it will interact with, and comp…","author":[{"dropping-particle":"","family":"Fisher","given":"Oliver","non-dropping-particle":"","parse-names":false,"suffix":""},{"dropping-particle":"","family":"Watson","given":"Nicholas","non-dropping-particle":"","parse-names":false,"suffix":""},{"dropping-particle":"","family":"Porcu","given":"Laura","non-dropping-particle":"","parse-names":false,"suffix":""},{"dropping-particle":"","family":"Bacon","given":"Darren","non-dropping-particle":"","parse-names":false,"suffix":""},{"dropping-particle":"","family":"Rigley","given":"Martin","non-dropping-particle":"","parse-names":false,"suffix":""},{"dropping-particle":"","family":"Gomes","given":"Rachel L.","non-dropping-particle":"","parse-names":false,"suffix":""}],"container-title":"Journal of Manufacturing Systems","id":"ITEM-1","issued":{"date-parts":[["2018"]]},"page":"53-68","publisher":"The Society of Manufacturing Engineers","title":"Cloud manufacturing as a sustainable process manufacturing route","type":"article-journal","volume":"47"},"uris":["http://www.mendeley.com/documents/?uuid=fd2d0e0e-1b4d-40fd-ace7-6bab5b57fd7d"]}],"mendeley":{"formattedCitation":"[19]","plainTextFormattedCitation":"[19]","previouslyFormattedCitation":"(Fisher et al., 2018)"},"properties":{"noteIndex":0},"schema":"https://github.com/citation-style-language/schema/raw/master/csl-citation.json"}</w:instrText>
      </w:r>
      <w:r w:rsidR="002634E7">
        <w:rPr>
          <w:rFonts w:cs="Times"/>
          <w:lang w:val="en-GB"/>
        </w:rPr>
        <w:fldChar w:fldCharType="separate"/>
      </w:r>
      <w:r w:rsidR="0070633B" w:rsidRPr="0070633B">
        <w:rPr>
          <w:rFonts w:cs="Times"/>
          <w:noProof/>
          <w:lang w:val="en-GB"/>
        </w:rPr>
        <w:t>[19]</w:t>
      </w:r>
      <w:r w:rsidR="002634E7">
        <w:rPr>
          <w:rFonts w:cs="Times"/>
          <w:lang w:val="en-GB"/>
        </w:rPr>
        <w:fldChar w:fldCharType="end"/>
      </w:r>
      <w:r w:rsidRPr="00835F9E">
        <w:rPr>
          <w:rFonts w:cs="Times"/>
          <w:lang w:val="en-GB"/>
        </w:rPr>
        <w:t xml:space="preserve">. The closer affiliation of customers and manufacturers/service providers offer potential to generate revenue throughout the entire lifecycle </w:t>
      </w:r>
      <w:r w:rsidR="00324724">
        <w:rPr>
          <w:rFonts w:cs="Times"/>
          <w:lang w:val="en-GB"/>
        </w:rPr>
        <w:fldChar w:fldCharType="begin" w:fldLock="1"/>
      </w:r>
      <w:r w:rsidR="0070633B">
        <w:rPr>
          <w:rFonts w:cs="Times"/>
          <w:lang w:val="en-GB"/>
        </w:rPr>
        <w:instrText>ADDIN CSL_CITATION {"citationItems":[{"id":"ITEM-1","itemData":{"DOI":"10.1016/j.compind.2012.02.007","ISSN":"01663615","abstract":"The present paper discusses Life Cycle Simulation (LCS) as a new approach for supporting the design of Product-Service Systems. The increased relevance of the life cycle perspective in modern society calls for more sustainable approaches to design, engineer and construct everyday products and related services. To respond to such a need, designers and engineers may have access to new methods and tools that are able to integrate the life cycle perspective in a proper way. In such a context, simulation - in its wider meaning - could play a relevant role for engineering the life cycle of a product and analyzing the related service networks. Within this context, the paper conducts a state of the art review of existing solutions implementing LCS, in order to identify common characteristics and prioritize next steps to be done for a comprehensive implementation. To this end a reference architecture is proposed. ? 2012 Elsevier B.V. All rights reserved.","author":[{"dropping-particle":"","family":"Garetti","given":"Marco","non-dropping-particle":"","parse-names":false,"suffix":""},{"dropping-particle":"","family":"Rosa","given":"Paolo","non-dropping-particle":"","parse-names":false,"suffix":""},{"dropping-particle":"","family":"Terzi","given":"Sergio","non-dropping-particle":"","parse-names":false,"suffix":""}],"container-title":"Computers in Industry","id":"ITEM-1","issued":{"date-parts":[["2012"]]},"page":"361-369","title":"Life Cycle Simulation for the design of Product-Service Systems","type":"article-journal","volume":"63"},"uris":["http://www.mendeley.com/documents/?uuid=3c01d381-fc46-36ea-b855-f77237c913ca"]},{"id":"ITEM-2","itemData":{"abstract":"Framed by Product-Service Systems (PSS), this paper discuss how needs and requirements are applied in early phases. In product development literature these and closely related terms are mixed, and a focus on gathering customer information about goods and their use guides the development team. This theoretical study highlights that lifecycle commitments such as PSS insist on the generation of a broader information basis. The application of a divergent view on goods, their use and the customers is likely to provide such information basis. The discussion provides a proposal of a simple model to set needs and requirements in relation.","author":[{"dropping-particle":"","family":"Ericson","given":"A.","non-dropping-particle":"","parse-names":false,"suffix":""},{"dropping-particle":"","family":"Müller","given":"Patrick","non-dropping-particle":"","parse-names":false,"suffix":""},{"dropping-particle":"","family":"Larsson","given":"Tobias C.","non-dropping-particle":"","parse-names":false,"suffix":""},{"dropping-particle":"","family":"Stark","given":"Rainer","non-dropping-particle":"","parse-names":false,"suffix":""}],"container-title":"IPS2 - 1st CIRP Industrial Product-Service Systems Conference","id":"ITEM-2","issued":{"date-parts":[["2009"]]},"page":"1-6","title":"Product-service systems–from customer needs to requirements in early development phases","type":"paper-conference"},"uris":["http://www.mendeley.com/documents/?uuid=456caf5f-c996-47b5-b82e-9c26e029837f"]},{"id":"ITEM-3","itemData":{"DOI":"10.1243/09544054JEM858","ISBN":"0954-4054","ISSN":"09544054","PMID":"15092803","abstract":"A Product-Service System (PSS) is an integrated combination of products and services. This Western concept embraces a service-led competitive strategy, environmental sustainability, and the basis to differentiate from competitors who simply offer lower priced products. This paper aims to report the state-of-the-art of PSS research by presenting a clinical review of literature currently available on this topic. The literature is classified and the major outcomes of each study are addressed and analysed. On this basis, this paper defines the PSS concept, reports on its origin and features, gives examples of applications along with potential benefits and barriers to adoption, summarizes available tools and methodologies, and identifies future research challenges.","author":[{"dropping-particle":"","family":"Baines","given":"Tim S.","non-dropping-particle":"","parse-names":false,"suffix":""},{"dropping-particle":"","family":"Lightfoot","given":"H.W.","non-dropping-particle":"","parse-names":false,"suffix":""},{"dropping-particle":"","family":"Evans","given":"Stephen","non-dropping-particle":"","parse-names":false,"suffix":""},{"dropping-particle":"","family":"Neely","given":"Andy","non-dropping-particle":"","parse-names":false,"suffix":""},{"dropping-particle":"","family":"Greenough","given":"R.","non-dropping-particle":"","parse-names":false,"suffix":""},{"dropping-particle":"","family":"Peppard","given":"J.","non-dropping-particle":"","parse-names":false,"suffix":""},{"dropping-particle":"","family":"Roy","given":"R.","non-dropping-particle":"","parse-names":false,"suffix":""},{"dropping-particle":"","family":"Shehab","given":"Essam","non-dropping-particle":"","parse-names":false,"suffix":""},{"dropping-particle":"","family":"Braganza","given":"A.","non-dropping-particle":"","parse-names":false,"suffix":""},{"dropping-particle":"","family":"Tiwari","given":"Ashutosh","non-dropping-particle":"","parse-names":false,"suffix":""},{"dropping-particle":"","family":"Alcock","given":"J.R.","non-dropping-particle":"","parse-names":false,"suffix":""},{"dropping-particle":"","family":"Angus","given":"J.P.","non-dropping-particle":"","parse-names":false,"suffix":""},{"dropping-particle":"","family":"Bastl","given":"Marko","non-dropping-particle":"","parse-names":false,"suffix":""},{"dropping-particle":"","family":"Cousens","given":"A.","non-dropping-particle":"","parse-names":false,"suffix":""},{"dropping-particle":"","family":"Irving","given":"P.","non-dropping-particle":"","parse-names":false,"suffix":""},{"dropping-particle":"","family":"Johnson","given":"M.R.","non-dropping-particle":"","parse-names":false,"suffix":""},{"dropping-particle":"","family":"Kingston","given":"Jennifer","non-dropping-particle":"","parse-names":false,"suffix":""},{"dropping-particle":"","family":"Lockett","given":"H.","non-dropping-particle":"","parse-names":false,"suffix":""},{"dropping-particle":"","family":"Martinez","given":"Veronica","non-dropping-particle":"","parse-names":false,"suffix":""},{"dropping-particle":"","family":"Michele","given":"P.","non-dropping-particle":"","parse-names":false,"suffix":""},{"dropping-particle":"","family":"Tranfield","given":"D.","non-dropping-particle":"","parse-names":false,"suffix":""},{"dropping-particle":"","family":"Walton","given":"I.M.","non-dropping-particle":"","parse-names":false,"suffix":""},{"dropping-particle":"","family":"Wilson","given":"Hugh N.","non-dropping-particle":"","parse-names":false,"suffix":""}],"container-title":"Proceedings of the Institution of Mechanical Engineers, Part B: Journal of Engineering Manufacture","id":"ITEM-3","issue":"10","issued":{"date-parts":[["2007"]]},"page":"1543-1552","title":"State-of-the-art in product-service systems","type":"article-journal","volume":"221"},"uris":["http://www.mendeley.com/documents/?uuid=e32b3def-9f53-4adb-9fe8-55a0e3e2a2e7"]}],"mendeley":{"formattedCitation":"[17], [18], [20]","plainTextFormattedCitation":"[17], [18], [20]","previouslyFormattedCitation":"(Baines et al., 2007; Ericson et al., 2009; Garetti et al., 2012)"},"properties":{"noteIndex":0},"schema":"https://github.com/citation-style-language/schema/raw/master/csl-citation.json"}</w:instrText>
      </w:r>
      <w:r w:rsidR="00324724">
        <w:rPr>
          <w:rFonts w:cs="Times"/>
          <w:lang w:val="en-GB"/>
        </w:rPr>
        <w:fldChar w:fldCharType="separate"/>
      </w:r>
      <w:r w:rsidR="0070633B" w:rsidRPr="0070633B">
        <w:rPr>
          <w:rFonts w:cs="Times"/>
          <w:noProof/>
          <w:lang w:val="en-GB"/>
        </w:rPr>
        <w:t>[17], [18], [20]</w:t>
      </w:r>
      <w:r w:rsidR="00324724">
        <w:rPr>
          <w:rFonts w:cs="Times"/>
          <w:lang w:val="en-GB"/>
        </w:rPr>
        <w:fldChar w:fldCharType="end"/>
      </w:r>
      <w:r w:rsidRPr="00835F9E">
        <w:rPr>
          <w:rFonts w:cs="Times"/>
          <w:lang w:val="en-GB"/>
        </w:rPr>
        <w:t xml:space="preserve">. Moreover, as stated by Baines et al., “… integrated product-service offerings are distinctive, long-lived, and easier to defend from competition based in lower cost economies …” </w:t>
      </w:r>
      <w:r w:rsidR="00CA695D">
        <w:rPr>
          <w:rFonts w:cs="Times"/>
          <w:lang w:val="en-GB"/>
        </w:rPr>
        <w:fldChar w:fldCharType="begin" w:fldLock="1"/>
      </w:r>
      <w:r w:rsidR="0070633B">
        <w:rPr>
          <w:rFonts w:cs="Times"/>
          <w:lang w:val="en-GB"/>
        </w:rPr>
        <w:instrText>ADDIN CSL_CITATION {"citationItems":[{"id":"ITEM-1","itemData":{"DOI":"10.1243/09544054JEM858","ISBN":"0954-4054","ISSN":"09544054","PMID":"15092803","abstract":"A Product-Service System (PSS) is an integrated combination of products and services. This Western concept embraces a service-led competitive strategy, environmental sustainability, and the basis to differentiate from competitors who simply offer lower priced products. This paper aims to report the state-of-the-art of PSS research by presenting a clinical review of literature currently available on this topic. The literature is classified and the major outcomes of each study are addressed and analysed. On this basis, this paper defines the PSS concept, reports on its origin and features, gives examples of applications along with potential benefits and barriers to adoption, summarizes available tools and methodologies, and identifies future research challenges.","author":[{"dropping-particle":"","family":"Baines","given":"Tim S.","non-dropping-particle":"","parse-names":false,"suffix":""},{"dropping-particle":"","family":"Lightfoot","given":"H.W.","non-dropping-particle":"","parse-names":false,"suffix":""},{"dropping-particle":"","family":"Evans","given":"Stephen","non-dropping-particle":"","parse-names":false,"suffix":""},{"dropping-particle":"","family":"Neely","given":"Andy","non-dropping-particle":"","parse-names":false,"suffix":""},{"dropping-particle":"","family":"Greenough","given":"R.","non-dropping-particle":"","parse-names":false,"suffix":""},{"dropping-particle":"","family":"Peppard","given":"J.","non-dropping-particle":"","parse-names":false,"suffix":""},{"dropping-particle":"","family":"Roy","given":"R.","non-dropping-particle":"","parse-names":false,"suffix":""},{"dropping-particle":"","family":"Shehab","given":"Essam","non-dropping-particle":"","parse-names":false,"suffix":""},{"dropping-particle":"","family":"Braganza","given":"A.","non-dropping-particle":"","parse-names":false,"suffix":""},{"dropping-particle":"","family":"Tiwari","given":"Ashutosh","non-dropping-particle":"","parse-names":false,"suffix":""},{"dropping-particle":"","family":"Alcock","given":"J.R.","non-dropping-particle":"","parse-names":false,"suffix":""},{"dropping-particle":"","family":"Angus","given":"J.P.","non-dropping-particle":"","parse-names":false,"suffix":""},{"dropping-particle":"","family":"Bastl","given":"Marko","non-dropping-particle":"","parse-names":false,"suffix":""},{"dropping-particle":"","family":"Cousens","given":"A.","non-dropping-particle":"","parse-names":false,"suffix":""},{"dropping-particle":"","family":"Irving","given":"P.","non-dropping-particle":"","parse-names":false,"suffix":""},{"dropping-particle":"","family":"Johnson","given":"M.R.","non-dropping-particle":"","parse-names":false,"suffix":""},{"dropping-particle":"","family":"Kingston","given":"Jennifer","non-dropping-particle":"","parse-names":false,"suffix":""},{"dropping-particle":"","family":"Lockett","given":"H.","non-dropping-particle":"","parse-names":false,"suffix":""},{"dropping-particle":"","family":"Martinez","given":"Veronica","non-dropping-particle":"","parse-names":false,"suffix":""},{"dropping-particle":"","family":"Michele","given":"P.","non-dropping-particle":"","parse-names":false,"suffix":""},{"dropping-particle":"","family":"Tranfield","given":"D.","non-dropping-particle":"","parse-names":false,"suffix":""},{"dropping-particle":"","family":"Walton","given":"I.M.","non-dropping-particle":"","parse-names":false,"suffix":""},{"dropping-particle":"","family":"Wilson","given":"Hugh N.","non-dropping-particle":"","parse-names":false,"suffix":""}],"container-title":"Proceedings of the Institution of Mechanical Engineers, Part B: Journal of Engineering Manufacture","id":"ITEM-1","issue":"10","issued":{"date-parts":[["2007"]]},"page":"1543-1552","title":"State-of-the-art in product-service systems","type":"article-journal","volume":"221"},"uris":["http://www.mendeley.com/documents/?uuid=e32b3def-9f53-4adb-9fe8-55a0e3e2a2e7"]}],"mendeley":{"formattedCitation":"[18]","plainTextFormattedCitation":"[18]","previouslyFormattedCitation":"(Baines et al., 2007)"},"properties":{"noteIndex":0},"schema":"https://github.com/citation-style-language/schema/raw/master/csl-citation.json"}</w:instrText>
      </w:r>
      <w:r w:rsidR="00CA695D">
        <w:rPr>
          <w:rFonts w:cs="Times"/>
          <w:lang w:val="en-GB"/>
        </w:rPr>
        <w:fldChar w:fldCharType="separate"/>
      </w:r>
      <w:r w:rsidR="0070633B" w:rsidRPr="0070633B">
        <w:rPr>
          <w:rFonts w:cs="Times"/>
          <w:noProof/>
          <w:lang w:val="en-GB"/>
        </w:rPr>
        <w:t>[18]</w:t>
      </w:r>
      <w:r w:rsidR="00CA695D">
        <w:rPr>
          <w:rFonts w:cs="Times"/>
          <w:lang w:val="en-GB"/>
        </w:rPr>
        <w:fldChar w:fldCharType="end"/>
      </w:r>
      <w:r w:rsidRPr="00835F9E">
        <w:rPr>
          <w:rFonts w:cs="Times"/>
          <w:lang w:val="en-GB"/>
        </w:rPr>
        <w:t>. The potential extension of the lifetime of tangible components of PSS, due to their integration with adding value services, opens interesting perspectives also about environmental sustainability improvements. The advantages coming from PSS have been demonstrated in literature, yet for many companies efficiently managing the service operations is still a challenge. Best practices and empirical analysis are mainly carried out with a focus on larger companies. Nonetheless, the PSS topic is more and more recognized by SMEs that are looking for innovative business solutions to improve their competitive advantages.</w:t>
      </w:r>
    </w:p>
    <w:p w14:paraId="4FC2EED0" w14:textId="5DC44BBA" w:rsidR="009631B4" w:rsidRPr="00835F9E" w:rsidRDefault="009631B4" w:rsidP="009631B4">
      <w:pPr>
        <w:pStyle w:val="heading1"/>
        <w:rPr>
          <w:lang w:val="en-GB"/>
        </w:rPr>
      </w:pPr>
      <w:bookmarkStart w:id="4" w:name="_Toc47702099"/>
      <w:r w:rsidRPr="00835F9E">
        <w:rPr>
          <w:lang w:val="en-GB"/>
        </w:rPr>
        <w:t>1.</w:t>
      </w:r>
      <w:r w:rsidR="00646AB4">
        <w:rPr>
          <w:lang w:val="en-GB"/>
        </w:rPr>
        <w:t>4</w:t>
      </w:r>
      <w:r w:rsidRPr="00835F9E">
        <w:rPr>
          <w:lang w:val="en-GB"/>
        </w:rPr>
        <w:t xml:space="preserve"> The FENIX project</w:t>
      </w:r>
      <w:bookmarkEnd w:id="4"/>
    </w:p>
    <w:p w14:paraId="04507DA7" w14:textId="77777777" w:rsidR="009631B4" w:rsidRPr="00835F9E" w:rsidRDefault="009631B4" w:rsidP="009631B4">
      <w:pPr>
        <w:spacing w:line="240" w:lineRule="auto"/>
        <w:rPr>
          <w:rFonts w:cs="Times"/>
          <w:lang w:val="en-GB"/>
        </w:rPr>
      </w:pPr>
      <w:r w:rsidRPr="00835F9E">
        <w:rPr>
          <w:rFonts w:cs="Times"/>
          <w:lang w:val="en-GB"/>
        </w:rPr>
        <w:t>Since the advent of globalization, the European manufacturing sector is coping with both an increasing lack of stability in the market and a need for quicker re</w:t>
      </w:r>
      <w:r w:rsidRPr="00835F9E">
        <w:rPr>
          <w:rFonts w:cs="Times"/>
          <w:lang w:val="en-GB"/>
        </w:rPr>
        <w:lastRenderedPageBreak/>
        <w:t xml:space="preserve">sponses to customers’ demands. With time, these two elements </w:t>
      </w:r>
      <w:proofErr w:type="spellStart"/>
      <w:r w:rsidRPr="00835F9E">
        <w:rPr>
          <w:rFonts w:cs="Times"/>
          <w:lang w:val="en-GB"/>
        </w:rPr>
        <w:t>disincentivated</w:t>
      </w:r>
      <w:proofErr w:type="spellEnd"/>
      <w:r w:rsidRPr="00835F9E">
        <w:rPr>
          <w:rFonts w:cs="Times"/>
          <w:lang w:val="en-GB"/>
        </w:rPr>
        <w:t xml:space="preserve"> long-term investments of companies in tangible fixed assets, by shifting their attention in high-value markets characterized by lower volumes than mass production. Subsequently, plant’s capacity use rates have felt down quickly since the production was moved abroad. This negative scenario has affected the overall performances of SMEs. In parallel, in Europe there has been an increasing awareness about the environmental impact of products and processes and the importance of the sustainable use of resources. In this context, the circular economy paradigm is getting more and more success.</w:t>
      </w:r>
    </w:p>
    <w:p w14:paraId="1EF12C36" w14:textId="77777777" w:rsidR="009631B4" w:rsidRPr="00835F9E" w:rsidRDefault="009631B4" w:rsidP="009631B4">
      <w:pPr>
        <w:spacing w:line="240" w:lineRule="auto"/>
        <w:rPr>
          <w:rFonts w:cs="Times"/>
          <w:lang w:val="en-GB"/>
        </w:rPr>
      </w:pPr>
      <w:r w:rsidRPr="00835F9E">
        <w:rPr>
          <w:rFonts w:cs="Times"/>
          <w:lang w:val="en-GB"/>
        </w:rPr>
        <w:t>The main aim of FENIX is the development of new business models and industrial strategies for three novel supply chains to enable value-added product-services:</w:t>
      </w:r>
    </w:p>
    <w:p w14:paraId="2539E477" w14:textId="77777777" w:rsidR="009631B4" w:rsidRPr="00835F9E" w:rsidRDefault="009631B4" w:rsidP="009631B4">
      <w:pPr>
        <w:pStyle w:val="BulletItem"/>
        <w:numPr>
          <w:ilvl w:val="0"/>
          <w:numId w:val="22"/>
        </w:numPr>
        <w:rPr>
          <w:rFonts w:cs="Times"/>
          <w:lang w:val="en-GB"/>
        </w:rPr>
      </w:pPr>
      <w:r w:rsidRPr="00835F9E">
        <w:rPr>
          <w:rFonts w:cs="Times"/>
          <w:lang w:val="en-GB"/>
        </w:rPr>
        <w:t xml:space="preserve">A modular, multi-material and reconfigurable pilot plant producing 3D printing metal powders. This pilot plant will allow the production of high-quality metal and </w:t>
      </w:r>
      <w:proofErr w:type="spellStart"/>
      <w:r w:rsidRPr="00835F9E">
        <w:rPr>
          <w:rFonts w:cs="Times"/>
          <w:lang w:val="en-GB"/>
        </w:rPr>
        <w:t>CerMet</w:t>
      </w:r>
      <w:proofErr w:type="spellEnd"/>
      <w:r w:rsidRPr="00835F9E">
        <w:rPr>
          <w:rFonts w:cs="Times"/>
          <w:lang w:val="en-GB"/>
        </w:rPr>
        <w:t xml:space="preserve"> powders to be used in the production of mechanical components through manufacturing processes like additive manufacturing (SLM, LMD) thermal spraying and sintering. The peculiarity of this use case is that the metallic material entering the manufacturing process will be recovered from different kinds of wastes coming from the mass electronics sector. These wastes, once disassembled to recover hazardous components, will be reduced in powders. Subsequently, powders will be separated in metal and non-metal ones. In this case, only some specific metals (</w:t>
      </w:r>
      <w:proofErr w:type="gramStart"/>
      <w:r w:rsidRPr="00835F9E">
        <w:rPr>
          <w:rFonts w:cs="Times"/>
          <w:lang w:val="en-GB"/>
        </w:rPr>
        <w:t>e.g.</w:t>
      </w:r>
      <w:proofErr w:type="gramEnd"/>
      <w:r w:rsidRPr="00835F9E">
        <w:rPr>
          <w:rFonts w:cs="Times"/>
          <w:lang w:val="en-GB"/>
        </w:rPr>
        <w:t xml:space="preserve"> Sn, Ni, Cu, Co and Al) present in powders will be refined completely through bio-hydrometallurgical processes, processed by High Energy Ball Milling and optimized by classification and jet-mills to be used in industrial 3D printing, thermal spraying or sintering processes.</w:t>
      </w:r>
    </w:p>
    <w:p w14:paraId="38FE82B2" w14:textId="77777777" w:rsidR="009631B4" w:rsidRPr="00835F9E" w:rsidRDefault="009631B4" w:rsidP="009631B4">
      <w:pPr>
        <w:pStyle w:val="BulletItem"/>
        <w:numPr>
          <w:ilvl w:val="0"/>
          <w:numId w:val="22"/>
        </w:numPr>
        <w:rPr>
          <w:rFonts w:cs="Times"/>
          <w:lang w:val="en-GB"/>
        </w:rPr>
      </w:pPr>
      <w:r w:rsidRPr="00835F9E">
        <w:rPr>
          <w:rFonts w:cs="Times"/>
          <w:lang w:val="en-GB"/>
        </w:rPr>
        <w:t>A modular, multi-material and reconfigurable pilot plant producing customized jewels. This pilot plant will allow the production of customized jewels through additive manufacturing processes. The peculiarity of this use case is that precious metals entering the additive manufacturing process will be recovered from different kinds of waste coming from the mass electronics sectors. These wastes, once disassembled to recover hazardous components, will be reduced in powders. Subsequently, powders will be separated in metal and non-metal ones. In this case, only precious metals (</w:t>
      </w:r>
      <w:proofErr w:type="gramStart"/>
      <w:r w:rsidRPr="00835F9E">
        <w:rPr>
          <w:rFonts w:cs="Times"/>
          <w:lang w:val="en-GB"/>
        </w:rPr>
        <w:t>e.g.</w:t>
      </w:r>
      <w:proofErr w:type="gramEnd"/>
      <w:r w:rsidRPr="00835F9E">
        <w:rPr>
          <w:rFonts w:cs="Times"/>
          <w:lang w:val="en-GB"/>
        </w:rPr>
        <w:t xml:space="preserve"> Au, Ag, Pt and Pd) present in powders will be refined completely through bio-hydrometallurgical processes and directly used as basic material in dedicated 3D printing processes.</w:t>
      </w:r>
    </w:p>
    <w:p w14:paraId="16E8BBDC" w14:textId="77777777" w:rsidR="009631B4" w:rsidRPr="00835F9E" w:rsidRDefault="009631B4" w:rsidP="009631B4">
      <w:pPr>
        <w:pStyle w:val="BulletItem"/>
        <w:numPr>
          <w:ilvl w:val="0"/>
          <w:numId w:val="22"/>
        </w:numPr>
        <w:rPr>
          <w:rFonts w:cs="Times"/>
          <w:lang w:val="en-GB"/>
        </w:rPr>
      </w:pPr>
      <w:r w:rsidRPr="00835F9E">
        <w:rPr>
          <w:rFonts w:cs="Times"/>
          <w:lang w:val="en-GB"/>
        </w:rPr>
        <w:t>A modular, multi-material and reconfigurable pilot plant producing 3D printing advanced filaments. This pilot plant will allow the production of advanced filaments through additive manufacturing processes. The peculiarity of this use case is that both metals (</w:t>
      </w:r>
      <w:proofErr w:type="gramStart"/>
      <w:r w:rsidRPr="00835F9E">
        <w:rPr>
          <w:rFonts w:cs="Times"/>
          <w:lang w:val="en-GB"/>
        </w:rPr>
        <w:t>e.g.</w:t>
      </w:r>
      <w:proofErr w:type="gramEnd"/>
      <w:r w:rsidRPr="00835F9E">
        <w:rPr>
          <w:rFonts w:cs="Times"/>
          <w:lang w:val="en-GB"/>
        </w:rPr>
        <w:t xml:space="preserve"> Cu and Al) and non-metal resins entering the additive manufacturing process will be recovered from different kinds of waste coming from the mass electronics sectors. These wastes, once disassembled to recover hazardous components, will be reduced in powders. Subsequently, powders will be separated in metal and non-metal ones. In this case, only Cu, </w:t>
      </w:r>
      <w:r w:rsidRPr="00835F9E">
        <w:rPr>
          <w:rFonts w:cs="Times"/>
          <w:lang w:val="en-GB"/>
        </w:rPr>
        <w:lastRenderedPageBreak/>
        <w:t>Al and a specific set of non-metal materials (</w:t>
      </w:r>
      <w:proofErr w:type="gramStart"/>
      <w:r w:rsidRPr="00835F9E">
        <w:rPr>
          <w:rFonts w:cs="Times"/>
          <w:lang w:val="en-GB"/>
        </w:rPr>
        <w:t>e.g.</w:t>
      </w:r>
      <w:proofErr w:type="gramEnd"/>
      <w:r w:rsidRPr="00835F9E">
        <w:rPr>
          <w:rFonts w:cs="Times"/>
          <w:lang w:val="en-GB"/>
        </w:rPr>
        <w:t xml:space="preserve"> ABS and epoxy resins) present in powders will be refined completely through bio-hydrometallurgical processes and directly used as basic material in dedicated 3D printing processes.</w:t>
      </w:r>
    </w:p>
    <w:p w14:paraId="797BAE8D" w14:textId="77777777" w:rsidR="009631B4" w:rsidRPr="00835F9E" w:rsidRDefault="009631B4" w:rsidP="009631B4">
      <w:pPr>
        <w:spacing w:line="240" w:lineRule="auto"/>
        <w:rPr>
          <w:rFonts w:cs="Times"/>
          <w:lang w:val="en-GB"/>
        </w:rPr>
      </w:pPr>
      <w:r w:rsidRPr="00835F9E">
        <w:rPr>
          <w:rFonts w:cs="Times"/>
          <w:lang w:val="en-GB"/>
        </w:rPr>
        <w:t>All the three pilot plants will share the same structure.  They will be designed also to host and fully exploit industry 4.0 solutions represented by smart sensors able to send real-time data to the online marketplace developed in FENIX. This will enhance the sharing of overcapacity among different supply chains from very different sectors, the involvement of private end users in industrial processes as well as the provision of new services to companies, for the monitoring and control of the pilot plant.</w:t>
      </w:r>
    </w:p>
    <w:p w14:paraId="18E449F1" w14:textId="77777777" w:rsidR="009631B4" w:rsidRPr="00835F9E" w:rsidRDefault="009631B4" w:rsidP="009631B4">
      <w:pPr>
        <w:spacing w:line="240" w:lineRule="auto"/>
        <w:rPr>
          <w:rFonts w:cs="Times"/>
          <w:lang w:val="en-GB"/>
        </w:rPr>
      </w:pPr>
      <w:r w:rsidRPr="00835F9E">
        <w:rPr>
          <w:rFonts w:cs="Times"/>
          <w:lang w:val="en-GB"/>
        </w:rPr>
        <w:t>The second aim of FENIX is the representation of a set of success stories coming from the application of circular economy principles in different industrial sectors. FENIX will demonstrate how the adoption of circular economy principles can enable more sustainable supply chains, by increasing quality, market value and alternative exploitation of secondary materials. FENIX will enable a concrete sharing of capacity among different industrial contexts and the active participation of local communities in industrial processes. This will enable a long-lasting European leadership in innovative manufacturing plants engineering.</w:t>
      </w:r>
    </w:p>
    <w:p w14:paraId="08F559A0" w14:textId="77777777" w:rsidR="009631B4" w:rsidRPr="00835F9E" w:rsidRDefault="009631B4" w:rsidP="009631B4">
      <w:pPr>
        <w:spacing w:line="240" w:lineRule="auto"/>
        <w:rPr>
          <w:rFonts w:cs="Times"/>
          <w:lang w:val="en-GB"/>
        </w:rPr>
      </w:pPr>
      <w:r w:rsidRPr="00835F9E">
        <w:rPr>
          <w:rFonts w:cs="Times"/>
          <w:lang w:val="en-GB"/>
        </w:rPr>
        <w:t xml:space="preserve">The design and engineering needed for the three pilot plants will follow a similar logic. All the pilot plants must be modular, focused on multi-materials and easily reconfigurable. These three features are the basic enablers for the adoption of the same pilot in different industrial contexts. From one side, modularity will allow: (a) the selection of the only set of modules constituting the overall FENIX pilot needed by end users and (b) the parallel use of each FENIX pilot plant’s module for different purposes. For example, a user interested only in recovering materials from wastes will decide to exploit the only assembly/disassembly and materials recovery modules, without considering the additive manufacturing one. From another side, the focus on multi-materials could guarantee a wider exploitation of the FENIX pilot – or better its materials recovery module – for treating several kinds of wastes, even different from the ones selected during the project. From the last side, the easiness of reconfiguration could allow a shorter setup time for </w:t>
      </w:r>
      <w:proofErr w:type="spellStart"/>
      <w:r w:rsidRPr="00835F9E">
        <w:rPr>
          <w:rFonts w:cs="Times"/>
          <w:lang w:val="en-GB"/>
        </w:rPr>
        <w:t>adequating</w:t>
      </w:r>
      <w:proofErr w:type="spellEnd"/>
      <w:r w:rsidRPr="00835F9E">
        <w:rPr>
          <w:rFonts w:cs="Times"/>
          <w:lang w:val="en-GB"/>
        </w:rPr>
        <w:t xml:space="preserve"> the FENIX pilot to different recovery/production processes. </w:t>
      </w:r>
    </w:p>
    <w:p w14:paraId="477C1602" w14:textId="77777777" w:rsidR="009631B4" w:rsidRPr="00835F9E" w:rsidRDefault="009631B4" w:rsidP="009631B4">
      <w:pPr>
        <w:rPr>
          <w:rFonts w:cs="Times"/>
          <w:lang w:val="en-GB"/>
        </w:rPr>
      </w:pPr>
      <w:r w:rsidRPr="00835F9E">
        <w:rPr>
          <w:rFonts w:cs="Times"/>
          <w:lang w:val="en-GB"/>
        </w:rPr>
        <w:t>All the FENIX pilot plant’s modules are based on already existing pilot plants:</w:t>
      </w:r>
    </w:p>
    <w:p w14:paraId="7E651E1E" w14:textId="77777777" w:rsidR="009631B4" w:rsidRPr="00835F9E" w:rsidRDefault="009631B4" w:rsidP="009631B4">
      <w:pPr>
        <w:pStyle w:val="BulletItem"/>
        <w:numPr>
          <w:ilvl w:val="0"/>
          <w:numId w:val="22"/>
        </w:numPr>
        <w:rPr>
          <w:rFonts w:cs="Times"/>
          <w:lang w:val="en-GB"/>
        </w:rPr>
      </w:pPr>
      <w:r w:rsidRPr="00835F9E">
        <w:rPr>
          <w:rFonts w:cs="Times"/>
          <w:lang w:val="en-GB"/>
        </w:rPr>
        <w:t xml:space="preserve">Industry 4.0 Lab: POLIMI is going to implement within its Department of Management, </w:t>
      </w:r>
      <w:proofErr w:type="gramStart"/>
      <w:r w:rsidRPr="00835F9E">
        <w:rPr>
          <w:rFonts w:cs="Times"/>
          <w:lang w:val="en-GB"/>
        </w:rPr>
        <w:t>Economics</w:t>
      </w:r>
      <w:proofErr w:type="gramEnd"/>
      <w:r w:rsidRPr="00835F9E">
        <w:rPr>
          <w:rFonts w:cs="Times"/>
          <w:lang w:val="en-GB"/>
        </w:rPr>
        <w:t xml:space="preserve"> and Industrial Engineering a pilot plant dedicated to assembly/disassembly activities. This demonstrative, lab-scaled, manufacturing process will be adequately reconfigured to manage the selected kind of obsolete products that could be the source of materials to be recovered during FENIX.</w:t>
      </w:r>
    </w:p>
    <w:p w14:paraId="08416B79" w14:textId="77777777" w:rsidR="009631B4" w:rsidRPr="00835F9E" w:rsidRDefault="009631B4" w:rsidP="009631B4">
      <w:pPr>
        <w:pStyle w:val="BulletItem"/>
        <w:numPr>
          <w:ilvl w:val="0"/>
          <w:numId w:val="22"/>
        </w:numPr>
        <w:rPr>
          <w:rFonts w:cs="Times"/>
          <w:lang w:val="en-GB"/>
        </w:rPr>
      </w:pPr>
      <w:proofErr w:type="spellStart"/>
      <w:r w:rsidRPr="00835F9E">
        <w:rPr>
          <w:rFonts w:cs="Times"/>
          <w:lang w:val="en-GB"/>
        </w:rPr>
        <w:t>HydroWEEE</w:t>
      </w:r>
      <w:proofErr w:type="spellEnd"/>
      <w:r w:rsidRPr="00835F9E">
        <w:rPr>
          <w:rFonts w:cs="Times"/>
          <w:lang w:val="en-GB"/>
        </w:rPr>
        <w:t>/Demo pilot plant: UNIVAQ, together with SAT and GREEN, has already implemented a mobile pilot plant dedicated to the recovery of materials from electronic wastes. This chemical process will be adequately reconfigured to manage different kinds of materials in a more sustainable way.</w:t>
      </w:r>
    </w:p>
    <w:p w14:paraId="50C4BD20" w14:textId="77777777" w:rsidR="009631B4" w:rsidRPr="00835F9E" w:rsidRDefault="009631B4" w:rsidP="009631B4">
      <w:pPr>
        <w:pStyle w:val="BulletItem"/>
        <w:numPr>
          <w:ilvl w:val="0"/>
          <w:numId w:val="22"/>
        </w:numPr>
        <w:rPr>
          <w:rFonts w:cs="Times"/>
          <w:lang w:val="en-GB"/>
        </w:rPr>
      </w:pPr>
      <w:r w:rsidRPr="00835F9E">
        <w:rPr>
          <w:rFonts w:cs="Times"/>
          <w:lang w:val="en-GB"/>
        </w:rPr>
        <w:t>High Energy Ball Milling pilot plant: MBN has already developed a pilot plant for High Energy Ball Milling of metal and ceramic materials producing pow</w:t>
      </w:r>
      <w:r w:rsidRPr="00835F9E">
        <w:rPr>
          <w:rFonts w:cs="Times"/>
          <w:lang w:val="en-GB"/>
        </w:rPr>
        <w:lastRenderedPageBreak/>
        <w:t>ders for additive manufacturing and thermal spraying purposes. This pilot plant will be adequately reconfigured basing on the new requirements of the FENIX project.</w:t>
      </w:r>
    </w:p>
    <w:p w14:paraId="269848FF" w14:textId="77777777" w:rsidR="009631B4" w:rsidRPr="00835F9E" w:rsidRDefault="009631B4" w:rsidP="009631B4">
      <w:pPr>
        <w:spacing w:line="240" w:lineRule="auto"/>
        <w:rPr>
          <w:rFonts w:cs="Times"/>
          <w:lang w:val="en-GB"/>
        </w:rPr>
      </w:pPr>
      <w:r w:rsidRPr="00835F9E">
        <w:rPr>
          <w:rFonts w:cs="Times"/>
          <w:lang w:val="en-GB"/>
        </w:rPr>
        <w:t xml:space="preserve">The third aim of FENIX is the integration of Key Enabling Technologies (KETs) for the efficient recovery of secondary resources. FENIX will support the integration of different KETs within a unique industrial plant. Industry 4.0 and circular economy principles will be considered in the project, </w:t>
      </w:r>
      <w:proofErr w:type="gramStart"/>
      <w:r w:rsidRPr="00835F9E">
        <w:rPr>
          <w:rFonts w:cs="Times"/>
          <w:lang w:val="en-GB"/>
        </w:rPr>
        <w:t>in order to</w:t>
      </w:r>
      <w:proofErr w:type="gramEnd"/>
      <w:r w:rsidRPr="00835F9E">
        <w:rPr>
          <w:rFonts w:cs="Times"/>
          <w:lang w:val="en-GB"/>
        </w:rPr>
        <w:t xml:space="preserve"> enhance the development of innovative business models and supply chains based on new kinds of product-service concepts. Essentially, two types of KETs will be considered by FENIX:</w:t>
      </w:r>
    </w:p>
    <w:p w14:paraId="3B352658" w14:textId="77777777" w:rsidR="009631B4" w:rsidRPr="00835F9E" w:rsidRDefault="009631B4" w:rsidP="009631B4">
      <w:pPr>
        <w:pStyle w:val="NumberedItem"/>
        <w:numPr>
          <w:ilvl w:val="0"/>
          <w:numId w:val="26"/>
        </w:numPr>
        <w:ind w:left="238" w:hanging="238"/>
        <w:rPr>
          <w:rFonts w:cs="Times"/>
          <w:lang w:val="en-GB"/>
        </w:rPr>
      </w:pPr>
      <w:r w:rsidRPr="00835F9E">
        <w:rPr>
          <w:rFonts w:cs="Times"/>
          <w:lang w:val="en-GB"/>
        </w:rPr>
        <w:t xml:space="preserve">Advanced manufacturing systems: a wide number of sensors will be embedded within each module constituting the FENIX pilot plant. These components will have a double role. From one side, they will allow a real-time control and optimization of operational procedures. From another side, they will allow the real-time sharing of information with the society. At the same time, the integration of automated assembly/disassembly procedures, advanced materials recovery techniques, additive manufacturing technologies and the digital world will put together sustainable processes and local societies.   </w:t>
      </w:r>
    </w:p>
    <w:p w14:paraId="010CD14B" w14:textId="77777777" w:rsidR="009631B4" w:rsidRPr="00835F9E" w:rsidRDefault="009631B4" w:rsidP="009631B4">
      <w:pPr>
        <w:pStyle w:val="NumberedItem"/>
        <w:numPr>
          <w:ilvl w:val="0"/>
          <w:numId w:val="26"/>
        </w:numPr>
        <w:ind w:left="238" w:hanging="238"/>
        <w:rPr>
          <w:rFonts w:cs="Times"/>
          <w:lang w:val="en-GB"/>
        </w:rPr>
      </w:pPr>
      <w:r w:rsidRPr="00835F9E">
        <w:rPr>
          <w:rFonts w:cs="Times"/>
          <w:lang w:val="en-GB"/>
        </w:rPr>
        <w:t xml:space="preserve">Industrial biotechnology: since the initial steps, FENIX considered the exploitation of </w:t>
      </w:r>
      <w:proofErr w:type="spellStart"/>
      <w:r w:rsidRPr="00835F9E">
        <w:rPr>
          <w:rFonts w:cs="Times"/>
          <w:lang w:val="en-GB"/>
        </w:rPr>
        <w:t>biometallurgy</w:t>
      </w:r>
      <w:proofErr w:type="spellEnd"/>
      <w:r w:rsidRPr="00835F9E">
        <w:rPr>
          <w:rFonts w:cs="Times"/>
          <w:lang w:val="en-GB"/>
        </w:rPr>
        <w:t xml:space="preserve"> for the sustainable recovery of materials from different kinds of wastes. The final aim is demonstrating not only the environmental and social sustainability related to this type of processes, but especially their economic </w:t>
      </w:r>
      <w:proofErr w:type="gramStart"/>
      <w:r w:rsidRPr="00835F9E">
        <w:rPr>
          <w:rFonts w:cs="Times"/>
          <w:lang w:val="en-GB"/>
        </w:rPr>
        <w:t>relevance</w:t>
      </w:r>
      <w:proofErr w:type="gramEnd"/>
    </w:p>
    <w:p w14:paraId="63C5DD1F" w14:textId="77777777" w:rsidR="009631B4" w:rsidRPr="00835F9E" w:rsidRDefault="009631B4" w:rsidP="009631B4">
      <w:pPr>
        <w:pStyle w:val="NumberedItem"/>
        <w:numPr>
          <w:ilvl w:val="0"/>
          <w:numId w:val="26"/>
        </w:numPr>
        <w:ind w:left="238" w:hanging="238"/>
        <w:rPr>
          <w:rFonts w:cs="Times"/>
          <w:lang w:val="en-GB"/>
        </w:rPr>
      </w:pPr>
      <w:r w:rsidRPr="00835F9E">
        <w:rPr>
          <w:rFonts w:cs="Times"/>
          <w:lang w:val="en-GB"/>
        </w:rPr>
        <w:t xml:space="preserve">Nanotechnology: this kind of material technologies enables an improvement of mechanical properties of materials, as well as thermal and electrical conductivity and functional properties. These technologies open the market to new materials able to substitute the most critical ones used today and seek more lightweight solutions than current materials. The High Energy Ball Milling process will induce a nano-structurization in materials that will be retained in the manufacturing process by additive laser sintering, thermal </w:t>
      </w:r>
      <w:proofErr w:type="gramStart"/>
      <w:r w:rsidRPr="00835F9E">
        <w:rPr>
          <w:rFonts w:cs="Times"/>
          <w:lang w:val="en-GB"/>
        </w:rPr>
        <w:t>spraying</w:t>
      </w:r>
      <w:proofErr w:type="gramEnd"/>
      <w:r w:rsidRPr="00835F9E">
        <w:rPr>
          <w:rFonts w:cs="Times"/>
          <w:lang w:val="en-GB"/>
        </w:rPr>
        <w:t xml:space="preserve"> and fast sintering.</w:t>
      </w:r>
    </w:p>
    <w:p w14:paraId="38C0D4EA" w14:textId="77777777" w:rsidR="009631B4" w:rsidRPr="00835F9E" w:rsidRDefault="009631B4" w:rsidP="009631B4">
      <w:pPr>
        <w:spacing w:line="240" w:lineRule="auto"/>
        <w:rPr>
          <w:rFonts w:cs="Times"/>
          <w:lang w:val="en-GB"/>
        </w:rPr>
      </w:pPr>
      <w:r w:rsidRPr="00835F9E">
        <w:rPr>
          <w:rFonts w:cs="Times"/>
          <w:lang w:val="en-GB"/>
        </w:rPr>
        <w:t xml:space="preserve">These three aims are represented all together in the following Fig. 1.1, which represents how circular economy principles and digital tools will be used in the project to implement and test the three different modules constituting the FENIX pilot plant, using an iterative flow of data and knowledge between different actors involved in the supply chain. FENIX will allow closing the material’s loop between original production, </w:t>
      </w:r>
      <w:proofErr w:type="gramStart"/>
      <w:r w:rsidRPr="00835F9E">
        <w:rPr>
          <w:rFonts w:cs="Times"/>
          <w:lang w:val="en-GB"/>
        </w:rPr>
        <w:t>usage</w:t>
      </w:r>
      <w:proofErr w:type="gramEnd"/>
      <w:r w:rsidRPr="00835F9E">
        <w:rPr>
          <w:rFonts w:cs="Times"/>
          <w:lang w:val="en-GB"/>
        </w:rPr>
        <w:t xml:space="preserve"> and final recovery, providing IT tools supporting a continuous cooperation between industrial and private contexts, from one side, and different industrial sectors from the other side. This approach will help advanced materials recovery techniques to reach better new market requirements, sharing overcapacity and better linking industrial plants with local communities, by also increasing the European manufacturing sector competitiveness worldwide. FENIX, through a wide usage of sensors and social media, will collect information </w:t>
      </w:r>
      <w:r w:rsidRPr="00835F9E">
        <w:rPr>
          <w:rFonts w:cs="Times"/>
          <w:lang w:val="en-GB"/>
        </w:rPr>
        <w:lastRenderedPageBreak/>
        <w:t>from the plant and will share them with different end users, supporting them in several daily operational aspects.</w:t>
      </w:r>
    </w:p>
    <w:p w14:paraId="58B4F477" w14:textId="77777777" w:rsidR="009631B4" w:rsidRPr="00835F9E" w:rsidRDefault="009631B4" w:rsidP="009631B4">
      <w:pPr>
        <w:spacing w:line="240" w:lineRule="auto"/>
        <w:rPr>
          <w:rFonts w:cs="Times"/>
          <w:lang w:val="en-GB"/>
        </w:rPr>
      </w:pPr>
    </w:p>
    <w:p w14:paraId="311362CE" w14:textId="77777777" w:rsidR="009631B4" w:rsidRPr="00835F9E" w:rsidRDefault="006552BB" w:rsidP="009631B4">
      <w:pPr>
        <w:spacing w:line="240" w:lineRule="auto"/>
        <w:rPr>
          <w:rFonts w:cs="Times"/>
        </w:rPr>
      </w:pPr>
      <w:r>
        <w:rPr>
          <w:rFonts w:cs="Times"/>
          <w:lang w:val="en-GB"/>
        </w:rPr>
        <w:pict w14:anchorId="5C7B9F4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magine 1" o:spid="_x0000_i1025" type="#_x0000_t75" style="width:339.95pt;height:245.45pt;visibility:visible;mso-wrap-style:square">
            <v:imagedata r:id="rId9" o:title=""/>
          </v:shape>
        </w:pict>
      </w:r>
      <w:r w:rsidR="009631B4" w:rsidRPr="00835F9E">
        <w:rPr>
          <w:rFonts w:cs="Times"/>
        </w:rPr>
        <w:t xml:space="preserve"> </w:t>
      </w:r>
    </w:p>
    <w:p w14:paraId="4FC2500D" w14:textId="77777777" w:rsidR="009631B4" w:rsidRPr="00835F9E" w:rsidRDefault="009631B4" w:rsidP="009631B4">
      <w:pPr>
        <w:pStyle w:val="figlegend"/>
      </w:pPr>
      <w:bookmarkStart w:id="5" w:name="_Ref479240289"/>
      <w:r w:rsidRPr="00AC1C40">
        <w:rPr>
          <w:b/>
        </w:rPr>
        <w:t xml:space="preserve">Fig. </w:t>
      </w:r>
      <w:r>
        <w:rPr>
          <w:b/>
        </w:rPr>
        <w:t>1</w:t>
      </w:r>
      <w:r w:rsidRPr="00AC1C40">
        <w:rPr>
          <w:b/>
        </w:rPr>
        <w:t>.</w:t>
      </w:r>
      <w:r>
        <w:rPr>
          <w:b/>
        </w:rPr>
        <w:t>1</w:t>
      </w:r>
      <w:r w:rsidRPr="00AC1C40">
        <w:t xml:space="preserve"> </w:t>
      </w:r>
      <w:r w:rsidRPr="00835F9E">
        <w:t>Overall concept of the FENIX project</w:t>
      </w:r>
      <w:bookmarkEnd w:id="5"/>
    </w:p>
    <w:p w14:paraId="6C85ED0B" w14:textId="77777777" w:rsidR="009631B4" w:rsidRPr="00835F9E" w:rsidRDefault="009631B4" w:rsidP="009631B4">
      <w:pPr>
        <w:rPr>
          <w:rFonts w:cs="Times"/>
          <w:lang w:eastAsia="it-IT"/>
        </w:rPr>
      </w:pPr>
    </w:p>
    <w:p w14:paraId="68E3B588" w14:textId="77777777" w:rsidR="009631B4" w:rsidRPr="00835F9E" w:rsidRDefault="009631B4" w:rsidP="009631B4">
      <w:pPr>
        <w:spacing w:line="240" w:lineRule="auto"/>
        <w:rPr>
          <w:rFonts w:cs="Times"/>
          <w:lang w:val="en-GB"/>
        </w:rPr>
      </w:pPr>
      <w:r w:rsidRPr="00835F9E">
        <w:rPr>
          <w:rFonts w:cs="Times"/>
          <w:lang w:val="en-GB"/>
        </w:rPr>
        <w:t>When products will reach their end-of-life, becoming waste, they will be collected and sent to the FENIX pilot plant. Here, the manufacturing/</w:t>
      </w:r>
      <w:proofErr w:type="spellStart"/>
      <w:r w:rsidRPr="00835F9E">
        <w:rPr>
          <w:rFonts w:cs="Times"/>
          <w:lang w:val="en-GB"/>
        </w:rPr>
        <w:t>demanufacturing</w:t>
      </w:r>
      <w:proofErr w:type="spellEnd"/>
      <w:r w:rsidRPr="00835F9E">
        <w:rPr>
          <w:rFonts w:cs="Times"/>
          <w:lang w:val="en-GB"/>
        </w:rPr>
        <w:t xml:space="preserve"> module will disassemble them, by extracting only the most relevant components (basing on materials contents). These components will be shredded and reduced into powders. Once separated basing on their physical characteristics, the </w:t>
      </w:r>
      <w:proofErr w:type="spellStart"/>
      <w:r w:rsidRPr="00835F9E">
        <w:rPr>
          <w:rFonts w:cs="Times"/>
          <w:lang w:val="en-GB"/>
        </w:rPr>
        <w:t>biometallurgical</w:t>
      </w:r>
      <w:proofErr w:type="spellEnd"/>
      <w:r w:rsidRPr="00835F9E">
        <w:rPr>
          <w:rFonts w:cs="Times"/>
          <w:lang w:val="en-GB"/>
        </w:rPr>
        <w:t xml:space="preserve"> module will recover and refine metals. The additive manufacturing module, for producing value-added products, will exploit these metals (see use case description for details). In case of complex products being produced, the manufacturing/</w:t>
      </w:r>
      <w:proofErr w:type="spellStart"/>
      <w:r w:rsidRPr="00835F9E">
        <w:rPr>
          <w:rFonts w:cs="Times"/>
          <w:lang w:val="en-GB"/>
        </w:rPr>
        <w:t>demanufacturing</w:t>
      </w:r>
      <w:proofErr w:type="spellEnd"/>
      <w:r w:rsidRPr="00835F9E">
        <w:rPr>
          <w:rFonts w:cs="Times"/>
          <w:lang w:val="en-GB"/>
        </w:rPr>
        <w:t xml:space="preserve"> module will be reconfigured for managing and automate the final assembly process.</w:t>
      </w:r>
    </w:p>
    <w:p w14:paraId="02B80A09" w14:textId="77777777" w:rsidR="009631B4" w:rsidRPr="00835F9E" w:rsidRDefault="009631B4" w:rsidP="009631B4">
      <w:pPr>
        <w:pStyle w:val="heading1"/>
        <w:rPr>
          <w:rFonts w:cs="Times"/>
          <w:b w:val="0"/>
          <w:sz w:val="20"/>
          <w:lang w:val="en-GB"/>
        </w:rPr>
      </w:pPr>
      <w:bookmarkStart w:id="6" w:name="_Toc47702100"/>
      <w:r w:rsidRPr="00835F9E">
        <w:rPr>
          <w:rFonts w:cs="Times"/>
          <w:b w:val="0"/>
          <w:sz w:val="20"/>
          <w:lang w:val="en-GB"/>
        </w:rPr>
        <w:t>References</w:t>
      </w:r>
      <w:bookmarkEnd w:id="6"/>
    </w:p>
    <w:p w14:paraId="4B6CA9B3" w14:textId="067A8AEC" w:rsidR="0070633B" w:rsidRPr="0070633B" w:rsidRDefault="009631B4" w:rsidP="0070633B">
      <w:pPr>
        <w:widowControl w:val="0"/>
        <w:ind w:left="640" w:hanging="640"/>
        <w:rPr>
          <w:rFonts w:cs="Times"/>
          <w:noProof/>
          <w:szCs w:val="24"/>
        </w:rPr>
      </w:pPr>
      <w:r w:rsidRPr="00835F9E">
        <w:rPr>
          <w:rFonts w:cs="Times"/>
          <w:lang w:val="en-GB"/>
        </w:rPr>
        <w:fldChar w:fldCharType="begin" w:fldLock="1"/>
      </w:r>
      <w:r w:rsidRPr="00835F9E">
        <w:rPr>
          <w:rFonts w:cs="Times"/>
          <w:lang w:val="en-GB"/>
        </w:rPr>
        <w:instrText xml:space="preserve">ADDIN Mendeley Bibliography CSL_BIBLIOGRAPHY </w:instrText>
      </w:r>
      <w:r w:rsidRPr="00835F9E">
        <w:rPr>
          <w:rFonts w:cs="Times"/>
          <w:lang w:val="en-GB"/>
        </w:rPr>
        <w:fldChar w:fldCharType="separate"/>
      </w:r>
      <w:r w:rsidR="0070633B" w:rsidRPr="0070633B">
        <w:rPr>
          <w:rFonts w:cs="Times"/>
          <w:noProof/>
          <w:szCs w:val="24"/>
        </w:rPr>
        <w:t>[1]</w:t>
      </w:r>
      <w:r w:rsidR="0070633B" w:rsidRPr="0070633B">
        <w:rPr>
          <w:rFonts w:cs="Times"/>
          <w:noProof/>
          <w:szCs w:val="24"/>
        </w:rPr>
        <w:tab/>
        <w:t>The Ellen MacArthur Foundation, “Towards a Circular Economy: Business Rationale for an Accelerated Transition,” 2015. doi: 2012-04-03.</w:t>
      </w:r>
    </w:p>
    <w:p w14:paraId="22B70E46" w14:textId="77777777" w:rsidR="0070633B" w:rsidRPr="0070633B" w:rsidRDefault="0070633B" w:rsidP="0070633B">
      <w:pPr>
        <w:widowControl w:val="0"/>
        <w:ind w:left="640" w:hanging="640"/>
        <w:rPr>
          <w:rFonts w:cs="Times"/>
          <w:noProof/>
          <w:szCs w:val="24"/>
        </w:rPr>
      </w:pPr>
      <w:r w:rsidRPr="0070633B">
        <w:rPr>
          <w:rFonts w:cs="Times"/>
          <w:noProof/>
          <w:szCs w:val="24"/>
        </w:rPr>
        <w:lastRenderedPageBreak/>
        <w:t>[2]</w:t>
      </w:r>
      <w:r w:rsidRPr="0070633B">
        <w:rPr>
          <w:rFonts w:cs="Times"/>
          <w:noProof/>
          <w:szCs w:val="24"/>
        </w:rPr>
        <w:tab/>
        <w:t xml:space="preserve">B. Su, A. Heshmati, Y. Geng, and X. Yu, “A review of the circular economy in China: Moving from rhetoric to implementation,” </w:t>
      </w:r>
      <w:r w:rsidRPr="0070633B">
        <w:rPr>
          <w:rFonts w:cs="Times"/>
          <w:i/>
          <w:iCs/>
          <w:noProof/>
          <w:szCs w:val="24"/>
        </w:rPr>
        <w:t>J. Clean. Prod.</w:t>
      </w:r>
      <w:r w:rsidRPr="0070633B">
        <w:rPr>
          <w:rFonts w:cs="Times"/>
          <w:noProof/>
          <w:szCs w:val="24"/>
        </w:rPr>
        <w:t>, vol. 42, pp. 215–227, 2013, doi: 10.1016/j.jclepro.2012.11.020.</w:t>
      </w:r>
    </w:p>
    <w:p w14:paraId="63AB4987" w14:textId="77777777" w:rsidR="0070633B" w:rsidRPr="0070633B" w:rsidRDefault="0070633B" w:rsidP="0070633B">
      <w:pPr>
        <w:widowControl w:val="0"/>
        <w:ind w:left="640" w:hanging="640"/>
        <w:rPr>
          <w:rFonts w:cs="Times"/>
          <w:noProof/>
          <w:szCs w:val="24"/>
        </w:rPr>
      </w:pPr>
      <w:r w:rsidRPr="0070633B">
        <w:rPr>
          <w:rFonts w:cs="Times"/>
          <w:noProof/>
          <w:szCs w:val="24"/>
        </w:rPr>
        <w:t>[3]</w:t>
      </w:r>
      <w:r w:rsidRPr="0070633B">
        <w:rPr>
          <w:rFonts w:cs="Times"/>
          <w:noProof/>
          <w:szCs w:val="24"/>
        </w:rPr>
        <w:tab/>
        <w:t xml:space="preserve">W. R. Stahel and G. Reday-Mulvey, </w:t>
      </w:r>
      <w:r w:rsidRPr="0070633B">
        <w:rPr>
          <w:rFonts w:cs="Times"/>
          <w:i/>
          <w:iCs/>
          <w:noProof/>
          <w:szCs w:val="24"/>
        </w:rPr>
        <w:t>Jobs for tomorrow: the potential for substituting manpower for energy</w:t>
      </w:r>
      <w:r w:rsidRPr="0070633B">
        <w:rPr>
          <w:rFonts w:cs="Times"/>
          <w:noProof/>
          <w:szCs w:val="24"/>
        </w:rPr>
        <w:t>, 1st ed. New York: Vantage Press, 1981.</w:t>
      </w:r>
    </w:p>
    <w:p w14:paraId="3D309F6D" w14:textId="77777777" w:rsidR="0070633B" w:rsidRPr="0070633B" w:rsidRDefault="0070633B" w:rsidP="0070633B">
      <w:pPr>
        <w:widowControl w:val="0"/>
        <w:ind w:left="640" w:hanging="640"/>
        <w:rPr>
          <w:rFonts w:cs="Times"/>
          <w:noProof/>
          <w:szCs w:val="24"/>
        </w:rPr>
      </w:pPr>
      <w:r w:rsidRPr="0070633B">
        <w:rPr>
          <w:rFonts w:cs="Times"/>
          <w:noProof/>
          <w:szCs w:val="24"/>
        </w:rPr>
        <w:t>[4]</w:t>
      </w:r>
      <w:r w:rsidRPr="0070633B">
        <w:rPr>
          <w:rFonts w:cs="Times"/>
          <w:noProof/>
          <w:szCs w:val="24"/>
        </w:rPr>
        <w:tab/>
        <w:t xml:space="preserve">D. W. Pearce and R. K. Turner, “Economics of natural resources and the environment,” </w:t>
      </w:r>
      <w:r w:rsidRPr="0070633B">
        <w:rPr>
          <w:rFonts w:cs="Times"/>
          <w:i/>
          <w:iCs/>
          <w:noProof/>
          <w:szCs w:val="24"/>
        </w:rPr>
        <w:t>Land Econ.</w:t>
      </w:r>
      <w:r w:rsidRPr="0070633B">
        <w:rPr>
          <w:rFonts w:cs="Times"/>
          <w:noProof/>
          <w:szCs w:val="24"/>
        </w:rPr>
        <w:t>, vol. 67, no. 2, pp. 272–276, 1991, doi: 10.1016/0308-521X(91)90051-B.</w:t>
      </w:r>
    </w:p>
    <w:p w14:paraId="0D60FB35" w14:textId="77777777" w:rsidR="0070633B" w:rsidRPr="0070633B" w:rsidRDefault="0070633B" w:rsidP="0070633B">
      <w:pPr>
        <w:widowControl w:val="0"/>
        <w:ind w:left="640" w:hanging="640"/>
        <w:rPr>
          <w:rFonts w:cs="Times"/>
          <w:noProof/>
          <w:szCs w:val="24"/>
        </w:rPr>
      </w:pPr>
      <w:r w:rsidRPr="0070633B">
        <w:rPr>
          <w:rFonts w:cs="Times"/>
          <w:noProof/>
          <w:szCs w:val="24"/>
        </w:rPr>
        <w:t>[5]</w:t>
      </w:r>
      <w:r w:rsidRPr="0070633B">
        <w:rPr>
          <w:rFonts w:cs="Times"/>
          <w:noProof/>
          <w:szCs w:val="24"/>
        </w:rPr>
        <w:tab/>
        <w:t>M. A. Reuter, C. Hudson, A. van Schaik, K. Heiskanen, C. Meskers, and C. Hagelüken, “Metal Recycling: Opportunities, Limits, Infrastructure, A report of the Working Group on the Global Metal Flows to the International Resource Panel,” UNEP - United Nations Environment Programme, 2013.</w:t>
      </w:r>
    </w:p>
    <w:p w14:paraId="5C91D53A" w14:textId="77777777" w:rsidR="0070633B" w:rsidRPr="0070633B" w:rsidRDefault="0070633B" w:rsidP="0070633B">
      <w:pPr>
        <w:widowControl w:val="0"/>
        <w:ind w:left="640" w:hanging="640"/>
        <w:rPr>
          <w:rFonts w:cs="Times"/>
          <w:noProof/>
          <w:szCs w:val="24"/>
        </w:rPr>
      </w:pPr>
      <w:r w:rsidRPr="0070633B">
        <w:rPr>
          <w:rFonts w:cs="Times"/>
          <w:noProof/>
          <w:szCs w:val="24"/>
        </w:rPr>
        <w:t>[6]</w:t>
      </w:r>
      <w:r w:rsidRPr="0070633B">
        <w:rPr>
          <w:rFonts w:cs="Times"/>
          <w:noProof/>
          <w:szCs w:val="24"/>
        </w:rPr>
        <w:tab/>
        <w:t xml:space="preserve">M. Rüßmann </w:t>
      </w:r>
      <w:r w:rsidRPr="0070633B">
        <w:rPr>
          <w:rFonts w:cs="Times"/>
          <w:i/>
          <w:iCs/>
          <w:noProof/>
          <w:szCs w:val="24"/>
        </w:rPr>
        <w:t>et al.</w:t>
      </w:r>
      <w:r w:rsidRPr="0070633B">
        <w:rPr>
          <w:rFonts w:cs="Times"/>
          <w:noProof/>
          <w:szCs w:val="24"/>
        </w:rPr>
        <w:t>, “Industry 4.0 - The Future of Productivity and Growth in Manufacturing Industries,” 2015. doi: 10.1007/s12599-014-0334-4.</w:t>
      </w:r>
    </w:p>
    <w:p w14:paraId="61ADFC04" w14:textId="77777777" w:rsidR="0070633B" w:rsidRPr="0070633B" w:rsidRDefault="0070633B" w:rsidP="0070633B">
      <w:pPr>
        <w:widowControl w:val="0"/>
        <w:ind w:left="640" w:hanging="640"/>
        <w:rPr>
          <w:rFonts w:cs="Times"/>
          <w:noProof/>
          <w:szCs w:val="24"/>
        </w:rPr>
      </w:pPr>
      <w:r w:rsidRPr="0070633B">
        <w:rPr>
          <w:rFonts w:cs="Times"/>
          <w:noProof/>
          <w:szCs w:val="24"/>
        </w:rPr>
        <w:t>[7]</w:t>
      </w:r>
      <w:r w:rsidRPr="0070633B">
        <w:rPr>
          <w:rFonts w:cs="Times"/>
          <w:noProof/>
          <w:szCs w:val="24"/>
        </w:rPr>
        <w:tab/>
        <w:t xml:space="preserve">J. Lee, B. Bagheri, and H.-A. Kao, “A Cyber-Physical Systems architecture for Industry 4.0-based manufacturing systems,” </w:t>
      </w:r>
      <w:r w:rsidRPr="0070633B">
        <w:rPr>
          <w:rFonts w:cs="Times"/>
          <w:i/>
          <w:iCs/>
          <w:noProof/>
          <w:szCs w:val="24"/>
        </w:rPr>
        <w:t>Manuf. Lett.</w:t>
      </w:r>
      <w:r w:rsidRPr="0070633B">
        <w:rPr>
          <w:rFonts w:cs="Times"/>
          <w:noProof/>
          <w:szCs w:val="24"/>
        </w:rPr>
        <w:t>, vol. 3, pp. 18–23, 2015, doi: 10.1109/ISORC.2008.25.</w:t>
      </w:r>
    </w:p>
    <w:p w14:paraId="6AAA1F82" w14:textId="77777777" w:rsidR="0070633B" w:rsidRPr="0070633B" w:rsidRDefault="0070633B" w:rsidP="0070633B">
      <w:pPr>
        <w:widowControl w:val="0"/>
        <w:ind w:left="640" w:hanging="640"/>
        <w:rPr>
          <w:rFonts w:cs="Times"/>
          <w:noProof/>
          <w:szCs w:val="24"/>
        </w:rPr>
      </w:pPr>
      <w:r w:rsidRPr="0070633B">
        <w:rPr>
          <w:rFonts w:cs="Times"/>
          <w:noProof/>
          <w:szCs w:val="24"/>
        </w:rPr>
        <w:t>[8]</w:t>
      </w:r>
      <w:r w:rsidRPr="0070633B">
        <w:rPr>
          <w:rFonts w:cs="Times"/>
          <w:noProof/>
          <w:szCs w:val="24"/>
        </w:rPr>
        <w:tab/>
        <w:t xml:space="preserve">M. Nasiri, N. Tura, and V. Ojanen, “Developing disruptive innovations for sustainability: A review on Impact of Internet of Things (IOT),” in </w:t>
      </w:r>
      <w:r w:rsidRPr="0070633B">
        <w:rPr>
          <w:rFonts w:cs="Times"/>
          <w:i/>
          <w:iCs/>
          <w:noProof/>
          <w:szCs w:val="24"/>
        </w:rPr>
        <w:t>PICMET ’17 - Portland International Conference on Management of Engineering and Technology</w:t>
      </w:r>
      <w:r w:rsidRPr="0070633B">
        <w:rPr>
          <w:rFonts w:cs="Times"/>
          <w:noProof/>
          <w:szCs w:val="24"/>
        </w:rPr>
        <w:t>, 2017, pp. 1–10, doi: 10.23919/PICMET.2017.8125369.</w:t>
      </w:r>
    </w:p>
    <w:p w14:paraId="1B87BA4F" w14:textId="77777777" w:rsidR="0070633B" w:rsidRPr="0070633B" w:rsidRDefault="0070633B" w:rsidP="0070633B">
      <w:pPr>
        <w:widowControl w:val="0"/>
        <w:ind w:left="640" w:hanging="640"/>
        <w:rPr>
          <w:rFonts w:cs="Times"/>
          <w:noProof/>
          <w:szCs w:val="24"/>
        </w:rPr>
      </w:pPr>
      <w:r w:rsidRPr="0070633B">
        <w:rPr>
          <w:rFonts w:cs="Times"/>
          <w:noProof/>
          <w:szCs w:val="24"/>
        </w:rPr>
        <w:t>[9]</w:t>
      </w:r>
      <w:r w:rsidRPr="0070633B">
        <w:rPr>
          <w:rFonts w:cs="Times"/>
          <w:noProof/>
          <w:szCs w:val="24"/>
        </w:rPr>
        <w:tab/>
        <w:t xml:space="preserve">A. Soroka, Y. Liu, L. Han, and M. S. Haleem, “Big Data Driven Customer Insights for SMEs in Redistributed Manufacturing,” </w:t>
      </w:r>
      <w:r w:rsidRPr="0070633B">
        <w:rPr>
          <w:rFonts w:cs="Times"/>
          <w:i/>
          <w:iCs/>
          <w:noProof/>
          <w:szCs w:val="24"/>
        </w:rPr>
        <w:t>Procedia CIRP</w:t>
      </w:r>
      <w:r w:rsidRPr="0070633B">
        <w:rPr>
          <w:rFonts w:cs="Times"/>
          <w:noProof/>
          <w:szCs w:val="24"/>
        </w:rPr>
        <w:t>, vol. 63, pp. 692–697, 2017, doi: 10.1016/j.procir.2017.03.319.</w:t>
      </w:r>
    </w:p>
    <w:p w14:paraId="41033ABF" w14:textId="77777777" w:rsidR="0070633B" w:rsidRPr="0070633B" w:rsidRDefault="0070633B" w:rsidP="0070633B">
      <w:pPr>
        <w:widowControl w:val="0"/>
        <w:ind w:left="640" w:hanging="640"/>
        <w:rPr>
          <w:rFonts w:cs="Times"/>
          <w:noProof/>
          <w:szCs w:val="24"/>
        </w:rPr>
      </w:pPr>
      <w:r w:rsidRPr="0070633B">
        <w:rPr>
          <w:rFonts w:cs="Times"/>
          <w:noProof/>
          <w:szCs w:val="24"/>
        </w:rPr>
        <w:t>[10]</w:t>
      </w:r>
      <w:r w:rsidRPr="0070633B">
        <w:rPr>
          <w:rFonts w:cs="Times"/>
          <w:noProof/>
          <w:szCs w:val="24"/>
        </w:rPr>
        <w:tab/>
        <w:t xml:space="preserve">D. Dutta, F. B. Prinz, D. Rosen, and L. Weiss, “Layered Manufacturing: Current Status and Future Trends,” </w:t>
      </w:r>
      <w:r w:rsidRPr="0070633B">
        <w:rPr>
          <w:rFonts w:cs="Times"/>
          <w:i/>
          <w:iCs/>
          <w:noProof/>
          <w:szCs w:val="24"/>
        </w:rPr>
        <w:t>J. Comput. Inf. Sci. Eng.</w:t>
      </w:r>
      <w:r w:rsidRPr="0070633B">
        <w:rPr>
          <w:rFonts w:cs="Times"/>
          <w:noProof/>
          <w:szCs w:val="24"/>
        </w:rPr>
        <w:t>, vol. 1, pp. 60–71, 2001, doi: 10.1115/1.1355029.</w:t>
      </w:r>
    </w:p>
    <w:p w14:paraId="33F18741" w14:textId="77777777" w:rsidR="0070633B" w:rsidRPr="0070633B" w:rsidRDefault="0070633B" w:rsidP="0070633B">
      <w:pPr>
        <w:widowControl w:val="0"/>
        <w:ind w:left="640" w:hanging="640"/>
        <w:rPr>
          <w:rFonts w:cs="Times"/>
          <w:noProof/>
          <w:szCs w:val="24"/>
        </w:rPr>
      </w:pPr>
      <w:r w:rsidRPr="0070633B">
        <w:rPr>
          <w:rFonts w:cs="Times"/>
          <w:noProof/>
          <w:szCs w:val="24"/>
        </w:rPr>
        <w:t>[11]</w:t>
      </w:r>
      <w:r w:rsidRPr="0070633B">
        <w:rPr>
          <w:rFonts w:cs="Times"/>
          <w:noProof/>
          <w:szCs w:val="24"/>
        </w:rPr>
        <w:tab/>
        <w:t xml:space="preserve">R. Roy, “Sustainable Product-Service Systems,” </w:t>
      </w:r>
      <w:r w:rsidRPr="0070633B">
        <w:rPr>
          <w:rFonts w:cs="Times"/>
          <w:i/>
          <w:iCs/>
          <w:noProof/>
          <w:szCs w:val="24"/>
        </w:rPr>
        <w:t>Futures</w:t>
      </w:r>
      <w:r w:rsidRPr="0070633B">
        <w:rPr>
          <w:rFonts w:cs="Times"/>
          <w:noProof/>
          <w:szCs w:val="24"/>
        </w:rPr>
        <w:t>, vol. 32, pp. 289–299, 2000, doi: 10.1007/978-3-319-70223-0_3.</w:t>
      </w:r>
    </w:p>
    <w:p w14:paraId="53DEA898" w14:textId="77777777" w:rsidR="0070633B" w:rsidRPr="0070633B" w:rsidRDefault="0070633B" w:rsidP="0070633B">
      <w:pPr>
        <w:widowControl w:val="0"/>
        <w:ind w:left="640" w:hanging="640"/>
        <w:rPr>
          <w:rFonts w:cs="Times"/>
          <w:noProof/>
          <w:szCs w:val="24"/>
        </w:rPr>
      </w:pPr>
      <w:r w:rsidRPr="0070633B">
        <w:rPr>
          <w:rFonts w:cs="Times"/>
          <w:noProof/>
          <w:szCs w:val="24"/>
        </w:rPr>
        <w:t>[12]</w:t>
      </w:r>
      <w:r w:rsidRPr="0070633B">
        <w:rPr>
          <w:rFonts w:cs="Times"/>
          <w:noProof/>
          <w:szCs w:val="24"/>
        </w:rPr>
        <w:tab/>
        <w:t>M. J. Goedkoop, C. J. G. van Halen, H. R. M. te Riele, and P. J. M. Rommens, “Product service systems, ecological and economic basics,” 1999.</w:t>
      </w:r>
    </w:p>
    <w:p w14:paraId="1FF6C336" w14:textId="77777777" w:rsidR="0070633B" w:rsidRPr="0070633B" w:rsidRDefault="0070633B" w:rsidP="0070633B">
      <w:pPr>
        <w:widowControl w:val="0"/>
        <w:ind w:left="640" w:hanging="640"/>
        <w:rPr>
          <w:rFonts w:cs="Times"/>
          <w:noProof/>
          <w:szCs w:val="24"/>
        </w:rPr>
      </w:pPr>
      <w:r w:rsidRPr="0070633B">
        <w:rPr>
          <w:rFonts w:cs="Times"/>
          <w:noProof/>
          <w:szCs w:val="24"/>
        </w:rPr>
        <w:t>[13]</w:t>
      </w:r>
      <w:r w:rsidRPr="0070633B">
        <w:rPr>
          <w:rFonts w:cs="Times"/>
          <w:noProof/>
          <w:szCs w:val="24"/>
        </w:rPr>
        <w:tab/>
        <w:t xml:space="preserve">E. Manzini and C. Vezzoli, “A strategic design approach to develop sustainable product service systems: examples taken from the ‘environmentally friendly innovation’ Italian prize,” </w:t>
      </w:r>
      <w:r w:rsidRPr="0070633B">
        <w:rPr>
          <w:rFonts w:cs="Times"/>
          <w:i/>
          <w:iCs/>
          <w:noProof/>
          <w:szCs w:val="24"/>
        </w:rPr>
        <w:t>J. Clean. Prod.</w:t>
      </w:r>
      <w:r w:rsidRPr="0070633B">
        <w:rPr>
          <w:rFonts w:cs="Times"/>
          <w:noProof/>
          <w:szCs w:val="24"/>
        </w:rPr>
        <w:t>, vol. 11, pp. 851–857, 2003, doi: 10.1016/S0959-6526(02)00153-1.</w:t>
      </w:r>
    </w:p>
    <w:p w14:paraId="58ABA8FC" w14:textId="77777777" w:rsidR="0070633B" w:rsidRPr="0070633B" w:rsidRDefault="0070633B" w:rsidP="0070633B">
      <w:pPr>
        <w:widowControl w:val="0"/>
        <w:ind w:left="640" w:hanging="640"/>
        <w:rPr>
          <w:rFonts w:cs="Times"/>
          <w:noProof/>
          <w:szCs w:val="24"/>
        </w:rPr>
      </w:pPr>
      <w:r w:rsidRPr="0070633B">
        <w:rPr>
          <w:rFonts w:cs="Times"/>
          <w:noProof/>
          <w:szCs w:val="24"/>
        </w:rPr>
        <w:t>[14]</w:t>
      </w:r>
      <w:r w:rsidRPr="0070633B">
        <w:rPr>
          <w:rFonts w:cs="Times"/>
          <w:noProof/>
          <w:szCs w:val="24"/>
        </w:rPr>
        <w:tab/>
        <w:t xml:space="preserve">A. Tukker and U. Tischner, “Product-services as a research field: past, present and future. Reflections from a decade of research,” </w:t>
      </w:r>
      <w:r w:rsidRPr="0070633B">
        <w:rPr>
          <w:rFonts w:cs="Times"/>
          <w:i/>
          <w:iCs/>
          <w:noProof/>
          <w:szCs w:val="24"/>
        </w:rPr>
        <w:t>J. Clean. Prod.</w:t>
      </w:r>
      <w:r w:rsidRPr="0070633B">
        <w:rPr>
          <w:rFonts w:cs="Times"/>
          <w:noProof/>
          <w:szCs w:val="24"/>
        </w:rPr>
        <w:t>, vol. 14, no. 17, pp. 1552–1556, Jan. 2006, doi: 10.1016/j.jclepro.2006.01.022.</w:t>
      </w:r>
    </w:p>
    <w:p w14:paraId="4C7EB87E" w14:textId="77777777" w:rsidR="0070633B" w:rsidRPr="0070633B" w:rsidRDefault="0070633B" w:rsidP="0070633B">
      <w:pPr>
        <w:widowControl w:val="0"/>
        <w:ind w:left="640" w:hanging="640"/>
        <w:rPr>
          <w:rFonts w:cs="Times"/>
          <w:noProof/>
          <w:szCs w:val="24"/>
        </w:rPr>
      </w:pPr>
      <w:r w:rsidRPr="0070633B">
        <w:rPr>
          <w:rFonts w:cs="Times"/>
          <w:noProof/>
          <w:szCs w:val="24"/>
        </w:rPr>
        <w:t>[15]</w:t>
      </w:r>
      <w:r w:rsidRPr="0070633B">
        <w:rPr>
          <w:rFonts w:cs="Times"/>
          <w:noProof/>
          <w:szCs w:val="24"/>
        </w:rPr>
        <w:tab/>
        <w:t xml:space="preserve">T. Sakao and Y. Shimomura, “Service Engineering: a novel engineering </w:t>
      </w:r>
      <w:r w:rsidRPr="0070633B">
        <w:rPr>
          <w:rFonts w:cs="Times"/>
          <w:noProof/>
          <w:szCs w:val="24"/>
        </w:rPr>
        <w:lastRenderedPageBreak/>
        <w:t xml:space="preserve">discipline for producers to increase value combining service and product,” </w:t>
      </w:r>
      <w:r w:rsidRPr="0070633B">
        <w:rPr>
          <w:rFonts w:cs="Times"/>
          <w:i/>
          <w:iCs/>
          <w:noProof/>
          <w:szCs w:val="24"/>
        </w:rPr>
        <w:t>J. Clean. Prod.</w:t>
      </w:r>
      <w:r w:rsidRPr="0070633B">
        <w:rPr>
          <w:rFonts w:cs="Times"/>
          <w:noProof/>
          <w:szCs w:val="24"/>
        </w:rPr>
        <w:t>, vol. 15, no. 6, pp. 590–604, 2007, doi: 10.1016/j.jclepro.2006.05.015.</w:t>
      </w:r>
    </w:p>
    <w:p w14:paraId="347897A9" w14:textId="77777777" w:rsidR="0070633B" w:rsidRPr="0070633B" w:rsidRDefault="0070633B" w:rsidP="0070633B">
      <w:pPr>
        <w:widowControl w:val="0"/>
        <w:ind w:left="640" w:hanging="640"/>
        <w:rPr>
          <w:rFonts w:cs="Times"/>
          <w:noProof/>
          <w:szCs w:val="24"/>
        </w:rPr>
      </w:pPr>
      <w:r w:rsidRPr="0070633B">
        <w:rPr>
          <w:rFonts w:cs="Times"/>
          <w:noProof/>
          <w:szCs w:val="24"/>
        </w:rPr>
        <w:t>[16]</w:t>
      </w:r>
      <w:r w:rsidRPr="0070633B">
        <w:rPr>
          <w:rFonts w:cs="Times"/>
          <w:noProof/>
          <w:szCs w:val="24"/>
        </w:rPr>
        <w:tab/>
        <w:t xml:space="preserve">S. Pérez-Martínez, J. Giro-Paloma, A. Maldonado-Alameda, J. Formosa, I. Queralt, and J. M. Chimenos, “Characterisation and partition of valuable metals from WEEE in weathered municipal solid waste incineration bottom ash, with a view to recovering,” </w:t>
      </w:r>
      <w:r w:rsidRPr="0070633B">
        <w:rPr>
          <w:rFonts w:cs="Times"/>
          <w:i/>
          <w:iCs/>
          <w:noProof/>
          <w:szCs w:val="24"/>
        </w:rPr>
        <w:t>J. Clean. Prod.</w:t>
      </w:r>
      <w:r w:rsidRPr="0070633B">
        <w:rPr>
          <w:rFonts w:cs="Times"/>
          <w:noProof/>
          <w:szCs w:val="24"/>
        </w:rPr>
        <w:t>, vol. 218, pp. 61–68, 2019, doi: 10.1016/j.jclepro.2019.01.313.</w:t>
      </w:r>
    </w:p>
    <w:p w14:paraId="115EF8BA" w14:textId="77777777" w:rsidR="0070633B" w:rsidRPr="0070633B" w:rsidRDefault="0070633B" w:rsidP="0070633B">
      <w:pPr>
        <w:widowControl w:val="0"/>
        <w:ind w:left="640" w:hanging="640"/>
        <w:rPr>
          <w:rFonts w:cs="Times"/>
          <w:noProof/>
          <w:szCs w:val="24"/>
        </w:rPr>
      </w:pPr>
      <w:r w:rsidRPr="0070633B">
        <w:rPr>
          <w:rFonts w:cs="Times"/>
          <w:noProof/>
          <w:szCs w:val="24"/>
        </w:rPr>
        <w:t>[17]</w:t>
      </w:r>
      <w:r w:rsidRPr="0070633B">
        <w:rPr>
          <w:rFonts w:cs="Times"/>
          <w:noProof/>
          <w:szCs w:val="24"/>
        </w:rPr>
        <w:tab/>
        <w:t xml:space="preserve">M. Garetti, P. Rosa, and S. Terzi, “Life Cycle Simulation for the design of Product-Service Systems,” </w:t>
      </w:r>
      <w:r w:rsidRPr="0070633B">
        <w:rPr>
          <w:rFonts w:cs="Times"/>
          <w:i/>
          <w:iCs/>
          <w:noProof/>
          <w:szCs w:val="24"/>
        </w:rPr>
        <w:t>Comput. Ind.</w:t>
      </w:r>
      <w:r w:rsidRPr="0070633B">
        <w:rPr>
          <w:rFonts w:cs="Times"/>
          <w:noProof/>
          <w:szCs w:val="24"/>
        </w:rPr>
        <w:t>, vol. 63, pp. 361–369, 2012, doi: 10.1016/j.compind.2012.02.007.</w:t>
      </w:r>
    </w:p>
    <w:p w14:paraId="0378B23E" w14:textId="77777777" w:rsidR="0070633B" w:rsidRPr="0070633B" w:rsidRDefault="0070633B" w:rsidP="0070633B">
      <w:pPr>
        <w:widowControl w:val="0"/>
        <w:ind w:left="640" w:hanging="640"/>
        <w:rPr>
          <w:rFonts w:cs="Times"/>
          <w:noProof/>
          <w:szCs w:val="24"/>
        </w:rPr>
      </w:pPr>
      <w:r w:rsidRPr="0070633B">
        <w:rPr>
          <w:rFonts w:cs="Times"/>
          <w:noProof/>
          <w:szCs w:val="24"/>
        </w:rPr>
        <w:t>[18]</w:t>
      </w:r>
      <w:r w:rsidRPr="0070633B">
        <w:rPr>
          <w:rFonts w:cs="Times"/>
          <w:noProof/>
          <w:szCs w:val="24"/>
        </w:rPr>
        <w:tab/>
        <w:t xml:space="preserve">T. S. Baines </w:t>
      </w:r>
      <w:r w:rsidRPr="0070633B">
        <w:rPr>
          <w:rFonts w:cs="Times"/>
          <w:i/>
          <w:iCs/>
          <w:noProof/>
          <w:szCs w:val="24"/>
        </w:rPr>
        <w:t>et al.</w:t>
      </w:r>
      <w:r w:rsidRPr="0070633B">
        <w:rPr>
          <w:rFonts w:cs="Times"/>
          <w:noProof/>
          <w:szCs w:val="24"/>
        </w:rPr>
        <w:t xml:space="preserve">, “State-of-the-art in product-service systems,” </w:t>
      </w:r>
      <w:r w:rsidRPr="0070633B">
        <w:rPr>
          <w:rFonts w:cs="Times"/>
          <w:i/>
          <w:iCs/>
          <w:noProof/>
          <w:szCs w:val="24"/>
        </w:rPr>
        <w:t>Proc. Inst. Mech. Eng. Part B J. Eng. Manuf.</w:t>
      </w:r>
      <w:r w:rsidRPr="0070633B">
        <w:rPr>
          <w:rFonts w:cs="Times"/>
          <w:noProof/>
          <w:szCs w:val="24"/>
        </w:rPr>
        <w:t>, vol. 221, no. 10, pp. 1543–1552, 2007, doi: 10.1243/09544054JEM858.</w:t>
      </w:r>
    </w:p>
    <w:p w14:paraId="485AB09E" w14:textId="77777777" w:rsidR="0070633B" w:rsidRPr="0070633B" w:rsidRDefault="0070633B" w:rsidP="0070633B">
      <w:pPr>
        <w:widowControl w:val="0"/>
        <w:ind w:left="640" w:hanging="640"/>
        <w:rPr>
          <w:rFonts w:cs="Times"/>
          <w:noProof/>
          <w:szCs w:val="24"/>
        </w:rPr>
      </w:pPr>
      <w:r w:rsidRPr="0070633B">
        <w:rPr>
          <w:rFonts w:cs="Times"/>
          <w:noProof/>
          <w:szCs w:val="24"/>
        </w:rPr>
        <w:t>[19]</w:t>
      </w:r>
      <w:r w:rsidRPr="0070633B">
        <w:rPr>
          <w:rFonts w:cs="Times"/>
          <w:noProof/>
          <w:szCs w:val="24"/>
        </w:rPr>
        <w:tab/>
        <w:t xml:space="preserve">O. Fisher, N. Watson, L. Porcu, D. Bacon, M. Rigley, and R. L. Gomes, “Cloud manufacturing as a sustainable process manufacturing route,” </w:t>
      </w:r>
      <w:r w:rsidRPr="0070633B">
        <w:rPr>
          <w:rFonts w:cs="Times"/>
          <w:i/>
          <w:iCs/>
          <w:noProof/>
          <w:szCs w:val="24"/>
        </w:rPr>
        <w:t>J. Manuf. Syst.</w:t>
      </w:r>
      <w:r w:rsidRPr="0070633B">
        <w:rPr>
          <w:rFonts w:cs="Times"/>
          <w:noProof/>
          <w:szCs w:val="24"/>
        </w:rPr>
        <w:t>, vol. 47, pp. 53–68, 2018, doi: 10.1016/j.jmsy.2018.03.005.</w:t>
      </w:r>
    </w:p>
    <w:p w14:paraId="5A366ACC" w14:textId="77777777" w:rsidR="0070633B" w:rsidRPr="0070633B" w:rsidRDefault="0070633B" w:rsidP="0070633B">
      <w:pPr>
        <w:widowControl w:val="0"/>
        <w:ind w:left="640" w:hanging="640"/>
        <w:rPr>
          <w:rFonts w:cs="Times"/>
          <w:noProof/>
        </w:rPr>
      </w:pPr>
      <w:r w:rsidRPr="0070633B">
        <w:rPr>
          <w:rFonts w:cs="Times"/>
          <w:noProof/>
          <w:szCs w:val="24"/>
        </w:rPr>
        <w:t>[20]</w:t>
      </w:r>
      <w:r w:rsidRPr="0070633B">
        <w:rPr>
          <w:rFonts w:cs="Times"/>
          <w:noProof/>
          <w:szCs w:val="24"/>
        </w:rPr>
        <w:tab/>
        <w:t xml:space="preserve">A. Ericson, P. Müller, T. C. Larsson, and R. Stark, “Product-service systems–from customer needs to requirements in early development phases,” in </w:t>
      </w:r>
      <w:r w:rsidRPr="0070633B">
        <w:rPr>
          <w:rFonts w:cs="Times"/>
          <w:i/>
          <w:iCs/>
          <w:noProof/>
          <w:szCs w:val="24"/>
        </w:rPr>
        <w:t>IPS2 - 1st CIRP Industrial Product-Service Systems Conference</w:t>
      </w:r>
      <w:r w:rsidRPr="0070633B">
        <w:rPr>
          <w:rFonts w:cs="Times"/>
          <w:noProof/>
          <w:szCs w:val="24"/>
        </w:rPr>
        <w:t>, 2009, pp. 1–6, [Online]. Available: http://dspace.lib.cranfield.ac.uk/handle/1826/3612.</w:t>
      </w:r>
    </w:p>
    <w:p w14:paraId="39D322BB" w14:textId="77777777" w:rsidR="009631B4" w:rsidRPr="00835F9E" w:rsidRDefault="009631B4" w:rsidP="009631B4">
      <w:pPr>
        <w:pStyle w:val="references"/>
        <w:rPr>
          <w:rFonts w:cs="Times"/>
          <w:sz w:val="20"/>
          <w:lang w:val="en-GB"/>
        </w:rPr>
      </w:pPr>
      <w:r w:rsidRPr="00835F9E">
        <w:rPr>
          <w:rFonts w:cs="Times"/>
          <w:sz w:val="20"/>
          <w:lang w:val="en-GB"/>
        </w:rPr>
        <w:fldChar w:fldCharType="end"/>
      </w:r>
    </w:p>
    <w:p w14:paraId="73E83A98" w14:textId="77777777" w:rsidR="009631B4" w:rsidRPr="00835F9E" w:rsidRDefault="009631B4" w:rsidP="009631B4">
      <w:pPr>
        <w:spacing w:line="240" w:lineRule="auto"/>
        <w:rPr>
          <w:rFonts w:cs="Times"/>
          <w:lang w:val="en-GB"/>
        </w:rPr>
      </w:pPr>
    </w:p>
    <w:p w14:paraId="134F51CD" w14:textId="77777777" w:rsidR="00B97ED3" w:rsidRPr="00B97ED3" w:rsidRDefault="00B97ED3" w:rsidP="00B97ED3"/>
    <w:sectPr w:rsidR="00B97ED3" w:rsidRPr="00B97ED3">
      <w:headerReference w:type="even" r:id="rId10"/>
      <w:headerReference w:type="default" r:id="rId11"/>
      <w:type w:val="oddPage"/>
      <w:pgSz w:w="11906" w:h="16838" w:code="9"/>
      <w:pgMar w:top="2948" w:right="2665" w:bottom="3231" w:left="2608" w:header="2381" w:footer="709"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3BCA1F" w14:textId="77777777" w:rsidR="00736723" w:rsidRDefault="00736723">
      <w:r>
        <w:separator/>
      </w:r>
    </w:p>
  </w:endnote>
  <w:endnote w:type="continuationSeparator" w:id="0">
    <w:p w14:paraId="06E5744F" w14:textId="77777777" w:rsidR="00736723" w:rsidRDefault="007367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w:panose1 w:val="02020603050405020304"/>
    <w:charset w:val="00"/>
    <w:family w:val="roman"/>
    <w:pitch w:val="variable"/>
    <w:sig w:usb0="E0002EFF" w:usb1="C000785B" w:usb2="00000009" w:usb3="00000000" w:csb0="000001FF" w:csb1="00000000"/>
    <w:embedRegular r:id="rId1" w:fontKey="{E9D0EBCC-6D0F-4682-9BFF-33D9B9217FFA}"/>
    <w:embedBold r:id="rId2" w:fontKey="{049BAF2B-AF6A-458A-9CE0-4ED73813B826}"/>
    <w:embedItalic r:id="rId3" w:fontKey="{16873C5A-475A-443A-8B64-73A141D5938B}"/>
    <w:embedBoldItalic r:id="rId4" w:fontKey="{AA603E18-8149-4F27-8959-1E12BBF5398D}"/>
  </w:font>
  <w:font w:name="Times New Roman">
    <w:panose1 w:val="02020603050405020304"/>
    <w:charset w:val="00"/>
    <w:family w:val="roman"/>
    <w:pitch w:val="variable"/>
    <w:sig w:usb0="E0002EFF" w:usb1="C000785B" w:usb2="00000009" w:usb3="00000000" w:csb0="000001FF" w:csb1="00000000"/>
  </w:font>
  <w:font w:name="Tms Rmn">
    <w:panose1 w:val="02020603040505020304"/>
    <w:charset w:val="00"/>
    <w:family w:val="roman"/>
    <w:notTrueType/>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embedRegular r:id="rId5" w:fontKey="{0DDD2509-B185-47FB-987F-3F5800132BE0}"/>
  </w:font>
  <w:font w:name="Calibri">
    <w:panose1 w:val="020F0502020204030204"/>
    <w:charset w:val="00"/>
    <w:family w:val="swiss"/>
    <w:pitch w:val="variable"/>
    <w:sig w:usb0="E4002EFF" w:usb1="C000247B" w:usb2="00000009" w:usb3="00000000" w:csb0="000001FF" w:csb1="00000000"/>
    <w:embedRegular r:id="rId6" w:fontKey="{3852E27F-2489-4DB8-B99B-898C9D9B209D}"/>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CD3F40" w14:textId="77777777" w:rsidR="00736723" w:rsidRDefault="00736723">
      <w:pPr>
        <w:pStyle w:val="p1a"/>
      </w:pPr>
      <w:r>
        <w:separator/>
      </w:r>
    </w:p>
  </w:footnote>
  <w:footnote w:type="continuationSeparator" w:id="0">
    <w:p w14:paraId="63A61A0F" w14:textId="77777777" w:rsidR="00736723" w:rsidRDefault="0073672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BD2AD5" w14:textId="77777777" w:rsidR="00B97ED3" w:rsidRDefault="00B97ED3">
    <w:pPr>
      <w:pStyle w:val="Runninghead-left"/>
    </w:pPr>
    <w:r>
      <w:fldChar w:fldCharType="begin"/>
    </w:r>
    <w:r>
      <w:instrText xml:space="preserve"> PAGE  \* MERGEFORMAT </w:instrText>
    </w:r>
    <w:r>
      <w:fldChar w:fldCharType="separate"/>
    </w:r>
    <w:r>
      <w:rPr>
        <w:noProof/>
      </w:rPr>
      <w:t>2</w:t>
    </w:r>
    <w:r>
      <w:fldChar w:fldCharType="end"/>
    </w:r>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CC69D3" w14:textId="77777777" w:rsidR="00B97ED3" w:rsidRDefault="00B97ED3">
    <w:pPr>
      <w:pStyle w:val="Runninghead-right"/>
    </w:pPr>
    <w:r>
      <w:fldChar w:fldCharType="begin"/>
    </w:r>
    <w:r>
      <w:instrText xml:space="preserve"> PAGE  \* MERGEFORMAT </w:instrText>
    </w:r>
    <w:r>
      <w:fldChar w:fldCharType="separate"/>
    </w:r>
    <w:r>
      <w:rPr>
        <w:noProof/>
      </w:rPr>
      <w:t>3</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B"/>
    <w:multiLevelType w:val="multilevel"/>
    <w:tmpl w:val="64C8CD70"/>
    <w:lvl w:ilvl="0">
      <w:numFmt w:val="bullet"/>
      <w:pStyle w:val="Subitem"/>
      <w:lvlText w:val="–"/>
      <w:lvlJc w:val="left"/>
      <w:pPr>
        <w:tabs>
          <w:tab w:val="num" w:pos="598"/>
        </w:tabs>
        <w:ind w:left="598" w:hanging="360"/>
      </w:pPr>
      <w:rPr>
        <w:rFonts w:ascii="Times" w:eastAsia="Times New Roman" w:hAnsi="Times" w:hint="default"/>
      </w:rPr>
    </w:lvl>
    <w:lvl w:ilvl="1">
      <w:numFmt w:val="none"/>
      <w:lvlText w:val=""/>
      <w:lvlJc w:val="left"/>
    </w:lvl>
    <w:lvl w:ilvl="2">
      <w:numFmt w:val="none"/>
      <w:lvlText w:val=""/>
      <w:lvlJc w:val="left"/>
    </w:lvl>
    <w:lvl w:ilvl="3">
      <w:numFmt w:val="decimal"/>
      <w:lvlText w:val="%4"/>
      <w:legacy w:legacy="1" w:legacySpace="0" w:legacyIndent="0"/>
      <w:lvlJc w:val="left"/>
      <w:rPr>
        <w:rFonts w:ascii="Tms Rmn" w:hAnsi="Tms Rmn" w:hint="default"/>
      </w:rPr>
    </w:lvl>
    <w:lvl w:ilvl="4">
      <w:numFmt w:val="decimal"/>
      <w:lvlText w:val="%5"/>
      <w:legacy w:legacy="1" w:legacySpace="0" w:legacyIndent="0"/>
      <w:lvlJc w:val="left"/>
      <w:rPr>
        <w:rFonts w:ascii="Tms Rmn" w:hAnsi="Tms Rmn" w:hint="default"/>
      </w:rPr>
    </w:lvl>
    <w:lvl w:ilvl="5">
      <w:numFmt w:val="decimal"/>
      <w:lvlText w:val="%6"/>
      <w:legacy w:legacy="1" w:legacySpace="0" w:legacyIndent="0"/>
      <w:lvlJc w:val="left"/>
      <w:rPr>
        <w:rFonts w:ascii="Tms Rmn" w:hAnsi="Tms Rmn" w:hint="default"/>
      </w:rPr>
    </w:lvl>
    <w:lvl w:ilvl="6">
      <w:numFmt w:val="decimal"/>
      <w:lvlText w:val="%7"/>
      <w:legacy w:legacy="1" w:legacySpace="0" w:legacyIndent="0"/>
      <w:lvlJc w:val="left"/>
      <w:rPr>
        <w:rFonts w:ascii="Tms Rmn" w:hAnsi="Tms Rmn" w:hint="default"/>
      </w:rPr>
    </w:lvl>
    <w:lvl w:ilvl="7">
      <w:numFmt w:val="decimal"/>
      <w:lvlText w:val="%8"/>
      <w:legacy w:legacy="1" w:legacySpace="0" w:legacyIndent="0"/>
      <w:lvlJc w:val="left"/>
      <w:rPr>
        <w:rFonts w:ascii="Tms Rmn" w:hAnsi="Tms Rmn" w:hint="default"/>
      </w:rPr>
    </w:lvl>
    <w:lvl w:ilvl="8">
      <w:numFmt w:val="decimal"/>
      <w:lvlText w:val="%9"/>
      <w:legacy w:legacy="1" w:legacySpace="0" w:legacyIndent="0"/>
      <w:lvlJc w:val="left"/>
      <w:rPr>
        <w:rFonts w:ascii="Tms Rmn" w:hAnsi="Tms Rmn" w:hint="default"/>
      </w:rPr>
    </w:lvl>
  </w:abstractNum>
  <w:abstractNum w:abstractNumId="1" w15:restartNumberingAfterBreak="0">
    <w:nsid w:val="FFFFFFFE"/>
    <w:multiLevelType w:val="singleLevel"/>
    <w:tmpl w:val="7A8E2DA8"/>
    <w:lvl w:ilvl="0">
      <w:numFmt w:val="decimal"/>
      <w:lvlText w:val="*"/>
      <w:lvlJc w:val="left"/>
    </w:lvl>
  </w:abstractNum>
  <w:abstractNum w:abstractNumId="2" w15:restartNumberingAfterBreak="0">
    <w:nsid w:val="18DB5197"/>
    <w:multiLevelType w:val="hybridMultilevel"/>
    <w:tmpl w:val="BE1AA52A"/>
    <w:lvl w:ilvl="0" w:tplc="9BE2B4D4">
      <w:start w:val="1"/>
      <w:numFmt w:val="bullet"/>
      <w:lvlText w:val=""/>
      <w:lvlJc w:val="left"/>
      <w:pPr>
        <w:tabs>
          <w:tab w:val="num" w:pos="360"/>
        </w:tabs>
        <w:ind w:left="227" w:hanging="227"/>
      </w:pPr>
      <w:rPr>
        <w:rFonts w:ascii="Symbol" w:hAnsi="Symbol" w:hint="default"/>
        <w:sz w:val="22"/>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C5811A9"/>
    <w:multiLevelType w:val="hybridMultilevel"/>
    <w:tmpl w:val="0128A344"/>
    <w:lvl w:ilvl="0" w:tplc="5B484A84">
      <w:start w:val="1"/>
      <w:numFmt w:val="bullet"/>
      <w:pStyle w:val="BulletItem"/>
      <w:lvlText w:val=""/>
      <w:lvlJc w:val="left"/>
      <w:pPr>
        <w:tabs>
          <w:tab w:val="num" w:pos="238"/>
        </w:tabs>
        <w:ind w:left="238" w:hanging="238"/>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7120F89"/>
    <w:multiLevelType w:val="singleLevel"/>
    <w:tmpl w:val="0EA0939C"/>
    <w:lvl w:ilvl="0">
      <w:start w:val="1"/>
      <w:numFmt w:val="decimal"/>
      <w:lvlText w:val="%1."/>
      <w:legacy w:legacy="1" w:legacySpace="0" w:legacyIndent="227"/>
      <w:lvlJc w:val="left"/>
      <w:pPr>
        <w:ind w:left="454" w:hanging="227"/>
      </w:pPr>
    </w:lvl>
  </w:abstractNum>
  <w:abstractNum w:abstractNumId="5" w15:restartNumberingAfterBreak="0">
    <w:nsid w:val="42CC55D2"/>
    <w:multiLevelType w:val="singleLevel"/>
    <w:tmpl w:val="2E3402CA"/>
    <w:lvl w:ilvl="0">
      <w:start w:val="1"/>
      <w:numFmt w:val="decimal"/>
      <w:lvlText w:val="%1."/>
      <w:legacy w:legacy="1" w:legacySpace="0" w:legacyIndent="227"/>
      <w:lvlJc w:val="left"/>
      <w:pPr>
        <w:ind w:left="227" w:hanging="227"/>
      </w:pPr>
    </w:lvl>
  </w:abstractNum>
  <w:abstractNum w:abstractNumId="6" w15:restartNumberingAfterBreak="0">
    <w:nsid w:val="4C436AB0"/>
    <w:multiLevelType w:val="hybridMultilevel"/>
    <w:tmpl w:val="6B202B24"/>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754474F7"/>
    <w:multiLevelType w:val="singleLevel"/>
    <w:tmpl w:val="0EA0939C"/>
    <w:lvl w:ilvl="0">
      <w:start w:val="1"/>
      <w:numFmt w:val="decimal"/>
      <w:lvlText w:val="%1."/>
      <w:legacy w:legacy="1" w:legacySpace="0" w:legacyIndent="227"/>
      <w:lvlJc w:val="left"/>
      <w:pPr>
        <w:ind w:left="227" w:hanging="227"/>
      </w:pPr>
    </w:lvl>
  </w:abstractNum>
  <w:abstractNum w:abstractNumId="8" w15:restartNumberingAfterBreak="0">
    <w:nsid w:val="7E5259C0"/>
    <w:multiLevelType w:val="hybridMultilevel"/>
    <w:tmpl w:val="CD9ECA3C"/>
    <w:lvl w:ilvl="0" w:tplc="D3CE3028">
      <w:start w:val="1"/>
      <w:numFmt w:val="bullet"/>
      <w:lvlText w:val="-"/>
      <w:lvlJc w:val="left"/>
      <w:pPr>
        <w:tabs>
          <w:tab w:val="num" w:pos="587"/>
        </w:tabs>
        <w:ind w:left="454" w:hanging="227"/>
      </w:pPr>
      <w:rPr>
        <w:rFonts w:hint="default"/>
        <w:sz w:val="16"/>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num w:numId="1">
    <w:abstractNumId w:val="1"/>
    <w:lvlOverride w:ilvl="0">
      <w:lvl w:ilvl="0">
        <w:start w:val="1"/>
        <w:numFmt w:val="bullet"/>
        <w:lvlText w:val=""/>
        <w:legacy w:legacy="1" w:legacySpace="0" w:legacyIndent="227"/>
        <w:lvlJc w:val="left"/>
        <w:pPr>
          <w:ind w:left="227" w:hanging="227"/>
        </w:pPr>
        <w:rPr>
          <w:rFonts w:ascii="Symbol" w:hAnsi="Symbol" w:hint="default"/>
        </w:rPr>
      </w:lvl>
    </w:lvlOverride>
  </w:num>
  <w:num w:numId="2">
    <w:abstractNumId w:val="1"/>
    <w:lvlOverride w:ilvl="0">
      <w:lvl w:ilvl="0">
        <w:start w:val="1"/>
        <w:numFmt w:val="bullet"/>
        <w:lvlText w:val=""/>
        <w:legacy w:legacy="1" w:legacySpace="0" w:legacyIndent="227"/>
        <w:lvlJc w:val="left"/>
        <w:pPr>
          <w:ind w:left="227" w:hanging="227"/>
        </w:pPr>
        <w:rPr>
          <w:rFonts w:ascii="Symbol" w:hAnsi="Symbol" w:hint="default"/>
        </w:rPr>
      </w:lvl>
    </w:lvlOverride>
  </w:num>
  <w:num w:numId="3">
    <w:abstractNumId w:val="7"/>
  </w:num>
  <w:num w:numId="4">
    <w:abstractNumId w:val="1"/>
    <w:lvlOverride w:ilvl="0">
      <w:lvl w:ilvl="0">
        <w:start w:val="1"/>
        <w:numFmt w:val="bullet"/>
        <w:lvlText w:val=""/>
        <w:legacy w:legacy="1" w:legacySpace="0" w:legacyIndent="227"/>
        <w:lvlJc w:val="left"/>
        <w:pPr>
          <w:ind w:left="227" w:hanging="227"/>
        </w:pPr>
        <w:rPr>
          <w:rFonts w:ascii="Times" w:hAnsi="Times" w:hint="default"/>
        </w:rPr>
      </w:lvl>
    </w:lvlOverride>
  </w:num>
  <w:num w:numId="5">
    <w:abstractNumId w:val="1"/>
    <w:lvlOverride w:ilvl="0">
      <w:lvl w:ilvl="0">
        <w:start w:val="1"/>
        <w:numFmt w:val="bullet"/>
        <w:lvlText w:val=""/>
        <w:legacy w:legacy="1" w:legacySpace="0" w:legacyIndent="227"/>
        <w:lvlJc w:val="left"/>
        <w:pPr>
          <w:ind w:left="227" w:hanging="227"/>
        </w:pPr>
        <w:rPr>
          <w:rFonts w:ascii="Times" w:hAnsi="Times" w:hint="default"/>
        </w:rPr>
      </w:lvl>
    </w:lvlOverride>
  </w:num>
  <w:num w:numId="6">
    <w:abstractNumId w:val="2"/>
  </w:num>
  <w:num w:numId="7">
    <w:abstractNumId w:val="8"/>
  </w:num>
  <w:num w:numId="8">
    <w:abstractNumId w:val="4"/>
  </w:num>
  <w:num w:numId="9">
    <w:abstractNumId w:val="2"/>
  </w:num>
  <w:num w:numId="10">
    <w:abstractNumId w:val="8"/>
  </w:num>
  <w:num w:numId="11">
    <w:abstractNumId w:val="6"/>
  </w:num>
  <w:num w:numId="12">
    <w:abstractNumId w:val="0"/>
  </w:num>
  <w:num w:numId="13">
    <w:abstractNumId w:val="6"/>
  </w:num>
  <w:num w:numId="14">
    <w:abstractNumId w:val="0"/>
  </w:num>
  <w:num w:numId="15">
    <w:abstractNumId w:val="0"/>
  </w:num>
  <w:num w:numId="16">
    <w:abstractNumId w:val="6"/>
  </w:num>
  <w:num w:numId="17">
    <w:abstractNumId w:val="0"/>
  </w:num>
  <w:num w:numId="18">
    <w:abstractNumId w:val="0"/>
  </w:num>
  <w:num w:numId="19">
    <w:abstractNumId w:val="8"/>
  </w:num>
  <w:num w:numId="20">
    <w:abstractNumId w:val="8"/>
  </w:num>
  <w:num w:numId="21">
    <w:abstractNumId w:val="8"/>
  </w:num>
  <w:num w:numId="22">
    <w:abstractNumId w:val="3"/>
  </w:num>
  <w:num w:numId="23">
    <w:abstractNumId w:val="3"/>
  </w:num>
  <w:num w:numId="24">
    <w:abstractNumId w:val="3"/>
  </w:num>
  <w:num w:numId="25">
    <w:abstractNumId w:val="3"/>
  </w:num>
  <w:num w:numId="2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TrueTypeFonts/>
  <w:mirrorMargin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8"/>
  <w:autoHyphenation/>
  <w:consecutiveHyphenLimit w:val="3"/>
  <w:hyphenationZone w:val="140"/>
  <w:doNotHyphenateCaps/>
  <w:evenAndOddHeaders/>
  <w:drawingGridHorizontalSpacing w:val="110"/>
  <w:drawingGridVerticalSpacing w:val="163"/>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doNotExpandShiftReturn/>
    <w:suppressSpBfAfterPgBrk/>
    <w:footnoteLayoutLikeWW8/>
    <w:shapeLayoutLikeWW8/>
    <w:alignTablesRowByRow/>
    <w:forgetLastTabAlignment/>
    <w:noSpaceRaiseLower/>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9631B4"/>
    <w:rsid w:val="00005F1B"/>
    <w:rsid w:val="00044A53"/>
    <w:rsid w:val="00061F6F"/>
    <w:rsid w:val="000E0820"/>
    <w:rsid w:val="00103A73"/>
    <w:rsid w:val="001B5AA2"/>
    <w:rsid w:val="001D0B49"/>
    <w:rsid w:val="001D73DE"/>
    <w:rsid w:val="00226F60"/>
    <w:rsid w:val="00236209"/>
    <w:rsid w:val="002634E7"/>
    <w:rsid w:val="002E5EEE"/>
    <w:rsid w:val="002F2934"/>
    <w:rsid w:val="00324724"/>
    <w:rsid w:val="00360E7F"/>
    <w:rsid w:val="00405E55"/>
    <w:rsid w:val="00410267"/>
    <w:rsid w:val="004552DA"/>
    <w:rsid w:val="0046154C"/>
    <w:rsid w:val="00493C8D"/>
    <w:rsid w:val="004F12B1"/>
    <w:rsid w:val="00544A38"/>
    <w:rsid w:val="00583E41"/>
    <w:rsid w:val="00594390"/>
    <w:rsid w:val="006139F1"/>
    <w:rsid w:val="00646AB4"/>
    <w:rsid w:val="006552BB"/>
    <w:rsid w:val="006620E7"/>
    <w:rsid w:val="00680383"/>
    <w:rsid w:val="006829A3"/>
    <w:rsid w:val="006A574A"/>
    <w:rsid w:val="006D6414"/>
    <w:rsid w:val="006E3B89"/>
    <w:rsid w:val="006E723D"/>
    <w:rsid w:val="0070633B"/>
    <w:rsid w:val="00722F8A"/>
    <w:rsid w:val="00723352"/>
    <w:rsid w:val="00736723"/>
    <w:rsid w:val="00772BBE"/>
    <w:rsid w:val="00791BDF"/>
    <w:rsid w:val="007A2AD6"/>
    <w:rsid w:val="007E5C48"/>
    <w:rsid w:val="008603F5"/>
    <w:rsid w:val="008662CD"/>
    <w:rsid w:val="008C0390"/>
    <w:rsid w:val="008E2B14"/>
    <w:rsid w:val="0090334B"/>
    <w:rsid w:val="0091061C"/>
    <w:rsid w:val="00954D64"/>
    <w:rsid w:val="009631B4"/>
    <w:rsid w:val="00976926"/>
    <w:rsid w:val="00981089"/>
    <w:rsid w:val="009960F7"/>
    <w:rsid w:val="009A5235"/>
    <w:rsid w:val="009D04DB"/>
    <w:rsid w:val="00A1344F"/>
    <w:rsid w:val="00A7006D"/>
    <w:rsid w:val="00A72563"/>
    <w:rsid w:val="00A86683"/>
    <w:rsid w:val="00AB2A70"/>
    <w:rsid w:val="00AC078B"/>
    <w:rsid w:val="00AC38BA"/>
    <w:rsid w:val="00B065E8"/>
    <w:rsid w:val="00B5108A"/>
    <w:rsid w:val="00B5459D"/>
    <w:rsid w:val="00B61139"/>
    <w:rsid w:val="00B97ED3"/>
    <w:rsid w:val="00BD3DBF"/>
    <w:rsid w:val="00BF2C5E"/>
    <w:rsid w:val="00C22245"/>
    <w:rsid w:val="00C7344F"/>
    <w:rsid w:val="00C921ED"/>
    <w:rsid w:val="00C9597D"/>
    <w:rsid w:val="00CA695D"/>
    <w:rsid w:val="00CC0309"/>
    <w:rsid w:val="00CD548C"/>
    <w:rsid w:val="00D27CCD"/>
    <w:rsid w:val="00D4758B"/>
    <w:rsid w:val="00D52D3D"/>
    <w:rsid w:val="00D648B7"/>
    <w:rsid w:val="00DB6263"/>
    <w:rsid w:val="00DC05FD"/>
    <w:rsid w:val="00E224EE"/>
    <w:rsid w:val="00E359E3"/>
    <w:rsid w:val="00E35DEA"/>
    <w:rsid w:val="00EA44D1"/>
    <w:rsid w:val="00EB6306"/>
    <w:rsid w:val="00ED6CDE"/>
    <w:rsid w:val="00F04559"/>
    <w:rsid w:val="00F75922"/>
    <w:rsid w:val="00F843D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CF4734E"/>
  <w15:chartTrackingRefBased/>
  <w15:docId w15:val="{EC382157-3065-4686-91EF-3CD563153F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sid w:val="009631B4"/>
    <w:pPr>
      <w:overflowPunct w:val="0"/>
      <w:autoSpaceDE w:val="0"/>
      <w:autoSpaceDN w:val="0"/>
      <w:adjustRightInd w:val="0"/>
      <w:spacing w:line="240" w:lineRule="atLeast"/>
      <w:ind w:firstLine="238"/>
      <w:jc w:val="both"/>
      <w:textAlignment w:val="baseline"/>
    </w:pPr>
    <w:rPr>
      <w:rFonts w:ascii="Times" w:hAnsi="Times"/>
      <w:lang w:val="en-US" w:eastAsia="de-DE"/>
    </w:rPr>
  </w:style>
  <w:style w:type="paragraph" w:styleId="Titolo1">
    <w:name w:val="heading 1"/>
    <w:basedOn w:val="Normale"/>
    <w:next w:val="Normale"/>
    <w:qFormat/>
    <w:pPr>
      <w:keepNext/>
      <w:spacing w:after="240"/>
      <w:outlineLvl w:val="0"/>
    </w:pPr>
    <w:rPr>
      <w:rFonts w:ascii="Arial" w:hAnsi="Arial"/>
      <w:b/>
      <w:bCs/>
      <w:sz w:val="28"/>
      <w:szCs w:val="24"/>
    </w:rPr>
  </w:style>
  <w:style w:type="paragraph" w:styleId="Titolo2">
    <w:name w:val="heading 2"/>
    <w:basedOn w:val="Normale"/>
    <w:next w:val="Normale"/>
    <w:qFormat/>
    <w:pPr>
      <w:keepNext/>
      <w:spacing w:before="240" w:after="120"/>
      <w:outlineLvl w:val="1"/>
    </w:pPr>
    <w:rPr>
      <w:rFonts w:ascii="Arial" w:hAnsi="Arial"/>
      <w:b/>
    </w:rPr>
  </w:style>
  <w:style w:type="paragraph" w:styleId="Titolo3">
    <w:name w:val="heading 3"/>
    <w:basedOn w:val="Normale"/>
    <w:next w:val="Normale"/>
    <w:qFormat/>
    <w:pPr>
      <w:keepNext/>
      <w:spacing w:before="180" w:after="120"/>
      <w:outlineLvl w:val="2"/>
    </w:pPr>
    <w:rPr>
      <w:rFonts w:ascii="Arial" w:hAnsi="Arial" w:cs="Arial"/>
      <w:b/>
      <w:bCs/>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pPr>
      <w:tabs>
        <w:tab w:val="center" w:pos="4536"/>
        <w:tab w:val="right" w:pos="9072"/>
      </w:tabs>
    </w:pPr>
  </w:style>
  <w:style w:type="paragraph" w:styleId="Pidipagina">
    <w:name w:val="footer"/>
    <w:basedOn w:val="Normale"/>
    <w:pPr>
      <w:tabs>
        <w:tab w:val="center" w:pos="4536"/>
        <w:tab w:val="right" w:pos="9072"/>
      </w:tabs>
    </w:pPr>
  </w:style>
  <w:style w:type="character" w:styleId="Numeropagina">
    <w:name w:val="page number"/>
    <w:rPr>
      <w:sz w:val="20"/>
    </w:rPr>
  </w:style>
  <w:style w:type="paragraph" w:customStyle="1" w:styleId="Runninghead-left">
    <w:name w:val="Running head - left"/>
    <w:basedOn w:val="Normale"/>
    <w:rsid w:val="00D52D3D"/>
    <w:pPr>
      <w:tabs>
        <w:tab w:val="left" w:pos="680"/>
        <w:tab w:val="right" w:pos="6237"/>
        <w:tab w:val="right" w:pos="6917"/>
      </w:tabs>
      <w:spacing w:after="120" w:line="200" w:lineRule="exact"/>
      <w:ind w:firstLine="0"/>
      <w:jc w:val="left"/>
    </w:pPr>
    <w:rPr>
      <w:sz w:val="17"/>
    </w:rPr>
  </w:style>
  <w:style w:type="paragraph" w:customStyle="1" w:styleId="Runninghead-right">
    <w:name w:val="Running head - right"/>
    <w:basedOn w:val="Runninghead-left"/>
    <w:pPr>
      <w:jc w:val="right"/>
    </w:pPr>
  </w:style>
  <w:style w:type="paragraph" w:customStyle="1" w:styleId="author">
    <w:name w:val="author"/>
    <w:basedOn w:val="Normale"/>
    <w:next w:val="Normale"/>
    <w:rsid w:val="00583E41"/>
    <w:pPr>
      <w:suppressAutoHyphens/>
      <w:spacing w:before="480" w:after="220"/>
      <w:ind w:firstLine="0"/>
      <w:jc w:val="left"/>
    </w:pPr>
    <w:rPr>
      <w:b/>
    </w:rPr>
  </w:style>
  <w:style w:type="paragraph" w:customStyle="1" w:styleId="table">
    <w:name w:val="table"/>
    <w:basedOn w:val="Normale"/>
    <w:rsid w:val="00D52D3D"/>
    <w:pPr>
      <w:spacing w:before="60" w:line="200" w:lineRule="atLeast"/>
      <w:ind w:firstLine="0"/>
      <w:jc w:val="left"/>
    </w:pPr>
    <w:rPr>
      <w:sz w:val="17"/>
      <w:szCs w:val="18"/>
    </w:rPr>
  </w:style>
  <w:style w:type="paragraph" w:customStyle="1" w:styleId="equation">
    <w:name w:val="equation"/>
    <w:basedOn w:val="Normale"/>
    <w:next w:val="Normale"/>
    <w:rsid w:val="00B97ED3"/>
    <w:pPr>
      <w:tabs>
        <w:tab w:val="center" w:pos="3204"/>
        <w:tab w:val="right" w:pos="6634"/>
      </w:tabs>
      <w:spacing w:before="240" w:after="240"/>
      <w:ind w:firstLine="0"/>
      <w:jc w:val="left"/>
    </w:pPr>
  </w:style>
  <w:style w:type="paragraph" w:customStyle="1" w:styleId="figlegend">
    <w:name w:val="figlegend"/>
    <w:basedOn w:val="Normale"/>
    <w:next w:val="Normale"/>
    <w:rsid w:val="00D52D3D"/>
    <w:pPr>
      <w:keepLines/>
      <w:spacing w:before="120" w:after="240" w:line="200" w:lineRule="atLeast"/>
      <w:ind w:firstLine="0"/>
    </w:pPr>
    <w:rPr>
      <w:sz w:val="17"/>
    </w:rPr>
  </w:style>
  <w:style w:type="paragraph" w:customStyle="1" w:styleId="FunotentextFootnote">
    <w:name w:val="Fußnotentext.Footnote"/>
    <w:basedOn w:val="p1a"/>
    <w:rsid w:val="00405E55"/>
    <w:pPr>
      <w:tabs>
        <w:tab w:val="left" w:pos="170"/>
      </w:tabs>
      <w:spacing w:after="40" w:line="200" w:lineRule="atLeast"/>
    </w:pPr>
    <w:rPr>
      <w:sz w:val="17"/>
    </w:rPr>
  </w:style>
  <w:style w:type="paragraph" w:customStyle="1" w:styleId="p1a">
    <w:name w:val="p1a"/>
    <w:basedOn w:val="Normale"/>
    <w:next w:val="Normale"/>
    <w:pPr>
      <w:ind w:firstLine="0"/>
    </w:pPr>
  </w:style>
  <w:style w:type="character" w:styleId="Rimandonotaapidipagina">
    <w:name w:val="footnote reference"/>
    <w:semiHidden/>
    <w:rPr>
      <w:position w:val="6"/>
      <w:sz w:val="12"/>
      <w:vertAlign w:val="baseline"/>
    </w:rPr>
  </w:style>
  <w:style w:type="paragraph" w:customStyle="1" w:styleId="heading1">
    <w:name w:val="heading1"/>
    <w:basedOn w:val="Normale"/>
    <w:next w:val="p1a"/>
    <w:rsid w:val="00005F1B"/>
    <w:pPr>
      <w:keepNext/>
      <w:keepLines/>
      <w:tabs>
        <w:tab w:val="left" w:pos="454"/>
      </w:tabs>
      <w:suppressAutoHyphens/>
      <w:spacing w:before="600" w:after="320"/>
      <w:ind w:firstLine="0"/>
      <w:jc w:val="left"/>
    </w:pPr>
    <w:rPr>
      <w:b/>
      <w:sz w:val="24"/>
    </w:rPr>
  </w:style>
  <w:style w:type="paragraph" w:customStyle="1" w:styleId="heading2">
    <w:name w:val="heading2"/>
    <w:basedOn w:val="heading1"/>
    <w:next w:val="p1a"/>
    <w:rsid w:val="00005F1B"/>
    <w:pPr>
      <w:tabs>
        <w:tab w:val="left" w:pos="510"/>
      </w:tabs>
    </w:pPr>
    <w:rPr>
      <w:i/>
    </w:rPr>
  </w:style>
  <w:style w:type="paragraph" w:customStyle="1" w:styleId="heading3">
    <w:name w:val="heading3"/>
    <w:basedOn w:val="p1a"/>
    <w:next w:val="p1a"/>
    <w:rsid w:val="00005F1B"/>
    <w:pPr>
      <w:tabs>
        <w:tab w:val="left" w:pos="284"/>
      </w:tabs>
      <w:suppressAutoHyphens/>
      <w:spacing w:before="480" w:after="240"/>
      <w:jc w:val="left"/>
    </w:pPr>
    <w:rPr>
      <w:b/>
    </w:rPr>
  </w:style>
  <w:style w:type="paragraph" w:customStyle="1" w:styleId="Subitem">
    <w:name w:val="Subitem"/>
    <w:rsid w:val="006A574A"/>
    <w:pPr>
      <w:numPr>
        <w:numId w:val="18"/>
      </w:numPr>
      <w:spacing w:after="120" w:line="240" w:lineRule="atLeast"/>
      <w:contextualSpacing/>
      <w:jc w:val="both"/>
    </w:pPr>
    <w:rPr>
      <w:rFonts w:ascii="Times" w:hAnsi="Times"/>
      <w:lang w:val="en-US" w:eastAsia="de-DE"/>
    </w:rPr>
  </w:style>
  <w:style w:type="paragraph" w:customStyle="1" w:styleId="NumberedItem">
    <w:name w:val="Numbered Item"/>
    <w:basedOn w:val="BulletItem"/>
    <w:rsid w:val="006A574A"/>
  </w:style>
  <w:style w:type="paragraph" w:customStyle="1" w:styleId="BulletItem">
    <w:name w:val="Bullet Item"/>
    <w:basedOn w:val="Normale"/>
    <w:rsid w:val="00EA44D1"/>
    <w:pPr>
      <w:numPr>
        <w:numId w:val="25"/>
      </w:numPr>
      <w:spacing w:before="120" w:after="120"/>
      <w:contextualSpacing/>
    </w:pPr>
  </w:style>
  <w:style w:type="paragraph" w:customStyle="1" w:styleId="petit">
    <w:name w:val="petit"/>
    <w:basedOn w:val="Normale"/>
    <w:rsid w:val="00D27CCD"/>
    <w:pPr>
      <w:spacing w:before="120" w:after="120" w:line="200" w:lineRule="atLeast"/>
    </w:pPr>
    <w:rPr>
      <w:sz w:val="17"/>
    </w:rPr>
  </w:style>
  <w:style w:type="paragraph" w:customStyle="1" w:styleId="reference">
    <w:name w:val="reference"/>
    <w:basedOn w:val="Normale"/>
    <w:rsid w:val="00D52D3D"/>
    <w:pPr>
      <w:tabs>
        <w:tab w:val="left" w:pos="340"/>
      </w:tabs>
      <w:spacing w:line="200" w:lineRule="atLeast"/>
      <w:ind w:left="238" w:hanging="238"/>
    </w:pPr>
    <w:rPr>
      <w:sz w:val="18"/>
    </w:rPr>
  </w:style>
  <w:style w:type="paragraph" w:customStyle="1" w:styleId="Important">
    <w:name w:val="Important"/>
    <w:basedOn w:val="p1a"/>
    <w:rsid w:val="008603F5"/>
    <w:pPr>
      <w:shd w:val="clear" w:color="auto" w:fill="D9D9D9"/>
      <w:spacing w:before="240" w:after="240"/>
      <w:ind w:left="238" w:right="238"/>
      <w:contextualSpacing/>
    </w:pPr>
  </w:style>
  <w:style w:type="paragraph" w:customStyle="1" w:styleId="tablelegend">
    <w:name w:val="tablelegend"/>
    <w:basedOn w:val="Normale"/>
    <w:next w:val="Normale"/>
    <w:rsid w:val="00D52D3D"/>
    <w:pPr>
      <w:keepNext/>
      <w:keepLines/>
      <w:spacing w:before="240" w:after="120" w:line="200" w:lineRule="atLeast"/>
      <w:ind w:firstLine="0"/>
    </w:pPr>
    <w:rPr>
      <w:sz w:val="17"/>
    </w:rPr>
  </w:style>
  <w:style w:type="paragraph" w:customStyle="1" w:styleId="tablenotes">
    <w:name w:val="tablenotes"/>
    <w:basedOn w:val="Normale"/>
    <w:next w:val="Normale"/>
    <w:rsid w:val="00D52D3D"/>
    <w:pPr>
      <w:widowControl w:val="0"/>
      <w:spacing w:before="20" w:line="200" w:lineRule="atLeast"/>
      <w:ind w:firstLine="0"/>
      <w:jc w:val="left"/>
    </w:pPr>
    <w:rPr>
      <w:sz w:val="17"/>
    </w:rPr>
  </w:style>
  <w:style w:type="paragraph" w:customStyle="1" w:styleId="Titolo10">
    <w:name w:val="Titolo1"/>
    <w:basedOn w:val="Normale"/>
    <w:next w:val="p1a"/>
    <w:rsid w:val="000E0820"/>
    <w:pPr>
      <w:keepNext/>
      <w:keepLines/>
      <w:pageBreakBefore/>
      <w:tabs>
        <w:tab w:val="left" w:pos="284"/>
      </w:tabs>
      <w:suppressAutoHyphens/>
      <w:spacing w:line="360" w:lineRule="atLeast"/>
      <w:ind w:firstLine="0"/>
      <w:jc w:val="left"/>
    </w:pPr>
    <w:rPr>
      <w:b/>
      <w:sz w:val="32"/>
    </w:rPr>
  </w:style>
  <w:style w:type="paragraph" w:styleId="Sommario1">
    <w:name w:val="toc 1"/>
    <w:basedOn w:val="Normale"/>
    <w:next w:val="petit"/>
    <w:semiHidden/>
    <w:pPr>
      <w:tabs>
        <w:tab w:val="right" w:leader="dot" w:pos="6634"/>
      </w:tabs>
      <w:spacing w:before="240"/>
      <w:ind w:firstLine="0"/>
      <w:jc w:val="left"/>
    </w:pPr>
    <w:rPr>
      <w:b/>
    </w:rPr>
  </w:style>
  <w:style w:type="paragraph" w:styleId="Sommario2">
    <w:name w:val="toc 2"/>
    <w:basedOn w:val="Sommario1"/>
    <w:semiHidden/>
    <w:pPr>
      <w:spacing w:before="0"/>
      <w:ind w:left="284"/>
    </w:pPr>
    <w:rPr>
      <w:b w:val="0"/>
    </w:rPr>
  </w:style>
  <w:style w:type="paragraph" w:styleId="Sommario3">
    <w:name w:val="toc 3"/>
    <w:basedOn w:val="Sommario1"/>
    <w:semiHidden/>
    <w:pPr>
      <w:spacing w:before="0"/>
      <w:ind w:left="510"/>
    </w:pPr>
    <w:rPr>
      <w:b w:val="0"/>
    </w:rPr>
  </w:style>
  <w:style w:type="paragraph" w:styleId="Indice1">
    <w:name w:val="index 1"/>
    <w:basedOn w:val="petit"/>
    <w:semiHidden/>
    <w:rsid w:val="009960F7"/>
    <w:pPr>
      <w:spacing w:before="0" w:after="0"/>
      <w:ind w:left="720" w:hanging="720"/>
      <w:jc w:val="left"/>
    </w:pPr>
    <w:rPr>
      <w:szCs w:val="21"/>
    </w:rPr>
  </w:style>
  <w:style w:type="paragraph" w:styleId="Indice2">
    <w:name w:val="index 2"/>
    <w:basedOn w:val="Indice1"/>
    <w:semiHidden/>
    <w:rsid w:val="009960F7"/>
    <w:pPr>
      <w:ind w:left="958"/>
    </w:pPr>
  </w:style>
  <w:style w:type="paragraph" w:styleId="Indice3">
    <w:name w:val="index 3"/>
    <w:basedOn w:val="Normale"/>
    <w:next w:val="Normale"/>
    <w:semiHidden/>
    <w:pPr>
      <w:ind w:left="660" w:hanging="220"/>
      <w:jc w:val="left"/>
    </w:pPr>
    <w:rPr>
      <w:szCs w:val="21"/>
    </w:rPr>
  </w:style>
  <w:style w:type="paragraph" w:styleId="Testonotaapidipagina">
    <w:name w:val="footnote text"/>
    <w:basedOn w:val="Normale"/>
    <w:semiHidden/>
  </w:style>
  <w:style w:type="paragraph" w:styleId="Sommario4">
    <w:name w:val="toc 4"/>
    <w:basedOn w:val="Sommario3"/>
    <w:next w:val="Normale"/>
    <w:semiHidden/>
    <w:rsid w:val="00772BBE"/>
    <w:pPr>
      <w:ind w:left="737"/>
    </w:pPr>
  </w:style>
  <w:style w:type="character" w:styleId="Collegamentoipertestuale">
    <w:name w:val="Hyperlink"/>
    <w:rPr>
      <w:color w:val="0000FF"/>
      <w:u w:val="single"/>
    </w:rPr>
  </w:style>
  <w:style w:type="paragraph" w:customStyle="1" w:styleId="heading4">
    <w:name w:val="heading4"/>
    <w:basedOn w:val="p1a"/>
    <w:next w:val="p1a"/>
    <w:rsid w:val="00005F1B"/>
    <w:pPr>
      <w:keepNext/>
      <w:suppressAutoHyphens/>
      <w:spacing w:before="480" w:after="240"/>
      <w:jc w:val="left"/>
    </w:pPr>
  </w:style>
  <w:style w:type="paragraph" w:customStyle="1" w:styleId="heading5">
    <w:name w:val="heading5"/>
    <w:basedOn w:val="heading4"/>
    <w:next w:val="p1a"/>
    <w:rsid w:val="00D4758B"/>
    <w:pPr>
      <w:spacing w:before="360" w:after="120"/>
    </w:pPr>
    <w:rPr>
      <w:i/>
    </w:rPr>
  </w:style>
  <w:style w:type="paragraph" w:customStyle="1" w:styleId="Sottotitolo1">
    <w:name w:val="Sottotitolo1"/>
    <w:basedOn w:val="Titolo10"/>
    <w:next w:val="author"/>
    <w:rsid w:val="00583E41"/>
    <w:pPr>
      <w:pageBreakBefore w:val="0"/>
      <w:tabs>
        <w:tab w:val="clear" w:pos="284"/>
        <w:tab w:val="left" w:pos="567"/>
      </w:tabs>
      <w:spacing w:before="320" w:line="320" w:lineRule="atLeast"/>
    </w:pPr>
    <w:rPr>
      <w:rFonts w:cs="Arial"/>
      <w:sz w:val="28"/>
    </w:rPr>
  </w:style>
  <w:style w:type="paragraph" w:customStyle="1" w:styleId="Run-inHeading1">
    <w:name w:val="Run-in Heading 1"/>
    <w:basedOn w:val="p1a"/>
    <w:rsid w:val="00722F8A"/>
    <w:pPr>
      <w:spacing w:before="120"/>
    </w:pPr>
    <w:rPr>
      <w:b/>
    </w:rPr>
  </w:style>
  <w:style w:type="paragraph" w:customStyle="1" w:styleId="Run-inHeading2">
    <w:name w:val="Run-in Heading 2"/>
    <w:basedOn w:val="p1a"/>
    <w:rsid w:val="00722F8A"/>
    <w:pPr>
      <w:spacing w:before="120"/>
    </w:pPr>
    <w:rPr>
      <w:i/>
    </w:rPr>
  </w:style>
  <w:style w:type="paragraph" w:customStyle="1" w:styleId="affiliation">
    <w:name w:val="affiliation"/>
    <w:basedOn w:val="Normale"/>
    <w:next w:val="Normale"/>
    <w:rsid w:val="00B065E8"/>
    <w:pPr>
      <w:suppressAutoHyphens/>
      <w:spacing w:before="120" w:line="200" w:lineRule="atLeast"/>
      <w:ind w:left="238" w:firstLine="0"/>
      <w:jc w:val="left"/>
    </w:pPr>
    <w:rPr>
      <w:sz w:val="17"/>
    </w:rPr>
  </w:style>
  <w:style w:type="paragraph" w:customStyle="1" w:styleId="abstract">
    <w:name w:val="abstract"/>
    <w:basedOn w:val="Normale"/>
    <w:next w:val="Normale"/>
    <w:rsid w:val="00B61139"/>
    <w:pPr>
      <w:spacing w:before="480" w:after="480"/>
      <w:ind w:firstLine="0"/>
    </w:pPr>
  </w:style>
  <w:style w:type="paragraph" w:customStyle="1" w:styleId="quotation">
    <w:name w:val="quotation"/>
    <w:basedOn w:val="affiliation"/>
    <w:next w:val="Normale"/>
    <w:rsid w:val="00044A53"/>
    <w:pPr>
      <w:spacing w:after="120"/>
      <w:ind w:right="238"/>
      <w:contextualSpacing/>
    </w:pPr>
  </w:style>
  <w:style w:type="paragraph" w:customStyle="1" w:styleId="acknowledgements">
    <w:name w:val="acknowledgements"/>
    <w:basedOn w:val="affiliation"/>
    <w:next w:val="Normale"/>
    <w:rsid w:val="00B065E8"/>
    <w:pPr>
      <w:suppressAutoHyphens w:val="0"/>
      <w:spacing w:before="240"/>
      <w:ind w:left="0"/>
      <w:jc w:val="both"/>
    </w:pPr>
  </w:style>
  <w:style w:type="paragraph" w:customStyle="1" w:styleId="references">
    <w:name w:val="references"/>
    <w:basedOn w:val="petit"/>
    <w:rsid w:val="00D27CCD"/>
    <w:pPr>
      <w:spacing w:before="0" w:after="0"/>
      <w:ind w:left="238" w:hanging="238"/>
    </w:pPr>
  </w:style>
  <w:style w:type="paragraph" w:customStyle="1" w:styleId="figurecitation">
    <w:name w:val="figurecitation"/>
    <w:basedOn w:val="Normale"/>
    <w:rsid w:val="00B61139"/>
    <w:pPr>
      <w:pBdr>
        <w:top w:val="single" w:sz="8" w:space="1" w:color="auto"/>
        <w:left w:val="single" w:sz="8" w:space="4" w:color="auto"/>
        <w:bottom w:val="single" w:sz="8" w:space="1" w:color="auto"/>
        <w:right w:val="single" w:sz="8" w:space="4" w:color="auto"/>
      </w:pBdr>
    </w:pPr>
    <w:rPr>
      <w:rFonts w:ascii="Arial" w:hAnsi="Arial"/>
      <w:b/>
      <w:sz w:val="36"/>
    </w:rPr>
  </w:style>
  <w:style w:type="paragraph" w:customStyle="1" w:styleId="Titolo100">
    <w:name w:val="Titolo10"/>
    <w:basedOn w:val="Normale"/>
    <w:next w:val="p1a"/>
    <w:rsid w:val="009631B4"/>
    <w:pPr>
      <w:keepNext/>
      <w:keepLines/>
      <w:pageBreakBefore/>
      <w:tabs>
        <w:tab w:val="left" w:pos="284"/>
      </w:tabs>
      <w:suppressAutoHyphens/>
      <w:spacing w:line="360" w:lineRule="atLeast"/>
      <w:ind w:firstLine="0"/>
      <w:jc w:val="left"/>
    </w:pPr>
    <w:rPr>
      <w:b/>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aolo1.rosa@polimi.it"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png"/></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ospa\OneDrive\Paolo%20polimi\Progetti%20europei\FENIX\Libro%20FENIX\T1-book\T1-book.dotm"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9DF3B7-CFB8-4D07-B3AE-24C3457368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T1-book</Template>
  <TotalTime>69</TotalTime>
  <Pages>1</Pages>
  <Words>12821</Words>
  <Characters>73083</Characters>
  <Application>Microsoft Office Word</Application>
  <DocSecurity>0</DocSecurity>
  <Lines>609</Lines>
  <Paragraphs>171</Paragraphs>
  <ScaleCrop>false</ScaleCrop>
  <HeadingPairs>
    <vt:vector size="4" baseType="variant">
      <vt:variant>
        <vt:lpstr>Titolo</vt:lpstr>
      </vt:variant>
      <vt:variant>
        <vt:i4>1</vt:i4>
      </vt:variant>
      <vt:variant>
        <vt:lpstr>Titel</vt:lpstr>
      </vt:variant>
      <vt:variant>
        <vt:i4>1</vt:i4>
      </vt:variant>
    </vt:vector>
  </HeadingPairs>
  <TitlesOfParts>
    <vt:vector size="2" baseType="lpstr">
      <vt:lpstr/>
      <vt:lpstr/>
    </vt:vector>
  </TitlesOfParts>
  <Company>BertelsmannSpringer</Company>
  <LinksUpToDate>false</LinksUpToDate>
  <CharactersWithSpaces>85733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Paolo Rosa</dc:creator>
  <cp:keywords/>
  <dc:description/>
  <cp:lastModifiedBy>Paolo Rosa</cp:lastModifiedBy>
  <cp:revision>7</cp:revision>
  <dcterms:created xsi:type="dcterms:W3CDTF">2020-08-20T15:56:00Z</dcterms:created>
  <dcterms:modified xsi:type="dcterms:W3CDTF">2021-05-03T12:08:00Z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ec4af90b-62f4-3bdc-912c-3c32a2533aee</vt:lpwstr>
  </property>
  <property fmtid="{D5CDD505-2E9C-101B-9397-08002B2CF9AE}" pid="4" name="Mendeley Citation Style_1">
    <vt:lpwstr>http://www.zotero.org/styles/ieee</vt:lpwstr>
  </property>
  <property fmtid="{D5CDD505-2E9C-101B-9397-08002B2CF9AE}" pid="5" name="Mendeley Recent Style Id 0_1">
    <vt:lpwstr>http://www.zotero.org/styles/american-political-science-association</vt:lpwstr>
  </property>
  <property fmtid="{D5CDD505-2E9C-101B-9397-08002B2CF9AE}" pid="6" name="Mendeley Recent Style Name 0_1">
    <vt:lpwstr>American Political Science Association</vt:lpwstr>
  </property>
  <property fmtid="{D5CDD505-2E9C-101B-9397-08002B2CF9AE}" pid="7" name="Mendeley Recent Style Id 1_1">
    <vt:lpwstr>http://www.zotero.org/styles/apa</vt:lpwstr>
  </property>
  <property fmtid="{D5CDD505-2E9C-101B-9397-08002B2CF9AE}" pid="8" name="Mendeley Recent Style Name 1_1">
    <vt:lpwstr>American Psychological Association 7th edition</vt:lpwstr>
  </property>
  <property fmtid="{D5CDD505-2E9C-101B-9397-08002B2CF9AE}" pid="9" name="Mendeley Recent Style Id 2_1">
    <vt:lpwstr>http://www.zotero.org/styles/american-sociological-association</vt:lpwstr>
  </property>
  <property fmtid="{D5CDD505-2E9C-101B-9397-08002B2CF9AE}" pid="10" name="Mendeley Recent Style Name 2_1">
    <vt:lpwstr>American Sociological Association 6th edition</vt:lpwstr>
  </property>
  <property fmtid="{D5CDD505-2E9C-101B-9397-08002B2CF9AE}" pid="11" name="Mendeley Recent Style Id 3_1">
    <vt:lpwstr>http://www.zotero.org/styles/chicago-author-date</vt:lpwstr>
  </property>
  <property fmtid="{D5CDD505-2E9C-101B-9397-08002B2CF9AE}" pid="12" name="Mendeley Recent Style Name 3_1">
    <vt:lpwstr>Chicago Manual of Style 17th edition (author-date)</vt:lpwstr>
  </property>
  <property fmtid="{D5CDD505-2E9C-101B-9397-08002B2CF9AE}" pid="13" name="Mendeley Recent Style Id 4_1">
    <vt:lpwstr>http://www.zotero.org/styles/harvard-cite-them-right</vt:lpwstr>
  </property>
  <property fmtid="{D5CDD505-2E9C-101B-9397-08002B2CF9AE}" pid="14" name="Mendeley Recent Style Name 4_1">
    <vt:lpwstr>Cite Them Right 10th edition - Harvard</vt:lpwstr>
  </property>
  <property fmtid="{D5CDD505-2E9C-101B-9397-08002B2CF9AE}" pid="15" name="Mendeley Recent Style Id 5_1">
    <vt:lpwstr>http://www.zotero.org/styles/emerald-harvard</vt:lpwstr>
  </property>
  <property fmtid="{D5CDD505-2E9C-101B-9397-08002B2CF9AE}" pid="16" name="Mendeley Recent Style Name 5_1">
    <vt:lpwstr>Emerald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http://www.zotero.org/styles/journal-of-cleaner-production</vt:lpwstr>
  </property>
  <property fmtid="{D5CDD505-2E9C-101B-9397-08002B2CF9AE}" pid="20" name="Mendeley Recent Style Name 7_1">
    <vt:lpwstr>Journal of Cleaner Production</vt:lpwstr>
  </property>
  <property fmtid="{D5CDD505-2E9C-101B-9397-08002B2CF9AE}" pid="21" name="Mendeley Recent Style Id 8_1">
    <vt:lpwstr>http://www.zotero.org/styles/modern-humanities-research-association</vt:lpwstr>
  </property>
  <property fmtid="{D5CDD505-2E9C-101B-9397-08002B2CF9AE}" pid="22" name="Mendeley Recent Style Name 8_1">
    <vt:lpwstr>Modern Humanities Research Association 3rd edition (note with bibliography)</vt:lpwstr>
  </property>
  <property fmtid="{D5CDD505-2E9C-101B-9397-08002B2CF9AE}" pid="23" name="Mendeley Recent Style Id 9_1">
    <vt:lpwstr>http://www.zotero.org/styles/sustainable-production-and-consumption</vt:lpwstr>
  </property>
  <property fmtid="{D5CDD505-2E9C-101B-9397-08002B2CF9AE}" pid="24" name="Mendeley Recent Style Name 9_1">
    <vt:lpwstr>Sustainable Production and Consumption</vt:lpwstr>
  </property>
</Properties>
</file>