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33C4B7" w14:textId="77777777" w:rsidR="008F08BD" w:rsidRPr="00265231" w:rsidRDefault="008F08BD" w:rsidP="008F08BD">
      <w:pPr>
        <w:pStyle w:val="Titolo10"/>
        <w:rPr>
          <w:lang w:val="it-IT"/>
        </w:rPr>
      </w:pPr>
      <w:r w:rsidRPr="00265231">
        <w:rPr>
          <w:lang w:val="it-IT"/>
        </w:rPr>
        <w:t xml:space="preserve">2 </w:t>
      </w:r>
      <w:proofErr w:type="spellStart"/>
      <w:r w:rsidRPr="00265231">
        <w:rPr>
          <w:lang w:val="it-IT"/>
        </w:rPr>
        <w:t>Circular</w:t>
      </w:r>
      <w:proofErr w:type="spellEnd"/>
      <w:r w:rsidRPr="00265231">
        <w:rPr>
          <w:lang w:val="it-IT"/>
        </w:rPr>
        <w:t xml:space="preserve"> business models </w:t>
      </w:r>
      <w:proofErr w:type="spellStart"/>
      <w:r w:rsidRPr="00265231">
        <w:rPr>
          <w:lang w:val="it-IT"/>
        </w:rPr>
        <w:t>identification</w:t>
      </w:r>
      <w:proofErr w:type="spellEnd"/>
    </w:p>
    <w:p w14:paraId="030E9047" w14:textId="77777777" w:rsidR="008F08BD" w:rsidRDefault="008F08BD" w:rsidP="008F08BD">
      <w:pPr>
        <w:pStyle w:val="author"/>
        <w:rPr>
          <w:lang w:val="it-IT"/>
        </w:rPr>
      </w:pPr>
      <w:r w:rsidRPr="004E385D">
        <w:rPr>
          <w:lang w:val="it-IT"/>
        </w:rPr>
        <w:t>Paolo Rosa, Claudio Sassanelli, Sergio Terzi</w:t>
      </w:r>
    </w:p>
    <w:p w14:paraId="60C1A791" w14:textId="77777777" w:rsidR="008F08BD" w:rsidRPr="004E385D" w:rsidRDefault="008F08BD" w:rsidP="008F08BD">
      <w:pPr>
        <w:pStyle w:val="affiliation"/>
        <w:rPr>
          <w:lang w:val="en-GB"/>
        </w:rPr>
      </w:pPr>
      <w:r>
        <w:rPr>
          <w:lang w:val="en-GB"/>
        </w:rPr>
        <w:t xml:space="preserve">Department of Management, </w:t>
      </w:r>
      <w:proofErr w:type="gramStart"/>
      <w:r>
        <w:rPr>
          <w:lang w:val="en-GB"/>
        </w:rPr>
        <w:t>Economics</w:t>
      </w:r>
      <w:proofErr w:type="gramEnd"/>
      <w:r>
        <w:rPr>
          <w:lang w:val="en-GB"/>
        </w:rPr>
        <w:t xml:space="preserve"> and Industrial Engineering, </w:t>
      </w:r>
      <w:proofErr w:type="spellStart"/>
      <w:r w:rsidRPr="004E385D">
        <w:rPr>
          <w:lang w:val="en-GB"/>
        </w:rPr>
        <w:t>Politecnico</w:t>
      </w:r>
      <w:proofErr w:type="spellEnd"/>
      <w:r w:rsidRPr="004E385D">
        <w:rPr>
          <w:lang w:val="en-GB"/>
        </w:rPr>
        <w:t xml:space="preserve"> di Milano,</w:t>
      </w:r>
    </w:p>
    <w:p w14:paraId="0046533A" w14:textId="77777777" w:rsidR="008F08BD" w:rsidRPr="004E385D" w:rsidRDefault="008F08BD" w:rsidP="008F08BD">
      <w:pPr>
        <w:pStyle w:val="affiliation"/>
        <w:rPr>
          <w:lang w:val="it-IT"/>
        </w:rPr>
      </w:pPr>
      <w:r w:rsidRPr="004E385D">
        <w:rPr>
          <w:lang w:val="it-IT"/>
        </w:rPr>
        <w:t xml:space="preserve">Piazza L. da Vinci 32, 20133 Milan, </w:t>
      </w:r>
      <w:proofErr w:type="spellStart"/>
      <w:r w:rsidRPr="004E385D">
        <w:rPr>
          <w:lang w:val="it-IT"/>
        </w:rPr>
        <w:t>Italy</w:t>
      </w:r>
      <w:proofErr w:type="spellEnd"/>
      <w:r w:rsidRPr="004E385D">
        <w:rPr>
          <w:lang w:val="it-IT"/>
        </w:rPr>
        <w:t xml:space="preserve"> </w:t>
      </w:r>
    </w:p>
    <w:p w14:paraId="24F3919E" w14:textId="0DE0743C" w:rsidR="008F08BD" w:rsidRDefault="008F08BD" w:rsidP="008F08BD">
      <w:pPr>
        <w:pStyle w:val="abstract"/>
        <w:rPr>
          <w:bCs/>
          <w:lang w:val="en-GB"/>
        </w:rPr>
      </w:pPr>
      <w:r w:rsidRPr="004E385D">
        <w:rPr>
          <w:b/>
          <w:lang w:val="en-GB"/>
        </w:rPr>
        <w:t>Abstract  </w:t>
      </w:r>
      <w:r>
        <w:rPr>
          <w:b/>
          <w:lang w:val="en-GB"/>
        </w:rPr>
        <w:t xml:space="preserve"> </w:t>
      </w:r>
      <w:r w:rsidRPr="004E385D">
        <w:rPr>
          <w:bCs/>
          <w:lang w:val="en-GB"/>
        </w:rPr>
        <w:t xml:space="preserve">The main objective of FENIX is demonstrating the benefits coming from the adoption of CE practices through a set of circular business models adequately configured within the project. These CBMs have been selected basing on the three use cases requirements pertaining to different industrial streams (metal powders, 3D-printed </w:t>
      </w:r>
      <w:proofErr w:type="gramStart"/>
      <w:r w:rsidRPr="004E385D">
        <w:rPr>
          <w:bCs/>
          <w:lang w:val="en-GB"/>
        </w:rPr>
        <w:t>jewels</w:t>
      </w:r>
      <w:proofErr w:type="gramEnd"/>
      <w:r w:rsidRPr="004E385D">
        <w:rPr>
          <w:bCs/>
          <w:lang w:val="en-GB"/>
        </w:rPr>
        <w:t xml:space="preserve"> and advanced filaments for 3D printing applications). The chapter starts with a literature assessment of both current CBMs and current CBM classification methods. Subsequently, existing CBMs have been mapped basing on the most common classification method (</w:t>
      </w:r>
      <w:proofErr w:type="gramStart"/>
      <w:r w:rsidRPr="004E385D">
        <w:rPr>
          <w:bCs/>
          <w:lang w:val="en-GB"/>
        </w:rPr>
        <w:t>i.e.</w:t>
      </w:r>
      <w:proofErr w:type="gramEnd"/>
      <w:r w:rsidRPr="004E385D">
        <w:rPr>
          <w:bCs/>
          <w:lang w:val="en-GB"/>
        </w:rPr>
        <w:t xml:space="preserve"> the </w:t>
      </w:r>
      <w:proofErr w:type="spellStart"/>
      <w:r w:rsidRPr="004E385D">
        <w:rPr>
          <w:bCs/>
          <w:lang w:val="en-GB"/>
        </w:rPr>
        <w:t>ReSOLVE</w:t>
      </w:r>
      <w:proofErr w:type="spellEnd"/>
      <w:r w:rsidRPr="004E385D">
        <w:rPr>
          <w:bCs/>
          <w:lang w:val="en-GB"/>
        </w:rPr>
        <w:t xml:space="preserve"> framework), evidencing the most suitable CBMs to be adopted in FENIX. In parallel, a literature assessment of industrial benefits expected from the adoption of CE practices have been implemented. Subsequently, FENIX industrial partners have been interviewed </w:t>
      </w:r>
      <w:proofErr w:type="gramStart"/>
      <w:r w:rsidRPr="004E385D">
        <w:rPr>
          <w:bCs/>
          <w:lang w:val="en-GB"/>
        </w:rPr>
        <w:t>in order to</w:t>
      </w:r>
      <w:proofErr w:type="gramEnd"/>
      <w:r w:rsidRPr="004E385D">
        <w:rPr>
          <w:bCs/>
          <w:lang w:val="en-GB"/>
        </w:rPr>
        <w:t xml:space="preserve"> select the most relevant benef</w:t>
      </w:r>
      <w:r w:rsidR="002062D6">
        <w:rPr>
          <w:bCs/>
          <w:lang w:val="en-GB"/>
        </w:rPr>
        <w:t>its expected from the project. A</w:t>
      </w:r>
      <w:r w:rsidRPr="004E385D">
        <w:rPr>
          <w:bCs/>
          <w:lang w:val="en-GB"/>
        </w:rPr>
        <w:t xml:space="preserve"> final comparison of available CBMs and expected benefits allowed to select the most suitable CBMs to be demonstrated in FENIX.</w:t>
      </w:r>
    </w:p>
    <w:p w14:paraId="2F26210F" w14:textId="77777777" w:rsidR="008F08BD" w:rsidRPr="004E385D" w:rsidRDefault="008F08BD" w:rsidP="008F08BD">
      <w:pPr>
        <w:pStyle w:val="heading1"/>
        <w:rPr>
          <w:lang w:val="en-GB"/>
        </w:rPr>
      </w:pPr>
      <w:r w:rsidRPr="004E385D">
        <w:rPr>
          <w:lang w:val="en-GB"/>
        </w:rPr>
        <w:t>2.1 Current state of the art on CBMs</w:t>
      </w:r>
      <w:r>
        <w:rPr>
          <w:lang w:val="en-GB"/>
        </w:rPr>
        <w:t xml:space="preserve"> and their classification methods</w:t>
      </w:r>
    </w:p>
    <w:p w14:paraId="53C1AD9D" w14:textId="24D24AA7" w:rsidR="00805087" w:rsidRDefault="008F08BD" w:rsidP="008F08BD">
      <w:pPr>
        <w:pStyle w:val="p1a"/>
        <w:rPr>
          <w:lang w:bidi="en-US"/>
        </w:rPr>
      </w:pPr>
      <w:r w:rsidRPr="00732227">
        <w:rPr>
          <w:lang w:bidi="en-US"/>
        </w:rPr>
        <w:t xml:space="preserve">Circular Business Models (CBMs) can be considered </w:t>
      </w:r>
      <w:r>
        <w:rPr>
          <w:lang w:bidi="en-US"/>
        </w:rPr>
        <w:t>as</w:t>
      </w:r>
      <w:r w:rsidRPr="00732227">
        <w:rPr>
          <w:lang w:bidi="en-US"/>
        </w:rPr>
        <w:t xml:space="preserve"> the </w:t>
      </w:r>
      <w:r>
        <w:rPr>
          <w:lang w:bidi="en-US"/>
        </w:rPr>
        <w:t>interpretation</w:t>
      </w:r>
      <w:r w:rsidRPr="00732227">
        <w:rPr>
          <w:lang w:bidi="en-US"/>
        </w:rPr>
        <w:t xml:space="preserve"> of circular economy principles within the company’s boundaries. Depending on the experts, CBMs (also named </w:t>
      </w:r>
      <w:r>
        <w:rPr>
          <w:lang w:bidi="en-US"/>
        </w:rPr>
        <w:t xml:space="preserve">as </w:t>
      </w:r>
      <w:r w:rsidRPr="00732227">
        <w:rPr>
          <w:lang w:bidi="en-US"/>
        </w:rPr>
        <w:t xml:space="preserve">Circular Economy Business Models – CEBMs) can be classified under the wider umbrella of either Green Business Models (GBMs) and/or Sustainable Business Models (SBMs). </w:t>
      </w:r>
      <w:r>
        <w:rPr>
          <w:lang w:bidi="en-US"/>
        </w:rPr>
        <w:t>About this topic</w:t>
      </w:r>
      <w:r w:rsidRPr="00732227">
        <w:rPr>
          <w:lang w:bidi="en-US"/>
        </w:rPr>
        <w:t>, a systematic literature review has been carried out</w:t>
      </w:r>
      <w:r>
        <w:rPr>
          <w:lang w:bidi="en-US"/>
        </w:rPr>
        <w:t xml:space="preserve"> by </w:t>
      </w:r>
      <w:r>
        <w:rPr>
          <w:lang w:bidi="en-US"/>
        </w:rPr>
        <w:fldChar w:fldCharType="begin" w:fldLock="1"/>
      </w:r>
      <w:r>
        <w:rPr>
          <w:lang w:bidi="en-US"/>
        </w:rPr>
        <w:instrText>ADDIN CSL_CITATION {"citationItems":[{"id":"ITEM-1","itemData":{"DOI":"10.1016/j.jclepro.2019.117696","abstract":"Since many years, companies are trying to cope with impressive technological growth rates, severe environmental issues and even more restrictive national and international directives. However, innovative Business Models (BMs) and industrial strategies adequate to this new context are still either under development or implementation. To this aim, the article proposes a systematic literature review on existing Circular Business Models (CBMs) and their classification methods, by selecting the most promising ones. A total amount of 283 articles related with CBMs has been assessed into detail, by identifying: 5 archetypes, 9 classification methods, 5 adoption-oriented challenges, 4 decisionsupport tools and 3 additional research areas. Key findings demonstrate that: i) Product-Service Systems (PSSs)-oriented and Reuse, Remanufacturing and Recycling (3R)-based CBMs are the most common archetypes, ii) Business Model Canvas is the most diffused classification framework, iii) sustainability and company-based challenges are the most discussed by the experts and iv) sustainability check-oriented is the most common type of decision-support tools. These (and others) results could support both companies, researchers and governments in updating the current knowledge on CBMs and make them adoptable for practitioners from different industrial contexts.","author":[{"dropping-particle":"","family":"Rosa","given":"Paolo","non-dropping-particle":"","parse-names":false,"suffix":""},{"dropping-particle":"","family":"Sassanelli","given":"Claudio","non-dropping-particle":"","parse-names":false,"suffix":""},{"dropping-particle":"","family":"Terzi","given":"Sergio","non-dropping-particle":"","parse-names":false,"suffix":""}],"container-title":"Journal of Cleaner Production","id":"ITEM-1","issue":"117696","issued":{"date-parts":[["2019"]]},"page":"1-17","title":"Towards Circular Business Models: A systematic literature review on classification frameworks and archetypes","type":"article-journal","volume":"236"},"uris":["http://www.mendeley.com/documents/?uuid=f83b0fc3-5332-4786-b992-3cda88aef058"]}],"mendeley":{"formattedCitation":"(Rosa et al., 2019b)","plainTextFormattedCitation":"(Rosa et al., 2019b)","previouslyFormattedCitation":"(Rosa et al., 2019b)"},"properties":{"noteIndex":0},"schema":"https://github.com/citation-style-language/schema/raw/master/csl-citation.json"}</w:instrText>
      </w:r>
      <w:r>
        <w:rPr>
          <w:lang w:bidi="en-US"/>
        </w:rPr>
        <w:fldChar w:fldCharType="separate"/>
      </w:r>
      <w:r w:rsidRPr="00156775">
        <w:rPr>
          <w:noProof/>
          <w:lang w:bidi="en-US"/>
        </w:rPr>
        <w:t>(Rosa et al., 2019b)</w:t>
      </w:r>
      <w:r>
        <w:rPr>
          <w:lang w:bidi="en-US"/>
        </w:rPr>
        <w:fldChar w:fldCharType="end"/>
      </w:r>
      <w:r w:rsidRPr="00732227">
        <w:rPr>
          <w:lang w:bidi="en-US"/>
        </w:rPr>
        <w:t xml:space="preserve">. </w:t>
      </w:r>
      <w:r w:rsidR="00950E7C">
        <w:rPr>
          <w:lang w:bidi="en-US"/>
        </w:rPr>
        <w:t>Results unveil that i</w:t>
      </w:r>
      <w:r>
        <w:rPr>
          <w:lang w:bidi="en-US"/>
        </w:rPr>
        <w:t>n terms of CBMs the most discussed research areas are</w:t>
      </w:r>
      <w:r w:rsidRPr="00732227">
        <w:rPr>
          <w:lang w:bidi="en-US"/>
        </w:rPr>
        <w:t xml:space="preserve"> </w:t>
      </w:r>
      <w:proofErr w:type="spellStart"/>
      <w:r>
        <w:rPr>
          <w:lang w:bidi="en-US"/>
        </w:rPr>
        <w:t>i</w:t>
      </w:r>
      <w:proofErr w:type="spellEnd"/>
      <w:r>
        <w:rPr>
          <w:lang w:bidi="en-US"/>
        </w:rPr>
        <w:t>)</w:t>
      </w:r>
      <w:r w:rsidRPr="00732227">
        <w:rPr>
          <w:lang w:bidi="en-US"/>
        </w:rPr>
        <w:t xml:space="preserve"> practical implementation of CBMs</w:t>
      </w:r>
      <w:r>
        <w:rPr>
          <w:lang w:bidi="en-US"/>
        </w:rPr>
        <w:t>, ii)</w:t>
      </w:r>
      <w:r w:rsidRPr="00732227">
        <w:rPr>
          <w:lang w:bidi="en-US"/>
        </w:rPr>
        <w:t xml:space="preserve"> challenges related with the adoption of </w:t>
      </w:r>
      <w:r>
        <w:rPr>
          <w:lang w:bidi="en-US"/>
        </w:rPr>
        <w:t>CBMs and iii)</w:t>
      </w:r>
      <w:r w:rsidRPr="00732227">
        <w:rPr>
          <w:lang w:bidi="en-US"/>
        </w:rPr>
        <w:t xml:space="preserve"> decision-support tools</w:t>
      </w:r>
      <w:r>
        <w:rPr>
          <w:lang w:bidi="en-US"/>
        </w:rPr>
        <w:t xml:space="preserve">. Considering just works on CBM classification methods, </w:t>
      </w:r>
      <w:r w:rsidRPr="00D04D8B">
        <w:rPr>
          <w:lang w:bidi="en-US"/>
        </w:rPr>
        <w:t xml:space="preserve">it is possible to distinguish three </w:t>
      </w:r>
      <w:r>
        <w:rPr>
          <w:lang w:bidi="en-US"/>
        </w:rPr>
        <w:t>research streams</w:t>
      </w:r>
      <w:r w:rsidRPr="00D04D8B">
        <w:rPr>
          <w:lang w:bidi="en-US"/>
        </w:rPr>
        <w:t xml:space="preserve">: </w:t>
      </w:r>
      <w:proofErr w:type="spellStart"/>
      <w:r>
        <w:rPr>
          <w:lang w:bidi="en-US"/>
        </w:rPr>
        <w:t>i</w:t>
      </w:r>
      <w:proofErr w:type="spellEnd"/>
      <w:r w:rsidRPr="00D04D8B">
        <w:rPr>
          <w:lang w:bidi="en-US"/>
        </w:rPr>
        <w:t xml:space="preserve">) papers referring to the </w:t>
      </w:r>
      <w:proofErr w:type="spellStart"/>
      <w:r w:rsidRPr="00D04D8B">
        <w:rPr>
          <w:lang w:bidi="en-US"/>
        </w:rPr>
        <w:t>ReSOLVE</w:t>
      </w:r>
      <w:proofErr w:type="spellEnd"/>
      <w:r w:rsidRPr="00D04D8B">
        <w:rPr>
          <w:lang w:bidi="en-US"/>
        </w:rPr>
        <w:t xml:space="preserve"> framework </w:t>
      </w:r>
      <w:r w:rsidRPr="00D04D8B">
        <w:rPr>
          <w:lang w:bidi="en-US"/>
        </w:rPr>
        <w:fldChar w:fldCharType="begin" w:fldLock="1"/>
      </w:r>
      <w:r>
        <w:rPr>
          <w:lang w:bidi="en-US"/>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Transition","type":"report"},"uris":["http://www.mendeley.com/documents/?uuid=971e4fa0-7fe9-4e1f-b452-62303eeda0d3"]}],"mendeley":{"formattedCitation":"(The Ellen MacArthur Foundation, 2015)","plainTextFormattedCitation":"(The Ellen MacArthur Foundation, 2015)","previouslyFormattedCitation":"(The Ellen MacArthur Foundation, 2015)"},"properties":{"noteIndex":0},"schema":"https://github.com/citation-style-language/schema/raw/master/csl-citation.json"}</w:instrText>
      </w:r>
      <w:r w:rsidRPr="00D04D8B">
        <w:rPr>
          <w:lang w:bidi="en-US"/>
        </w:rPr>
        <w:fldChar w:fldCharType="separate"/>
      </w:r>
      <w:r w:rsidRPr="00371AE5">
        <w:rPr>
          <w:noProof/>
          <w:lang w:bidi="en-US"/>
        </w:rPr>
        <w:t>(The Ellen MacArthur Foundation, 2015)</w:t>
      </w:r>
      <w:r w:rsidRPr="00D04D8B">
        <w:rPr>
          <w:lang w:bidi="en-US"/>
        </w:rPr>
        <w:fldChar w:fldCharType="end"/>
      </w:r>
      <w:r w:rsidRPr="00D04D8B">
        <w:rPr>
          <w:lang w:bidi="en-US"/>
        </w:rPr>
        <w:t xml:space="preserve">, </w:t>
      </w:r>
      <w:r>
        <w:rPr>
          <w:lang w:bidi="en-US"/>
        </w:rPr>
        <w:t>ii</w:t>
      </w:r>
      <w:r w:rsidRPr="00D04D8B">
        <w:rPr>
          <w:lang w:bidi="en-US"/>
        </w:rPr>
        <w:t xml:space="preserve">) papers referring to the </w:t>
      </w:r>
      <w:r w:rsidRPr="00D04D8B">
        <w:rPr>
          <w:lang w:bidi="en-US"/>
        </w:rPr>
        <w:lastRenderedPageBreak/>
        <w:t xml:space="preserve">Business Model Canvas (BMC) methodology </w:t>
      </w:r>
      <w:r w:rsidRPr="00D04D8B">
        <w:rPr>
          <w:lang w:bidi="en-US"/>
        </w:rPr>
        <w:fldChar w:fldCharType="begin" w:fldLock="1"/>
      </w:r>
      <w:r>
        <w:rPr>
          <w:lang w:bidi="en-US"/>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sterwalder","given":"Alexander","non-dropping-particle":"","parse-names":false,"suffix":""},{"dropping-particle":"","family":"Pigneur","given":"Yves","non-dropping-particle":"","parse-names":false,"suffix":""}],"id":"ITEM-1","issued":{"date-parts":[["2010"]]},"number-of-pages":"288","publisher":"John Wiley &amp; Sons, Inc.","publisher-place":"Hoboken, New Jersey, USA","title":"Business Model Generation","type":"book"},"uris":["http://www.mendeley.com/documents/?uuid=7f327a01-bfb0-439d-80a7-b94ce1fd37d5"]}],"mendeley":{"formattedCitation":"(Osterwalder &amp; Pigneur, 2010)","plainTextFormattedCitation":"(Osterwalder &amp; Pigneur, 2010)","previouslyFormattedCitation":"(Osterwalder &amp; Pigneur, 2010)"},"properties":{"noteIndex":0},"schema":"https://github.com/citation-style-language/schema/raw/master/csl-citation.json"}</w:instrText>
      </w:r>
      <w:r w:rsidRPr="00D04D8B">
        <w:rPr>
          <w:lang w:bidi="en-US"/>
        </w:rPr>
        <w:fldChar w:fldCharType="separate"/>
      </w:r>
      <w:r w:rsidRPr="00371AE5">
        <w:rPr>
          <w:noProof/>
          <w:lang w:bidi="en-US"/>
        </w:rPr>
        <w:t>(Osterwalder &amp; Pigneur, 2010)</w:t>
      </w:r>
      <w:r w:rsidRPr="00D04D8B">
        <w:rPr>
          <w:lang w:bidi="en-US"/>
        </w:rPr>
        <w:fldChar w:fldCharType="end"/>
      </w:r>
      <w:r w:rsidRPr="00D04D8B">
        <w:rPr>
          <w:lang w:bidi="en-US"/>
        </w:rPr>
        <w:t xml:space="preserve"> and </w:t>
      </w:r>
      <w:r>
        <w:rPr>
          <w:lang w:bidi="en-US"/>
        </w:rPr>
        <w:t>ii</w:t>
      </w:r>
      <w:r w:rsidRPr="00D04D8B">
        <w:rPr>
          <w:lang w:bidi="en-US"/>
        </w:rPr>
        <w:t>) papers proposing hybrid models</w:t>
      </w:r>
      <w:r>
        <w:rPr>
          <w:lang w:bidi="en-US"/>
        </w:rPr>
        <w:t xml:space="preserve"> mixing both</w:t>
      </w:r>
      <w:r w:rsidRPr="00D04D8B">
        <w:rPr>
          <w:lang w:bidi="en-US"/>
        </w:rPr>
        <w:t xml:space="preserve"> the previous </w:t>
      </w:r>
      <w:r>
        <w:rPr>
          <w:lang w:bidi="en-US"/>
        </w:rPr>
        <w:t xml:space="preserve">methods. </w:t>
      </w:r>
      <w:r w:rsidRPr="00062A7B">
        <w:rPr>
          <w:lang w:bidi="en-US"/>
        </w:rPr>
        <w:t xml:space="preserve">The </w:t>
      </w:r>
      <w:proofErr w:type="spellStart"/>
      <w:r w:rsidRPr="00062A7B">
        <w:rPr>
          <w:lang w:bidi="en-US"/>
        </w:rPr>
        <w:t>ReSOLVE</w:t>
      </w:r>
      <w:proofErr w:type="spellEnd"/>
      <w:r w:rsidRPr="00062A7B">
        <w:rPr>
          <w:lang w:bidi="en-US"/>
        </w:rPr>
        <w:t xml:space="preserve"> framework </w:t>
      </w:r>
      <w:r w:rsidRPr="00062A7B">
        <w:rPr>
          <w:lang w:bidi="en-US"/>
        </w:rPr>
        <w:fldChar w:fldCharType="begin" w:fldLock="1"/>
      </w:r>
      <w:r>
        <w:rPr>
          <w:lang w:bidi="en-US"/>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Transition","type":"report"},"uris":["http://www.mendeley.com/documents/?uuid=971e4fa0-7fe9-4e1f-b452-62303eeda0d3"]}],"mendeley":{"formattedCitation":"(The Ellen MacArthur Foundation, 2015)","plainTextFormattedCitation":"(The Ellen MacArthur Foundation, 2015)","previouslyFormattedCitation":"(The Ellen MacArthur Foundation, 2015)"},"properties":{"noteIndex":0},"schema":"https://github.com/citation-style-language/schema/raw/master/csl-citation.json"}</w:instrText>
      </w:r>
      <w:r w:rsidRPr="00062A7B">
        <w:rPr>
          <w:lang w:bidi="en-US"/>
        </w:rPr>
        <w:fldChar w:fldCharType="separate"/>
      </w:r>
      <w:r w:rsidRPr="00371AE5">
        <w:rPr>
          <w:noProof/>
          <w:lang w:bidi="en-US"/>
        </w:rPr>
        <w:t>(The Ellen MacArthur Foundation, 2015)</w:t>
      </w:r>
      <w:r w:rsidRPr="00062A7B">
        <w:rPr>
          <w:lang w:bidi="en-US"/>
        </w:rPr>
        <w:fldChar w:fldCharType="end"/>
      </w:r>
      <w:r w:rsidRPr="00062A7B">
        <w:rPr>
          <w:lang w:bidi="en-US"/>
        </w:rPr>
        <w:t xml:space="preserve"> </w:t>
      </w:r>
      <w:r>
        <w:rPr>
          <w:lang w:bidi="en-US"/>
        </w:rPr>
        <w:t xml:space="preserve">aims at </w:t>
      </w:r>
      <w:r w:rsidRPr="00062A7B">
        <w:rPr>
          <w:lang w:bidi="en-US"/>
        </w:rPr>
        <w:t xml:space="preserve">supporting companies and governments during the definition of circular economy policies. </w:t>
      </w:r>
      <w:r>
        <w:rPr>
          <w:lang w:bidi="en-US"/>
        </w:rPr>
        <w:t>It</w:t>
      </w:r>
      <w:r w:rsidRPr="00062A7B">
        <w:rPr>
          <w:lang w:bidi="en-US"/>
        </w:rPr>
        <w:t xml:space="preserve"> identifies six different ways to be circular </w:t>
      </w:r>
      <w:r>
        <w:rPr>
          <w:lang w:bidi="en-US"/>
        </w:rPr>
        <w:t>(</w:t>
      </w:r>
      <w:proofErr w:type="gramStart"/>
      <w:r>
        <w:rPr>
          <w:lang w:bidi="en-US"/>
        </w:rPr>
        <w:t>e.g.</w:t>
      </w:r>
      <w:proofErr w:type="gramEnd"/>
      <w:r>
        <w:rPr>
          <w:lang w:bidi="en-US"/>
        </w:rPr>
        <w:t xml:space="preserve"> </w:t>
      </w:r>
      <w:r w:rsidRPr="00062A7B">
        <w:rPr>
          <w:lang w:bidi="en-US"/>
        </w:rPr>
        <w:t>Regenerate, Share</w:t>
      </w:r>
      <w:r>
        <w:rPr>
          <w:lang w:bidi="en-US"/>
        </w:rPr>
        <w:t>,</w:t>
      </w:r>
      <w:r w:rsidRPr="00062A7B">
        <w:rPr>
          <w:lang w:bidi="en-US"/>
        </w:rPr>
        <w:t xml:space="preserve"> Optimize, Loop, Virtualize and Exchange</w:t>
      </w:r>
      <w:r>
        <w:rPr>
          <w:lang w:bidi="en-US"/>
        </w:rPr>
        <w:t>)</w:t>
      </w:r>
      <w:r w:rsidRPr="00062A7B">
        <w:rPr>
          <w:lang w:bidi="en-US"/>
        </w:rPr>
        <w:t xml:space="preserve">. </w:t>
      </w:r>
      <w:r>
        <w:rPr>
          <w:lang w:bidi="en-US"/>
        </w:rPr>
        <w:t xml:space="preserve">Each of them is subsequently detailed in specific actions. </w:t>
      </w:r>
      <w:r w:rsidRPr="00062A7B">
        <w:rPr>
          <w:lang w:bidi="en-US"/>
        </w:rPr>
        <w:t xml:space="preserve">Even if the </w:t>
      </w:r>
      <w:proofErr w:type="spellStart"/>
      <w:r w:rsidRPr="00062A7B">
        <w:rPr>
          <w:lang w:bidi="en-US"/>
        </w:rPr>
        <w:t>ReSOLVE</w:t>
      </w:r>
      <w:proofErr w:type="spellEnd"/>
      <w:r w:rsidRPr="00062A7B">
        <w:rPr>
          <w:lang w:bidi="en-US"/>
        </w:rPr>
        <w:t xml:space="preserve"> framework cannot be </w:t>
      </w:r>
      <w:r>
        <w:rPr>
          <w:lang w:bidi="en-US"/>
        </w:rPr>
        <w:t>considered</w:t>
      </w:r>
      <w:r w:rsidRPr="00062A7B">
        <w:rPr>
          <w:lang w:bidi="en-US"/>
        </w:rPr>
        <w:t xml:space="preserve"> a real classification method, many experts started from it to develop their own </w:t>
      </w:r>
      <w:r>
        <w:rPr>
          <w:lang w:bidi="en-US"/>
        </w:rPr>
        <w:t>models</w:t>
      </w:r>
      <w:r w:rsidRPr="00062A7B">
        <w:rPr>
          <w:lang w:bidi="en-US"/>
        </w:rPr>
        <w:t>.</w:t>
      </w:r>
      <w:r>
        <w:rPr>
          <w:lang w:bidi="en-US"/>
        </w:rPr>
        <w:t xml:space="preserve"> </w:t>
      </w:r>
    </w:p>
    <w:p w14:paraId="2F9C9B06" w14:textId="3286A73C" w:rsidR="00805087" w:rsidRDefault="008F08BD" w:rsidP="008F08BD">
      <w:pPr>
        <w:pStyle w:val="p1a"/>
        <w:rPr>
          <w:lang w:bidi="en-US"/>
        </w:rPr>
      </w:pPr>
      <w:r w:rsidRPr="00062A7B">
        <w:rPr>
          <w:lang w:bidi="en-US"/>
        </w:rPr>
        <w:t xml:space="preserve">Considering the BMC-based classification methods, papers pertaining to this category try to modify the original BMC </w:t>
      </w:r>
      <w:proofErr w:type="gramStart"/>
      <w:r>
        <w:rPr>
          <w:lang w:bidi="en-US"/>
        </w:rPr>
        <w:t>in order to</w:t>
      </w:r>
      <w:proofErr w:type="gramEnd"/>
      <w:r w:rsidRPr="00062A7B">
        <w:rPr>
          <w:lang w:bidi="en-US"/>
        </w:rPr>
        <w:t xml:space="preserve"> map circular</w:t>
      </w:r>
      <w:r>
        <w:rPr>
          <w:lang w:bidi="en-US"/>
        </w:rPr>
        <w:t>ities</w:t>
      </w:r>
      <w:r w:rsidRPr="00062A7B">
        <w:rPr>
          <w:lang w:bidi="en-US"/>
        </w:rPr>
        <w:t>.</w:t>
      </w:r>
      <w:r>
        <w:rPr>
          <w:lang w:bidi="en-US"/>
        </w:rPr>
        <w:t xml:space="preserve"> </w:t>
      </w:r>
    </w:p>
    <w:p w14:paraId="64CF0953" w14:textId="72CA75F8" w:rsidR="008F08BD" w:rsidRDefault="008F08BD" w:rsidP="008F08BD">
      <w:pPr>
        <w:pStyle w:val="p1a"/>
        <w:rPr>
          <w:lang w:bidi="en-US"/>
        </w:rPr>
      </w:pPr>
      <w:r w:rsidRPr="00062A7B">
        <w:rPr>
          <w:lang w:bidi="en-US"/>
        </w:rPr>
        <w:t xml:space="preserve">Considering hybrid models, </w:t>
      </w:r>
      <w:r>
        <w:rPr>
          <w:lang w:bidi="en-US"/>
        </w:rPr>
        <w:t>the experts</w:t>
      </w:r>
      <w:r w:rsidRPr="00062A7B">
        <w:rPr>
          <w:lang w:bidi="en-US"/>
        </w:rPr>
        <w:t xml:space="preserve"> try to mix the previous classification methods </w:t>
      </w:r>
      <w:proofErr w:type="gramStart"/>
      <w:r w:rsidRPr="00062A7B">
        <w:rPr>
          <w:lang w:bidi="en-US"/>
        </w:rPr>
        <w:t>in order to</w:t>
      </w:r>
      <w:proofErr w:type="gramEnd"/>
      <w:r w:rsidRPr="00062A7B">
        <w:rPr>
          <w:lang w:bidi="en-US"/>
        </w:rPr>
        <w:t xml:space="preserve"> reinforce</w:t>
      </w:r>
      <w:r>
        <w:rPr>
          <w:lang w:bidi="en-US"/>
        </w:rPr>
        <w:t xml:space="preserve"> them</w:t>
      </w:r>
      <w:r w:rsidRPr="00062A7B">
        <w:rPr>
          <w:lang w:bidi="en-US"/>
        </w:rPr>
        <w:t>.</w:t>
      </w:r>
      <w:r>
        <w:rPr>
          <w:lang w:bidi="en-US"/>
        </w:rPr>
        <w:t xml:space="preserve"> Given the popularity of </w:t>
      </w:r>
      <w:proofErr w:type="spellStart"/>
      <w:r w:rsidRPr="00062A7B">
        <w:rPr>
          <w:lang w:bidi="en-US"/>
        </w:rPr>
        <w:t>ReSOLVE</w:t>
      </w:r>
      <w:proofErr w:type="spellEnd"/>
      <w:r w:rsidRPr="00062A7B">
        <w:rPr>
          <w:lang w:bidi="en-US"/>
        </w:rPr>
        <w:t xml:space="preserve"> and BMC </w:t>
      </w:r>
      <w:r>
        <w:rPr>
          <w:lang w:bidi="en-US"/>
        </w:rPr>
        <w:t>methods</w:t>
      </w:r>
      <w:r w:rsidRPr="00062A7B">
        <w:rPr>
          <w:lang w:bidi="en-US"/>
        </w:rPr>
        <w:t xml:space="preserve">, the FENIX project considered </w:t>
      </w:r>
      <w:r>
        <w:rPr>
          <w:lang w:bidi="en-US"/>
        </w:rPr>
        <w:t xml:space="preserve">them </w:t>
      </w:r>
      <w:r w:rsidRPr="00062A7B">
        <w:rPr>
          <w:lang w:bidi="en-US"/>
        </w:rPr>
        <w:t xml:space="preserve">as reference </w:t>
      </w:r>
      <w:r>
        <w:rPr>
          <w:lang w:bidi="en-US"/>
        </w:rPr>
        <w:t xml:space="preserve">CBM </w:t>
      </w:r>
      <w:r w:rsidRPr="00062A7B">
        <w:rPr>
          <w:lang w:bidi="en-US"/>
        </w:rPr>
        <w:t>classification meth</w:t>
      </w:r>
      <w:r>
        <w:rPr>
          <w:lang w:bidi="en-US"/>
        </w:rPr>
        <w:t>ods</w:t>
      </w:r>
      <w:r w:rsidRPr="00062A7B">
        <w:rPr>
          <w:lang w:bidi="en-US"/>
        </w:rPr>
        <w:t xml:space="preserve">. </w:t>
      </w:r>
      <w:r>
        <w:rPr>
          <w:lang w:bidi="en-US"/>
        </w:rPr>
        <w:t>Specifically</w:t>
      </w:r>
      <w:r w:rsidRPr="00062A7B">
        <w:rPr>
          <w:lang w:bidi="en-US"/>
        </w:rPr>
        <w:t xml:space="preserve">, the </w:t>
      </w:r>
      <w:proofErr w:type="spellStart"/>
      <w:r w:rsidRPr="00062A7B">
        <w:rPr>
          <w:lang w:bidi="en-US"/>
        </w:rPr>
        <w:t>ReSOLVE</w:t>
      </w:r>
      <w:proofErr w:type="spellEnd"/>
      <w:r w:rsidRPr="00062A7B">
        <w:rPr>
          <w:lang w:bidi="en-US"/>
        </w:rPr>
        <w:t xml:space="preserve"> framework has been </w:t>
      </w:r>
      <w:r>
        <w:rPr>
          <w:lang w:bidi="en-US"/>
        </w:rPr>
        <w:t>exploited</w:t>
      </w:r>
      <w:r w:rsidRPr="00062A7B">
        <w:rPr>
          <w:lang w:bidi="en-US"/>
        </w:rPr>
        <w:t xml:space="preserve"> for the identification of CBM archetypes at macro level. </w:t>
      </w:r>
      <w:r>
        <w:rPr>
          <w:lang w:bidi="en-US"/>
        </w:rPr>
        <w:t>Subsequently</w:t>
      </w:r>
      <w:r w:rsidRPr="00062A7B">
        <w:rPr>
          <w:lang w:bidi="en-US"/>
        </w:rPr>
        <w:t xml:space="preserve">, the BMC method has been </w:t>
      </w:r>
      <w:r>
        <w:rPr>
          <w:lang w:bidi="en-US"/>
        </w:rPr>
        <w:t>considered</w:t>
      </w:r>
      <w:r w:rsidRPr="00062A7B">
        <w:rPr>
          <w:lang w:bidi="en-US"/>
        </w:rPr>
        <w:t xml:space="preserve"> for the detailed</w:t>
      </w:r>
      <w:r>
        <w:rPr>
          <w:lang w:bidi="en-US"/>
        </w:rPr>
        <w:t xml:space="preserve"> description of</w:t>
      </w:r>
      <w:r w:rsidRPr="00062A7B">
        <w:rPr>
          <w:lang w:bidi="en-US"/>
        </w:rPr>
        <w:t xml:space="preserve"> CBMs at micro level.</w:t>
      </w:r>
      <w:r>
        <w:rPr>
          <w:lang w:bidi="en-US"/>
        </w:rPr>
        <w:t xml:space="preserve"> In addition, a meso classification of CBMs archetypes </w:t>
      </w:r>
      <w:r w:rsidRPr="002E08D0">
        <w:rPr>
          <w:lang w:bidi="en-US"/>
        </w:rPr>
        <w:t xml:space="preserve">was adapted from the last OECD’s report on </w:t>
      </w:r>
      <w:r w:rsidR="00805087">
        <w:rPr>
          <w:lang w:bidi="en-US"/>
        </w:rPr>
        <w:t xml:space="preserve">CBMs </w:t>
      </w:r>
      <w:r>
        <w:rPr>
          <w:lang w:bidi="en-US"/>
        </w:rPr>
        <w:t>(consisting of</w:t>
      </w:r>
      <w:r w:rsidRPr="002E08D0">
        <w:rPr>
          <w:lang w:bidi="en-US"/>
        </w:rPr>
        <w:t xml:space="preserve"> fourteen classes considering the full amount of different business models related with circular economy existing in literature</w:t>
      </w:r>
      <w:r>
        <w:rPr>
          <w:lang w:bidi="en-US"/>
        </w:rPr>
        <w:t xml:space="preserve">) </w:t>
      </w:r>
      <w:r w:rsidRPr="002D1F49">
        <w:fldChar w:fldCharType="begin" w:fldLock="1"/>
      </w:r>
      <w:r>
        <w:instrText>ADDIN CSL_CITATION {"citationItems":[{"id":"ITEM-1","itemData":{"author":[{"dropping-particle":"","family":"OECD - European Cooperation and Economic Development Organization","given":"","non-dropping-particle":"","parse-names":false,"suffix":""}],"id":"ITEM-1","issue":"June","issued":{"date-parts":[["2017"]]},"number-of-pages":"1-73","title":"New Business Models for the Circular Economy - Opportunities and Challenges from a Policy Perspective","type":"report"},"uris":["http://www.mendeley.com/documents/?uuid=451a73ce-eb83-45f7-bb85-3165f4ff0b8f"]}],"mendeley":{"formattedCitation":"(OECD - European Cooperation and Economic Development Organization, 2017)","plainTextFormattedCitation":"(OECD - European Cooperation and Economic Development Organization, 2017)","previouslyFormattedCitation":"(OECD - European Cooperation and Economic Development Organization, 2017)"},"properties":{"noteIndex":0},"schema":"https://github.com/citation-style-language/schema/raw/master/csl-citation.json"}</w:instrText>
      </w:r>
      <w:r w:rsidRPr="002D1F49">
        <w:fldChar w:fldCharType="separate"/>
      </w:r>
      <w:r w:rsidRPr="002D1F49">
        <w:rPr>
          <w:noProof/>
        </w:rPr>
        <w:t>(OECD - European Cooperation and Economic Development Organization, 2017)</w:t>
      </w:r>
      <w:r w:rsidRPr="002D1F49">
        <w:fldChar w:fldCharType="end"/>
      </w:r>
      <w:r w:rsidRPr="002E08D0">
        <w:rPr>
          <w:lang w:bidi="en-US"/>
        </w:rPr>
        <w:t>.</w:t>
      </w:r>
    </w:p>
    <w:p w14:paraId="75A59CED" w14:textId="312D7EBB" w:rsidR="008F08BD" w:rsidRPr="00B145D6" w:rsidRDefault="008F08BD" w:rsidP="008F08BD">
      <w:pPr>
        <w:pStyle w:val="p1a"/>
        <w:rPr>
          <w:lang w:bidi="en-US"/>
        </w:rPr>
        <w:sectPr w:rsidR="008F08BD" w:rsidRPr="00B145D6" w:rsidSect="00DA74AC">
          <w:headerReference w:type="even" r:id="rId8"/>
          <w:headerReference w:type="default" r:id="rId9"/>
          <w:headerReference w:type="first" r:id="rId10"/>
          <w:type w:val="oddPage"/>
          <w:pgSz w:w="11906" w:h="16838" w:code="9"/>
          <w:pgMar w:top="2835" w:right="2608" w:bottom="3175" w:left="2665" w:header="2494" w:footer="2466" w:gutter="0"/>
          <w:cols w:space="720"/>
          <w:noEndnote/>
          <w:titlePg/>
          <w:docGrid w:linePitch="326"/>
        </w:sectPr>
      </w:pPr>
      <w:r w:rsidRPr="003D11D1">
        <w:rPr>
          <w:lang w:bidi="en-US"/>
        </w:rPr>
        <w:t>Considering</w:t>
      </w:r>
      <w:r>
        <w:rPr>
          <w:bCs/>
          <w:lang w:bidi="en-US"/>
        </w:rPr>
        <w:t xml:space="preserve"> tables reported by </w:t>
      </w:r>
      <w:r>
        <w:rPr>
          <w:lang w:bidi="en-US"/>
        </w:rPr>
        <w:fldChar w:fldCharType="begin" w:fldLock="1"/>
      </w:r>
      <w:r w:rsidR="000731F6">
        <w:rPr>
          <w:lang w:bidi="en-US"/>
        </w:rPr>
        <w:instrText>ADDIN CSL_CITATION {"citationItems":[{"id":"ITEM-1","itemData":{"DOI":"10.1016/j.jclepro.2019.117696","abstract":"Since many years, companies are trying to cope with impressive technological growth rates, severe environmental issues and even more restrictive national and international directives. However, innovative Business Models (BMs) and industrial strategies adequate to this new context are still either under development or implementation. To this aim, the article proposes a systematic literature review on existing Circular Business Models (CBMs) and their classification methods, by selecting the most promising ones. A total amount of 283 articles related with CBMs has been assessed into detail, by identifying: 5 archetypes, 9 classification methods, 5 adoption-oriented challenges, 4 decisionsupport tools and 3 additional research areas. Key findings demonstrate that: i) Product-Service Systems (PSSs)-oriented and Reuse, Remanufacturing and Recycling (3R)-based CBMs are the most common archetypes, ii) Business Model Canvas is the most diffused classification framework, iii) sustainability and company-based challenges are the most discussed by the experts and iv) sustainability check-oriented is the most common type of decision-support tools. These (and others) results could support both companies, researchers and governments in updating the current knowledge on CBMs and make them adoptable for practitioners from different industrial contexts.","author":[{"dropping-particle":"","family":"Rosa","given":"Paolo","non-dropping-particle":"","parse-names":false,"suffix":""},{"dropping-particle":"","family":"Sassanelli","given":"Claudio","non-dropping-particle":"","parse-names":false,"suffix":""},{"dropping-particle":"","family":"Terzi","given":"Sergio","non-dropping-particle":"","parse-names":false,"suffix":""}],"container-title":"Journal of Cleaner Production","id":"ITEM-1","issue":"117696","issued":{"date-parts":[["2019"]]},"page":"1-17","title":"Towards Circular Business Models: A systematic literature review on classification frameworks and archetypes","type":"article-journal","volume":"236"},"uris":["http://www.mendeley.com/documents/?uuid=f83b0fc3-5332-4786-b992-3cda88aef058","http://www.mendeley.com/documents/?uuid=e9ee3b82-f5ef-4973-8e8d-14da9f6a196e"]}],"mendeley":{"formattedCitation":"(Rosa et al., 2019b)","manualFormatting":"Rosa et al. (2019b)","plainTextFormattedCitation":"(Rosa et al., 2019b)","previouslyFormattedCitation":"(Rosa et al., 2019b)"},"properties":{"noteIndex":0},"schema":"https://github.com/citation-style-language/schema/raw/master/csl-citation.json"}</w:instrText>
      </w:r>
      <w:r>
        <w:rPr>
          <w:lang w:bidi="en-US"/>
        </w:rPr>
        <w:fldChar w:fldCharType="separate"/>
      </w:r>
      <w:r w:rsidRPr="00156775">
        <w:rPr>
          <w:noProof/>
          <w:lang w:bidi="en-US"/>
        </w:rPr>
        <w:t xml:space="preserve">Rosa et al. </w:t>
      </w:r>
      <w:r w:rsidR="000731F6">
        <w:rPr>
          <w:noProof/>
          <w:lang w:bidi="en-US"/>
        </w:rPr>
        <w:t>(</w:t>
      </w:r>
      <w:r w:rsidRPr="00156775">
        <w:rPr>
          <w:noProof/>
          <w:lang w:bidi="en-US"/>
        </w:rPr>
        <w:t>2019b)</w:t>
      </w:r>
      <w:r>
        <w:rPr>
          <w:lang w:bidi="en-US"/>
        </w:rPr>
        <w:fldChar w:fldCharType="end"/>
      </w:r>
      <w:r w:rsidRPr="003D11D1">
        <w:rPr>
          <w:lang w:bidi="en-US"/>
        </w:rPr>
        <w:t xml:space="preserve">, it is possible to see that some types of CBMs are more frequent than others. </w:t>
      </w:r>
      <w:r>
        <w:rPr>
          <w:lang w:bidi="en-US"/>
        </w:rPr>
        <w:t>T</w:t>
      </w:r>
      <w:r w:rsidRPr="003D11D1">
        <w:rPr>
          <w:lang w:bidi="en-US"/>
        </w:rPr>
        <w:t xml:space="preserve">he most common </w:t>
      </w:r>
      <w:r>
        <w:rPr>
          <w:lang w:bidi="en-US"/>
        </w:rPr>
        <w:t>C</w:t>
      </w:r>
      <w:r w:rsidRPr="003D11D1">
        <w:rPr>
          <w:lang w:bidi="en-US"/>
        </w:rPr>
        <w:t>BM</w:t>
      </w:r>
      <w:r>
        <w:rPr>
          <w:lang w:bidi="en-US"/>
        </w:rPr>
        <w:t>s</w:t>
      </w:r>
      <w:r w:rsidRPr="003D11D1">
        <w:rPr>
          <w:lang w:bidi="en-US"/>
        </w:rPr>
        <w:t xml:space="preserve"> described in literature are represented by recycling practices and use-oriented PSSs. The</w:t>
      </w:r>
      <w:r>
        <w:rPr>
          <w:lang w:bidi="en-US"/>
        </w:rPr>
        <w:t>y</w:t>
      </w:r>
      <w:r w:rsidRPr="003D11D1">
        <w:rPr>
          <w:lang w:bidi="en-US"/>
        </w:rPr>
        <w:t xml:space="preserve"> are fo</w:t>
      </w:r>
      <w:r>
        <w:rPr>
          <w:lang w:bidi="en-US"/>
        </w:rPr>
        <w:t>llowed</w:t>
      </w:r>
      <w:r w:rsidRPr="003D11D1">
        <w:rPr>
          <w:lang w:bidi="en-US"/>
        </w:rPr>
        <w:t xml:space="preserve"> </w:t>
      </w:r>
      <w:r>
        <w:rPr>
          <w:lang w:bidi="en-US"/>
        </w:rPr>
        <w:t xml:space="preserve">by </w:t>
      </w:r>
      <w:r w:rsidRPr="003D11D1">
        <w:rPr>
          <w:lang w:bidi="en-US"/>
        </w:rPr>
        <w:t xml:space="preserve">bio-based/secondary materials exploitation, reuse and refurbishing/remanufacturing practices, result-oriented and product-oriented </w:t>
      </w:r>
      <w:proofErr w:type="gramStart"/>
      <w:r w:rsidRPr="003D11D1">
        <w:rPr>
          <w:lang w:bidi="en-US"/>
        </w:rPr>
        <w:t>PSSs</w:t>
      </w:r>
      <w:proofErr w:type="gramEnd"/>
      <w:r w:rsidRPr="003D11D1">
        <w:rPr>
          <w:lang w:bidi="en-US"/>
        </w:rPr>
        <w:t xml:space="preserve"> and industrial symbiosis. </w:t>
      </w:r>
      <w:r>
        <w:rPr>
          <w:lang w:bidi="en-US"/>
        </w:rPr>
        <w:t>N</w:t>
      </w:r>
      <w:r w:rsidRPr="003D11D1">
        <w:rPr>
          <w:lang w:bidi="en-US"/>
        </w:rPr>
        <w:t>ot so commonly described in literature</w:t>
      </w:r>
      <w:r>
        <w:rPr>
          <w:lang w:bidi="en-US"/>
        </w:rPr>
        <w:t xml:space="preserve"> are those CBMs related</w:t>
      </w:r>
      <w:r w:rsidRPr="003D11D1">
        <w:rPr>
          <w:lang w:bidi="en-US"/>
        </w:rPr>
        <w:t xml:space="preserve"> on renewable energies, co-ownership and co-access, repair practices, product dematerialization and new technologies.</w:t>
      </w:r>
      <w:r>
        <w:rPr>
          <w:lang w:bidi="en-US"/>
        </w:rPr>
        <w:t xml:space="preserve"> However, it</w:t>
      </w:r>
      <w:r w:rsidRPr="003D11D1">
        <w:rPr>
          <w:lang w:bidi="en-US"/>
        </w:rPr>
        <w:t xml:space="preserve"> is evident from the </w:t>
      </w:r>
      <w:r>
        <w:rPr>
          <w:lang w:bidi="en-US"/>
        </w:rPr>
        <w:t xml:space="preserve">assessed </w:t>
      </w:r>
      <w:r w:rsidRPr="003D11D1">
        <w:rPr>
          <w:lang w:bidi="en-US"/>
        </w:rPr>
        <w:t xml:space="preserve">literature </w:t>
      </w:r>
      <w:r>
        <w:rPr>
          <w:lang w:bidi="en-US"/>
        </w:rPr>
        <w:t>the presence of</w:t>
      </w:r>
      <w:r w:rsidRPr="003D11D1">
        <w:rPr>
          <w:lang w:bidi="en-US"/>
        </w:rPr>
        <w:t xml:space="preserve"> a big research gap in terms of </w:t>
      </w:r>
      <w:proofErr w:type="spellStart"/>
      <w:r>
        <w:rPr>
          <w:lang w:bidi="en-US"/>
        </w:rPr>
        <w:t>i</w:t>
      </w:r>
      <w:proofErr w:type="spellEnd"/>
      <w:r>
        <w:rPr>
          <w:lang w:bidi="en-US"/>
        </w:rPr>
        <w:t xml:space="preserve">) </w:t>
      </w:r>
      <w:r w:rsidRPr="003D11D1">
        <w:rPr>
          <w:lang w:bidi="en-US"/>
        </w:rPr>
        <w:t>how practically transform linear</w:t>
      </w:r>
      <w:r>
        <w:rPr>
          <w:lang w:bidi="en-US"/>
        </w:rPr>
        <w:t xml:space="preserve"> BMs</w:t>
      </w:r>
      <w:r w:rsidRPr="003D11D1">
        <w:rPr>
          <w:lang w:bidi="en-US"/>
        </w:rPr>
        <w:t xml:space="preserve"> in circular one</w:t>
      </w:r>
      <w:r>
        <w:rPr>
          <w:lang w:bidi="en-US"/>
        </w:rPr>
        <w:t>s and ii)</w:t>
      </w:r>
      <w:r w:rsidRPr="003D11D1">
        <w:rPr>
          <w:lang w:bidi="en-US"/>
        </w:rPr>
        <w:t xml:space="preserve"> </w:t>
      </w:r>
      <w:r>
        <w:rPr>
          <w:lang w:bidi="en-US"/>
        </w:rPr>
        <w:t>how to</w:t>
      </w:r>
      <w:r w:rsidRPr="003D11D1">
        <w:rPr>
          <w:lang w:bidi="en-US"/>
        </w:rPr>
        <w:t xml:space="preserve"> involve common people in current industrial CBMs. The FENIX project </w:t>
      </w:r>
      <w:r>
        <w:rPr>
          <w:lang w:bidi="en-US"/>
        </w:rPr>
        <w:t>wants to</w:t>
      </w:r>
      <w:r w:rsidRPr="003D11D1">
        <w:rPr>
          <w:lang w:bidi="en-US"/>
        </w:rPr>
        <w:t xml:space="preserve"> fill in these gaps</w:t>
      </w:r>
      <w:r>
        <w:rPr>
          <w:lang w:bidi="en-US"/>
        </w:rPr>
        <w:t xml:space="preserve"> by</w:t>
      </w:r>
      <w:r w:rsidRPr="003D11D1">
        <w:rPr>
          <w:lang w:bidi="en-US"/>
        </w:rPr>
        <w:t xml:space="preserve"> proposing practical way</w:t>
      </w:r>
      <w:r>
        <w:rPr>
          <w:lang w:bidi="en-US"/>
        </w:rPr>
        <w:t>s</w:t>
      </w:r>
      <w:r w:rsidRPr="003D11D1">
        <w:rPr>
          <w:lang w:bidi="en-US"/>
        </w:rPr>
        <w:t xml:space="preserve"> of enabling circular practices</w:t>
      </w:r>
      <w:r>
        <w:rPr>
          <w:lang w:bidi="en-US"/>
        </w:rPr>
        <w:t xml:space="preserve"> in all companies</w:t>
      </w:r>
      <w:r w:rsidRPr="003D11D1">
        <w:rPr>
          <w:lang w:bidi="en-US"/>
        </w:rPr>
        <w:t>.</w:t>
      </w:r>
    </w:p>
    <w:p w14:paraId="6D821FE3" w14:textId="77777777" w:rsidR="008F08BD" w:rsidRDefault="008F08BD" w:rsidP="008F08BD">
      <w:pPr>
        <w:pStyle w:val="heading1"/>
        <w:rPr>
          <w:lang w:val="en-GB"/>
        </w:rPr>
      </w:pPr>
      <w:r>
        <w:rPr>
          <w:lang w:val="en-GB"/>
        </w:rPr>
        <w:lastRenderedPageBreak/>
        <w:t xml:space="preserve">2.2 Current state of the art on industrial benefits related with </w:t>
      </w:r>
      <w:proofErr w:type="gramStart"/>
      <w:r>
        <w:rPr>
          <w:lang w:val="en-GB"/>
        </w:rPr>
        <w:t>CBMs</w:t>
      </w:r>
      <w:proofErr w:type="gramEnd"/>
    </w:p>
    <w:p w14:paraId="340E47F8" w14:textId="03C9EEC4" w:rsidR="008F08BD" w:rsidRDefault="008F08BD" w:rsidP="008F08BD">
      <w:pPr>
        <w:pStyle w:val="p1a"/>
        <w:rPr>
          <w:lang w:bidi="en-US"/>
        </w:rPr>
      </w:pPr>
      <w:r>
        <w:rPr>
          <w:lang w:bidi="en-US"/>
        </w:rPr>
        <w:t xml:space="preserve">Basing on another systematic literature analysis, </w:t>
      </w:r>
      <w:r>
        <w:rPr>
          <w:lang w:bidi="en-US"/>
        </w:rPr>
        <w:fldChar w:fldCharType="begin" w:fldLock="1"/>
      </w:r>
      <w:r w:rsidR="00805087">
        <w:rPr>
          <w:lang w:bidi="en-US"/>
        </w:rPr>
        <w:instrText>ADDIN CSL_CITATION {"citationItems":[{"id":"ITEM-1","itemData":{"DOI":"10.1016/j.jclepro.2019.05.310","ISSN":"09596526","author":[{"dropping-particle":"","family":"Rosa","given":"Paolo","non-dropping-particle":"","parse-names":false,"suffix":""},{"dropping-particle":"","family":"Sassanelli","given":"Claudio","non-dropping-particle":"","parse-names":false,"suffix":""},{"dropping-particle":"","family":"Terzi","given":"Sergio","non-dropping-particle":"","parse-names":false,"suffix":""}],"container-title":"Journal of Cleaner Production","id":"ITEM-1","issued":{"date-parts":[["2019"]]},"page":"940-952","publisher":"Elsevier B.V.","title":"Circular Business Models versus Circular Benefits: An Assessment in the Waste from Electrical and Electronic Equipments Sector","type":"article-journal","volume":"231"},"uris":["http://www.mendeley.com/documents/?uuid=5dac3ff0-8c3c-4c11-8018-1a154369ad91","http://www.mendeley.com/documents/?uuid=c408747a-6ae7-4c68-88cf-42107dfd293e"]}],"mendeley":{"formattedCitation":"(Rosa et al., 2019a)","manualFormatting":"Rosa et al. (2019a)","plainTextFormattedCitation":"(Rosa et al., 2019a)","previouslyFormattedCitation":"(Rosa et al., 2019a)"},"properties":{"noteIndex":0},"schema":"https://github.com/citation-style-language/schema/raw/master/csl-citation.json"}</w:instrText>
      </w:r>
      <w:r>
        <w:rPr>
          <w:lang w:bidi="en-US"/>
        </w:rPr>
        <w:fldChar w:fldCharType="separate"/>
      </w:r>
      <w:r w:rsidRPr="00156775">
        <w:rPr>
          <w:noProof/>
          <w:lang w:bidi="en-US"/>
        </w:rPr>
        <w:t xml:space="preserve">Rosa et al. </w:t>
      </w:r>
      <w:r w:rsidR="00805087">
        <w:rPr>
          <w:noProof/>
          <w:lang w:bidi="en-US"/>
        </w:rPr>
        <w:t>(</w:t>
      </w:r>
      <w:r w:rsidRPr="00156775">
        <w:rPr>
          <w:noProof/>
          <w:lang w:bidi="en-US"/>
        </w:rPr>
        <w:t>2019a)</w:t>
      </w:r>
      <w:r>
        <w:rPr>
          <w:lang w:bidi="en-US"/>
        </w:rPr>
        <w:fldChar w:fldCharType="end"/>
      </w:r>
      <w:r>
        <w:rPr>
          <w:lang w:bidi="en-US"/>
        </w:rPr>
        <w:t xml:space="preserve"> detected and categorized expected benefits related with the adoption of CE. These benefits have been initially classified basing on the </w:t>
      </w:r>
      <w:r w:rsidR="000731F6">
        <w:rPr>
          <w:lang w:bidi="en-US"/>
        </w:rPr>
        <w:t xml:space="preserve">triple bottom line of </w:t>
      </w:r>
      <w:r>
        <w:rPr>
          <w:lang w:bidi="en-US"/>
        </w:rPr>
        <w:t>sustainability (</w:t>
      </w:r>
      <w:proofErr w:type="gramStart"/>
      <w:r w:rsidR="000731F6">
        <w:rPr>
          <w:lang w:bidi="en-US"/>
        </w:rPr>
        <w:t>i.e.</w:t>
      </w:r>
      <w:proofErr w:type="gramEnd"/>
      <w:r w:rsidR="000731F6">
        <w:rPr>
          <w:lang w:bidi="en-US"/>
        </w:rPr>
        <w:t xml:space="preserve"> </w:t>
      </w:r>
      <w:r>
        <w:rPr>
          <w:lang w:bidi="en-US"/>
        </w:rPr>
        <w:t>economic, environmental and social)</w:t>
      </w:r>
      <w:r w:rsidR="000731F6">
        <w:rPr>
          <w:lang w:bidi="en-US"/>
        </w:rPr>
        <w:t xml:space="preserve"> and</w:t>
      </w:r>
      <w:r>
        <w:rPr>
          <w:lang w:bidi="en-US"/>
        </w:rPr>
        <w:t xml:space="preserve"> </w:t>
      </w:r>
      <w:r w:rsidR="000731F6">
        <w:rPr>
          <w:lang w:bidi="en-US"/>
        </w:rPr>
        <w:t>s</w:t>
      </w:r>
      <w:r>
        <w:rPr>
          <w:lang w:bidi="en-US"/>
        </w:rPr>
        <w:t>ubsequently grouped in macro categories to ease their detection at industrial level</w:t>
      </w:r>
      <w:r w:rsidR="000731F6">
        <w:rPr>
          <w:lang w:bidi="en-US"/>
        </w:rPr>
        <w:t>:</w:t>
      </w:r>
    </w:p>
    <w:p w14:paraId="22EBBC5A" w14:textId="77777777" w:rsidR="008F08BD" w:rsidRDefault="008F08BD" w:rsidP="008F08BD">
      <w:pPr>
        <w:pStyle w:val="BulletItem"/>
        <w:numPr>
          <w:ilvl w:val="0"/>
          <w:numId w:val="22"/>
        </w:numPr>
        <w:rPr>
          <w:lang w:bidi="en-US"/>
        </w:rPr>
      </w:pPr>
      <w:r>
        <w:rPr>
          <w:lang w:bidi="en-US"/>
        </w:rPr>
        <w:t>Economic benefits:</w:t>
      </w:r>
    </w:p>
    <w:p w14:paraId="48A59892" w14:textId="15837107" w:rsidR="008F08BD" w:rsidRDefault="008F08BD" w:rsidP="008F08BD">
      <w:pPr>
        <w:pStyle w:val="NumberedItem"/>
        <w:numPr>
          <w:ilvl w:val="0"/>
          <w:numId w:val="26"/>
        </w:numPr>
        <w:rPr>
          <w:lang w:bidi="en-US"/>
        </w:rPr>
      </w:pPr>
      <w:r>
        <w:rPr>
          <w:lang w:bidi="en-US"/>
        </w:rPr>
        <w:t>Reducing overall costs</w:t>
      </w:r>
      <w:r w:rsidR="000731F6">
        <w:rPr>
          <w:lang w:bidi="en-US"/>
        </w:rPr>
        <w:t>,</w:t>
      </w:r>
    </w:p>
    <w:p w14:paraId="13DAE4A5" w14:textId="422D1472" w:rsidR="008F08BD" w:rsidRDefault="008F08BD" w:rsidP="008F08BD">
      <w:pPr>
        <w:pStyle w:val="NumberedItem"/>
        <w:numPr>
          <w:ilvl w:val="0"/>
          <w:numId w:val="26"/>
        </w:numPr>
        <w:rPr>
          <w:lang w:bidi="en-US"/>
        </w:rPr>
      </w:pPr>
      <w:r>
        <w:rPr>
          <w:lang w:bidi="en-US"/>
        </w:rPr>
        <w:t>Reducing business risks</w:t>
      </w:r>
      <w:r w:rsidR="000731F6">
        <w:rPr>
          <w:lang w:bidi="en-US"/>
        </w:rPr>
        <w:t>,</w:t>
      </w:r>
    </w:p>
    <w:p w14:paraId="4F824BFB" w14:textId="5676362D" w:rsidR="008F08BD" w:rsidRDefault="008F08BD" w:rsidP="008F08BD">
      <w:pPr>
        <w:pStyle w:val="NumberedItem"/>
        <w:numPr>
          <w:ilvl w:val="0"/>
          <w:numId w:val="26"/>
        </w:numPr>
        <w:rPr>
          <w:lang w:bidi="en-US"/>
        </w:rPr>
      </w:pPr>
      <w:r>
        <w:rPr>
          <w:lang w:bidi="en-US"/>
        </w:rPr>
        <w:t>Opening new revenue streams</w:t>
      </w:r>
      <w:r w:rsidR="000731F6">
        <w:rPr>
          <w:lang w:bidi="en-US"/>
        </w:rPr>
        <w:t>,</w:t>
      </w:r>
    </w:p>
    <w:p w14:paraId="54A9C54F" w14:textId="642F92CF" w:rsidR="008F08BD" w:rsidRDefault="008F08BD" w:rsidP="008F08BD">
      <w:pPr>
        <w:pStyle w:val="NumberedItem"/>
        <w:numPr>
          <w:ilvl w:val="0"/>
          <w:numId w:val="26"/>
        </w:numPr>
        <w:rPr>
          <w:lang w:bidi="en-US"/>
        </w:rPr>
      </w:pPr>
      <w:r>
        <w:rPr>
          <w:lang w:bidi="en-US"/>
        </w:rPr>
        <w:t>Reducing product/process complexity</w:t>
      </w:r>
      <w:r w:rsidR="000731F6">
        <w:rPr>
          <w:lang w:bidi="en-US"/>
        </w:rPr>
        <w:t>,</w:t>
      </w:r>
    </w:p>
    <w:p w14:paraId="10033B79" w14:textId="2EC8DEB1" w:rsidR="008F08BD" w:rsidRDefault="008F08BD" w:rsidP="008F08BD">
      <w:pPr>
        <w:pStyle w:val="NumberedItem"/>
        <w:numPr>
          <w:ilvl w:val="0"/>
          <w:numId w:val="26"/>
        </w:numPr>
        <w:rPr>
          <w:lang w:bidi="en-US"/>
        </w:rPr>
      </w:pPr>
      <w:r>
        <w:rPr>
          <w:lang w:bidi="en-US"/>
        </w:rPr>
        <w:t>Improving competitive advantage</w:t>
      </w:r>
      <w:r w:rsidR="000731F6">
        <w:rPr>
          <w:lang w:bidi="en-US"/>
        </w:rPr>
        <w:t>,</w:t>
      </w:r>
    </w:p>
    <w:p w14:paraId="670D4747" w14:textId="77777777" w:rsidR="008F08BD" w:rsidRDefault="008F08BD" w:rsidP="008F08BD">
      <w:pPr>
        <w:pStyle w:val="BulletItem"/>
        <w:numPr>
          <w:ilvl w:val="0"/>
          <w:numId w:val="22"/>
        </w:numPr>
        <w:rPr>
          <w:lang w:bidi="en-US"/>
        </w:rPr>
      </w:pPr>
      <w:r>
        <w:rPr>
          <w:lang w:bidi="en-US"/>
        </w:rPr>
        <w:t>Environmental benefits:</w:t>
      </w:r>
    </w:p>
    <w:p w14:paraId="03746316" w14:textId="5E111911" w:rsidR="008F08BD" w:rsidRDefault="008F08BD" w:rsidP="008F08BD">
      <w:pPr>
        <w:pStyle w:val="NumberedItem"/>
        <w:numPr>
          <w:ilvl w:val="0"/>
          <w:numId w:val="26"/>
        </w:numPr>
        <w:rPr>
          <w:lang w:bidi="en-US"/>
        </w:rPr>
      </w:pPr>
      <w:r>
        <w:rPr>
          <w:lang w:bidi="en-US"/>
        </w:rPr>
        <w:t>Complying with environmental regulations</w:t>
      </w:r>
      <w:r w:rsidR="000731F6">
        <w:rPr>
          <w:lang w:bidi="en-US"/>
        </w:rPr>
        <w:t>,</w:t>
      </w:r>
    </w:p>
    <w:p w14:paraId="2309F2E0" w14:textId="01E8707D" w:rsidR="008F08BD" w:rsidRDefault="008F08BD" w:rsidP="008F08BD">
      <w:pPr>
        <w:pStyle w:val="NumberedItem"/>
        <w:numPr>
          <w:ilvl w:val="0"/>
          <w:numId w:val="26"/>
        </w:numPr>
        <w:rPr>
          <w:lang w:bidi="en-US"/>
        </w:rPr>
      </w:pPr>
      <w:r>
        <w:rPr>
          <w:lang w:bidi="en-US"/>
        </w:rPr>
        <w:t>Reducing environmental impacts</w:t>
      </w:r>
      <w:r w:rsidR="000731F6">
        <w:rPr>
          <w:lang w:bidi="en-US"/>
        </w:rPr>
        <w:t>,</w:t>
      </w:r>
    </w:p>
    <w:p w14:paraId="4FB73179" w14:textId="4D30258E" w:rsidR="008F08BD" w:rsidRDefault="008F08BD" w:rsidP="008F08BD">
      <w:pPr>
        <w:pStyle w:val="NumberedItem"/>
        <w:numPr>
          <w:ilvl w:val="0"/>
          <w:numId w:val="26"/>
        </w:numPr>
        <w:rPr>
          <w:lang w:bidi="en-US"/>
        </w:rPr>
      </w:pPr>
      <w:r>
        <w:rPr>
          <w:lang w:bidi="en-US"/>
        </w:rPr>
        <w:t>Improving resource efficiency</w:t>
      </w:r>
      <w:r w:rsidR="000731F6">
        <w:rPr>
          <w:lang w:bidi="en-US"/>
        </w:rPr>
        <w:t>,</w:t>
      </w:r>
    </w:p>
    <w:p w14:paraId="41F1CE57" w14:textId="4084155E" w:rsidR="008F08BD" w:rsidRDefault="008F08BD" w:rsidP="008F08BD">
      <w:pPr>
        <w:pStyle w:val="NumberedItem"/>
        <w:numPr>
          <w:ilvl w:val="0"/>
          <w:numId w:val="26"/>
        </w:numPr>
        <w:rPr>
          <w:lang w:bidi="en-US"/>
        </w:rPr>
      </w:pPr>
      <w:r>
        <w:rPr>
          <w:lang w:bidi="en-US"/>
        </w:rPr>
        <w:t>Improving Supply Chain sustainability</w:t>
      </w:r>
      <w:r w:rsidR="000731F6">
        <w:rPr>
          <w:lang w:bidi="en-US"/>
        </w:rPr>
        <w:t>,</w:t>
      </w:r>
    </w:p>
    <w:p w14:paraId="7485C235" w14:textId="1622FC7E" w:rsidR="008F08BD" w:rsidRDefault="008F08BD" w:rsidP="008F08BD">
      <w:pPr>
        <w:pStyle w:val="NumberedItem"/>
        <w:numPr>
          <w:ilvl w:val="0"/>
          <w:numId w:val="26"/>
        </w:numPr>
        <w:tabs>
          <w:tab w:val="clear" w:pos="238"/>
        </w:tabs>
        <w:rPr>
          <w:lang w:bidi="en-US"/>
        </w:rPr>
      </w:pPr>
      <w:r>
        <w:rPr>
          <w:lang w:bidi="en-US"/>
        </w:rPr>
        <w:t>Reducing Supply Chain</w:t>
      </w:r>
      <w:r w:rsidR="000731F6">
        <w:rPr>
          <w:lang w:bidi="en-US"/>
        </w:rPr>
        <w:t>,</w:t>
      </w:r>
    </w:p>
    <w:p w14:paraId="4A786CF4" w14:textId="77777777" w:rsidR="008F08BD" w:rsidRDefault="008F08BD" w:rsidP="008F08BD">
      <w:pPr>
        <w:pStyle w:val="BulletItem"/>
        <w:numPr>
          <w:ilvl w:val="0"/>
          <w:numId w:val="22"/>
        </w:numPr>
        <w:rPr>
          <w:lang w:bidi="en-US"/>
        </w:rPr>
      </w:pPr>
      <w:r>
        <w:rPr>
          <w:lang w:bidi="en-US"/>
        </w:rPr>
        <w:t>Social benefits:</w:t>
      </w:r>
    </w:p>
    <w:p w14:paraId="08F8B6AB" w14:textId="4BE2770F" w:rsidR="008F08BD" w:rsidRDefault="008F08BD" w:rsidP="008F08BD">
      <w:pPr>
        <w:pStyle w:val="NumberedItem"/>
        <w:numPr>
          <w:ilvl w:val="0"/>
          <w:numId w:val="26"/>
        </w:numPr>
        <w:rPr>
          <w:lang w:bidi="en-US"/>
        </w:rPr>
      </w:pPr>
      <w:r>
        <w:rPr>
          <w:lang w:bidi="en-US"/>
        </w:rPr>
        <w:t>Enhancing reputation and brand value</w:t>
      </w:r>
      <w:r w:rsidR="000731F6">
        <w:rPr>
          <w:lang w:bidi="en-US"/>
        </w:rPr>
        <w:t>,</w:t>
      </w:r>
    </w:p>
    <w:p w14:paraId="4884726C" w14:textId="49FE4F91" w:rsidR="008F08BD" w:rsidRDefault="008F08BD" w:rsidP="008F08BD">
      <w:pPr>
        <w:pStyle w:val="NumberedItem"/>
        <w:numPr>
          <w:ilvl w:val="0"/>
          <w:numId w:val="26"/>
        </w:numPr>
        <w:rPr>
          <w:lang w:bidi="en-US"/>
        </w:rPr>
      </w:pPr>
      <w:r>
        <w:rPr>
          <w:lang w:bidi="en-US"/>
        </w:rPr>
        <w:t>Reaching new markets &amp; countries</w:t>
      </w:r>
      <w:r w:rsidR="000731F6">
        <w:rPr>
          <w:lang w:bidi="en-US"/>
        </w:rPr>
        <w:t>,</w:t>
      </w:r>
    </w:p>
    <w:p w14:paraId="1C266AD5" w14:textId="3ADDCD60" w:rsidR="008F08BD" w:rsidRDefault="008F08BD" w:rsidP="008F08BD">
      <w:pPr>
        <w:pStyle w:val="NumberedItem"/>
        <w:numPr>
          <w:ilvl w:val="0"/>
          <w:numId w:val="26"/>
        </w:numPr>
        <w:rPr>
          <w:lang w:bidi="en-US"/>
        </w:rPr>
      </w:pPr>
      <w:r>
        <w:rPr>
          <w:lang w:bidi="en-US"/>
        </w:rPr>
        <w:t>Improving health &amp; safety in workplace</w:t>
      </w:r>
      <w:r w:rsidR="000731F6">
        <w:rPr>
          <w:lang w:bidi="en-US"/>
        </w:rPr>
        <w:t>,</w:t>
      </w:r>
    </w:p>
    <w:p w14:paraId="08DD3FCE" w14:textId="1DEDB17A" w:rsidR="008F08BD" w:rsidRDefault="008F08BD" w:rsidP="008F08BD">
      <w:pPr>
        <w:pStyle w:val="NumberedItem"/>
        <w:numPr>
          <w:ilvl w:val="0"/>
          <w:numId w:val="26"/>
        </w:numPr>
        <w:rPr>
          <w:lang w:bidi="en-US"/>
        </w:rPr>
      </w:pPr>
      <w:r>
        <w:rPr>
          <w:lang w:bidi="en-US"/>
        </w:rPr>
        <w:t>Developing innovative skills and knowledge</w:t>
      </w:r>
      <w:r w:rsidR="000731F6">
        <w:rPr>
          <w:lang w:bidi="en-US"/>
        </w:rPr>
        <w:t>.</w:t>
      </w:r>
    </w:p>
    <w:p w14:paraId="2AE56DD2" w14:textId="5F93B4D9" w:rsidR="008F08BD" w:rsidRDefault="008F08BD" w:rsidP="008F08BD">
      <w:pPr>
        <w:pStyle w:val="Subitem"/>
        <w:numPr>
          <w:ilvl w:val="0"/>
          <w:numId w:val="0"/>
        </w:numPr>
        <w:rPr>
          <w:lang w:bidi="en-US"/>
        </w:rPr>
      </w:pPr>
      <w:r>
        <w:rPr>
          <w:lang w:bidi="en-US"/>
        </w:rPr>
        <w:t xml:space="preserve">Considering the tables reported by </w:t>
      </w:r>
      <w:r>
        <w:rPr>
          <w:lang w:bidi="en-US"/>
        </w:rPr>
        <w:fldChar w:fldCharType="begin" w:fldLock="1"/>
      </w:r>
      <w:r w:rsidR="000731F6">
        <w:rPr>
          <w:lang w:bidi="en-US"/>
        </w:rPr>
        <w:instrText>ADDIN CSL_CITATION {"citationItems":[{"id":"ITEM-1","itemData":{"DOI":"10.1016/j.jclepro.2019.05.310","ISSN":"09596526","author":[{"dropping-particle":"","family":"Rosa","given":"Paolo","non-dropping-particle":"","parse-names":false,"suffix":""},{"dropping-particle":"","family":"Sassanelli","given":"Claudio","non-dropping-particle":"","parse-names":false,"suffix":""},{"dropping-particle":"","family":"Terzi","given":"Sergio","non-dropping-particle":"","parse-names":false,"suffix":""}],"container-title":"Journal of Cleaner Production","id":"ITEM-1","issued":{"date-parts":[["2019"]]},"page":"940-952","publisher":"Elsevier B.V.","title":"Circular Business Models versus Circular Benefits: An Assessment in the Waste from Electrical and Electronic Equipments Sector","type":"article-journal","volume":"231"},"uris":["http://www.mendeley.com/documents/?uuid=5dac3ff0-8c3c-4c11-8018-1a154369ad91","http://www.mendeley.com/documents/?uuid=f0f0f685-87eb-4472-83f0-ed90c50443cd"]}],"mendeley":{"formattedCitation":"(Rosa et al., 2019a)","manualFormatting":"Rosa et al. (2019a)","plainTextFormattedCitation":"(Rosa et al., 2019a)","previouslyFormattedCitation":"(Rosa et al., 2019a)"},"properties":{"noteIndex":0},"schema":"https://github.com/citation-style-language/schema/raw/master/csl-citation.json"}</w:instrText>
      </w:r>
      <w:r>
        <w:rPr>
          <w:lang w:bidi="en-US"/>
        </w:rPr>
        <w:fldChar w:fldCharType="separate"/>
      </w:r>
      <w:r w:rsidRPr="00156775">
        <w:rPr>
          <w:noProof/>
          <w:lang w:bidi="en-US"/>
        </w:rPr>
        <w:t xml:space="preserve">Rosa et al. </w:t>
      </w:r>
      <w:r w:rsidR="000731F6">
        <w:rPr>
          <w:noProof/>
          <w:lang w:bidi="en-US"/>
        </w:rPr>
        <w:t>(</w:t>
      </w:r>
      <w:r w:rsidRPr="00156775">
        <w:rPr>
          <w:noProof/>
          <w:lang w:bidi="en-US"/>
        </w:rPr>
        <w:t>2019a)</w:t>
      </w:r>
      <w:r>
        <w:rPr>
          <w:lang w:bidi="en-US"/>
        </w:rPr>
        <w:fldChar w:fldCharType="end"/>
      </w:r>
      <w:r>
        <w:rPr>
          <w:lang w:bidi="en-US"/>
        </w:rPr>
        <w:t xml:space="preserve">, it is possible to see that some industrial benefits are more frequently considered than others. The most common industrial benefits related with CBMs are resource efficiency, </w:t>
      </w:r>
      <w:proofErr w:type="gramStart"/>
      <w:r>
        <w:rPr>
          <w:lang w:bidi="en-US"/>
        </w:rPr>
        <w:t>costs</w:t>
      </w:r>
      <w:proofErr w:type="gramEnd"/>
      <w:r>
        <w:rPr>
          <w:lang w:bidi="en-US"/>
        </w:rPr>
        <w:t xml:space="preserve"> and environmental impacts. They are followed by brand reputation, revenue streams, product/process complexity, competitive </w:t>
      </w:r>
      <w:proofErr w:type="gramStart"/>
      <w:r>
        <w:rPr>
          <w:lang w:bidi="en-US"/>
        </w:rPr>
        <w:t>advantage</w:t>
      </w:r>
      <w:proofErr w:type="gramEnd"/>
      <w:r>
        <w:rPr>
          <w:lang w:bidi="en-US"/>
        </w:rPr>
        <w:t xml:space="preserve"> and supply chain. Not so commonly described in literature are industrial benefits related with business risks, skills and knowledge, new markets, regulations and health and safety.</w:t>
      </w:r>
      <w:r w:rsidRPr="002D1EBB">
        <w:rPr>
          <w:lang w:bidi="en-US"/>
        </w:rPr>
        <w:t xml:space="preserve"> </w:t>
      </w:r>
      <w:r>
        <w:rPr>
          <w:lang w:bidi="en-US"/>
        </w:rPr>
        <w:t xml:space="preserve">However, it is evident the limited importance given by experts about either social aspect related with CE adoption and the involvement of final users in CBMs. This </w:t>
      </w:r>
      <w:r>
        <w:rPr>
          <w:lang w:bidi="en-US"/>
        </w:rPr>
        <w:lastRenderedPageBreak/>
        <w:t>last point represents one of the key elements for the final selection of the FENIX CBMs.</w:t>
      </w:r>
    </w:p>
    <w:p w14:paraId="3EB2DCAB" w14:textId="77777777" w:rsidR="008F08BD" w:rsidRDefault="008F08BD" w:rsidP="008F08BD">
      <w:pPr>
        <w:pStyle w:val="NumberedItem"/>
        <w:numPr>
          <w:ilvl w:val="0"/>
          <w:numId w:val="0"/>
        </w:numPr>
        <w:ind w:left="238" w:hanging="238"/>
        <w:rPr>
          <w:lang w:bidi="en-US"/>
        </w:rPr>
        <w:sectPr w:rsidR="008F08BD" w:rsidSect="00EC73B9">
          <w:pgSz w:w="11906" w:h="16838" w:code="9"/>
          <w:pgMar w:top="2948" w:right="2665" w:bottom="3231" w:left="2608" w:header="2381" w:footer="709" w:gutter="0"/>
          <w:cols w:space="720"/>
          <w:noEndnote/>
          <w:titlePg/>
          <w:docGrid w:linePitch="326"/>
        </w:sectPr>
      </w:pPr>
    </w:p>
    <w:p w14:paraId="6EC85B9E" w14:textId="77777777" w:rsidR="008F08BD" w:rsidRDefault="008F08BD" w:rsidP="008F08BD">
      <w:pPr>
        <w:pStyle w:val="heading1"/>
        <w:rPr>
          <w:lang w:val="en-GB"/>
        </w:rPr>
      </w:pPr>
      <w:r>
        <w:rPr>
          <w:lang w:val="en-GB"/>
        </w:rPr>
        <w:lastRenderedPageBreak/>
        <w:t>2.3 Identification of the FENIX industrial benefits</w:t>
      </w:r>
    </w:p>
    <w:p w14:paraId="176FB1E4" w14:textId="04EA49A5" w:rsidR="008F08BD" w:rsidRDefault="008F08BD" w:rsidP="008F08BD">
      <w:pPr>
        <w:pStyle w:val="p1a"/>
        <w:rPr>
          <w:lang w:val="en-GB" w:bidi="en-US"/>
        </w:rPr>
        <w:sectPr w:rsidR="008F08BD" w:rsidSect="00EC73B9">
          <w:pgSz w:w="11906" w:h="16838" w:code="9"/>
          <w:pgMar w:top="2948" w:right="2665" w:bottom="3231" w:left="2608" w:header="2381" w:footer="709" w:gutter="0"/>
          <w:cols w:space="720"/>
          <w:noEndnote/>
          <w:titlePg/>
          <w:docGrid w:linePitch="326"/>
        </w:sectPr>
      </w:pPr>
      <w:proofErr w:type="gramStart"/>
      <w:r w:rsidRPr="00165BEA">
        <w:rPr>
          <w:lang w:val="en-GB" w:bidi="en-US"/>
        </w:rPr>
        <w:t>In order to</w:t>
      </w:r>
      <w:proofErr w:type="gramEnd"/>
      <w:r w:rsidRPr="00165BEA">
        <w:rPr>
          <w:lang w:val="en-GB" w:bidi="en-US"/>
        </w:rPr>
        <w:t xml:space="preserve"> </w:t>
      </w:r>
      <w:r w:rsidR="004A334B">
        <w:rPr>
          <w:lang w:val="en-GB" w:bidi="en-US"/>
        </w:rPr>
        <w:t>select among those detected in the literature review</w:t>
      </w:r>
      <w:r w:rsidR="004A334B" w:rsidRPr="00165BEA">
        <w:rPr>
          <w:lang w:val="en-GB" w:bidi="en-US"/>
        </w:rPr>
        <w:t xml:space="preserve"> </w:t>
      </w:r>
      <w:r w:rsidRPr="00165BEA">
        <w:rPr>
          <w:lang w:val="en-GB" w:bidi="en-US"/>
        </w:rPr>
        <w:t xml:space="preserve">the industrial benefits expected by FENIX partners from the adoption of </w:t>
      </w:r>
      <w:r>
        <w:rPr>
          <w:lang w:val="en-GB" w:bidi="en-US"/>
        </w:rPr>
        <w:t>CBMs</w:t>
      </w:r>
      <w:r w:rsidRPr="00165BEA">
        <w:rPr>
          <w:lang w:val="en-GB" w:bidi="en-US"/>
        </w:rPr>
        <w:t xml:space="preserve">, a set of </w:t>
      </w:r>
      <w:r>
        <w:rPr>
          <w:lang w:val="en-GB" w:bidi="en-US"/>
        </w:rPr>
        <w:t xml:space="preserve">both </w:t>
      </w:r>
      <w:r w:rsidRPr="00165BEA">
        <w:rPr>
          <w:lang w:val="en-GB" w:bidi="en-US"/>
        </w:rPr>
        <w:t xml:space="preserve">face-to-face interviews </w:t>
      </w:r>
      <w:r>
        <w:rPr>
          <w:lang w:val="en-GB" w:bidi="en-US"/>
        </w:rPr>
        <w:t xml:space="preserve">and periodic consultations </w:t>
      </w:r>
      <w:r w:rsidRPr="00165BEA">
        <w:rPr>
          <w:lang w:val="en-GB" w:bidi="en-US"/>
        </w:rPr>
        <w:t xml:space="preserve">via phone/web calls have been </w:t>
      </w:r>
      <w:r>
        <w:rPr>
          <w:lang w:val="en-GB" w:bidi="en-US"/>
        </w:rPr>
        <w:t>implemented</w:t>
      </w:r>
      <w:r w:rsidRPr="00165BEA">
        <w:rPr>
          <w:lang w:val="en-GB" w:bidi="en-US"/>
        </w:rPr>
        <w:t>. The interviews were not based on a pre-defined questionnaire but exploited a set of open questions about both the current and future perspective of some of the FENIX partners.</w:t>
      </w:r>
      <w:r>
        <w:rPr>
          <w:lang w:val="en-GB" w:bidi="en-US"/>
        </w:rPr>
        <w:t xml:space="preserve"> Considering tables reported in </w:t>
      </w:r>
      <w:r w:rsidRPr="004D1D41">
        <w:rPr>
          <w:lang w:bidi="en-US"/>
        </w:rPr>
        <w:fldChar w:fldCharType="begin" w:fldLock="1"/>
      </w:r>
      <w:r w:rsidR="00B85235">
        <w:rPr>
          <w:lang w:bidi="en-US"/>
        </w:rPr>
        <w:instrText>ADDIN CSL_CITATION {"citationItems":[{"id":"ITEM-1","itemData":{"DOI":"10.1016/j.jclepro.2019.05.310","ISSN":"09596526","author":[{"dropping-particle":"","family":"Rosa","given":"Paolo","non-dropping-particle":"","parse-names":false,"suffix":""},{"dropping-particle":"","family":"Sassanelli","given":"Claudio","non-dropping-particle":"","parse-names":false,"suffix":""},{"dropping-particle":"","family":"Terzi","given":"Sergio","non-dropping-particle":"","parse-names":false,"suffix":""}],"container-title":"Journal of Cleaner Production","id":"ITEM-1","issued":{"date-parts":[["2019"]]},"page":"940-952","publisher":"Elsevier B.V.","title":"Circular Business Models versus Circular Benefits: An Assessment in the Waste from Electrical and Electronic Equipments Sector","type":"article-journal","volume":"231"},"uris":["http://www.mendeley.com/documents/?uuid=5dac3ff0-8c3c-4c11-8018-1a154369ad91","http://www.mendeley.com/documents/?uuid=5a478eca-147a-4c9d-abba-c8234882e7f1"]}],"mendeley":{"formattedCitation":"(Rosa et al., 2019a)","manualFormatting":"Rosa et al. (2019a)","plainTextFormattedCitation":"(Rosa et al., 2019a)","previouslyFormattedCitation":"(Rosa et al., 2019a)"},"properties":{"noteIndex":0},"schema":"https://github.com/citation-style-language/schema/raw/master/csl-citation.json"}</w:instrText>
      </w:r>
      <w:r w:rsidRPr="004D1D41">
        <w:rPr>
          <w:lang w:bidi="en-US"/>
        </w:rPr>
        <w:fldChar w:fldCharType="separate"/>
      </w:r>
      <w:r w:rsidRPr="004D1D41">
        <w:rPr>
          <w:noProof/>
          <w:lang w:bidi="en-US"/>
        </w:rPr>
        <w:t xml:space="preserve">Rosa et al. </w:t>
      </w:r>
      <w:r w:rsidR="00B85235">
        <w:rPr>
          <w:noProof/>
          <w:lang w:bidi="en-US"/>
        </w:rPr>
        <w:t>(</w:t>
      </w:r>
      <w:r w:rsidRPr="004D1D41">
        <w:rPr>
          <w:noProof/>
          <w:lang w:bidi="en-US"/>
        </w:rPr>
        <w:t>2019a)</w:t>
      </w:r>
      <w:r w:rsidRPr="004D1D41">
        <w:rPr>
          <w:lang w:bidi="en-US"/>
        </w:rPr>
        <w:fldChar w:fldCharType="end"/>
      </w:r>
      <w:r w:rsidRPr="004D1D41">
        <w:rPr>
          <w:lang w:bidi="en-US"/>
        </w:rPr>
        <w:t>,</w:t>
      </w:r>
      <w:r w:rsidRPr="00165BEA">
        <w:rPr>
          <w:lang w:val="en-GB" w:bidi="en-US"/>
        </w:rPr>
        <w:t xml:space="preserve"> </w:t>
      </w:r>
      <w:r>
        <w:rPr>
          <w:lang w:val="en-GB" w:bidi="en-US"/>
        </w:rPr>
        <w:t>an interesting result is</w:t>
      </w:r>
      <w:r w:rsidRPr="00165BEA">
        <w:rPr>
          <w:lang w:val="en-GB" w:bidi="en-US"/>
        </w:rPr>
        <w:t xml:space="preserve"> the high importance reached by social aspects </w:t>
      </w:r>
      <w:r>
        <w:rPr>
          <w:lang w:val="en-GB" w:bidi="en-US"/>
        </w:rPr>
        <w:t xml:space="preserve">(e.g. </w:t>
      </w:r>
      <w:r w:rsidRPr="00165BEA">
        <w:rPr>
          <w:lang w:val="en-GB" w:bidi="en-US"/>
        </w:rPr>
        <w:t>development of innovative skills and knowledge and enhancement of brand reputation and value</w:t>
      </w:r>
      <w:r>
        <w:rPr>
          <w:lang w:val="en-GB" w:bidi="en-US"/>
        </w:rPr>
        <w:t>) compared with</w:t>
      </w:r>
      <w:r w:rsidRPr="00165BEA">
        <w:rPr>
          <w:lang w:val="en-GB" w:bidi="en-US"/>
        </w:rPr>
        <w:t xml:space="preserve"> </w:t>
      </w:r>
      <w:r>
        <w:rPr>
          <w:lang w:val="en-GB" w:bidi="en-US"/>
        </w:rPr>
        <w:t xml:space="preserve">economic (e.g. </w:t>
      </w:r>
      <w:r w:rsidRPr="00165BEA">
        <w:rPr>
          <w:lang w:val="en-GB" w:bidi="en-US"/>
        </w:rPr>
        <w:t>overall costs reduction</w:t>
      </w:r>
      <w:r>
        <w:rPr>
          <w:lang w:val="en-GB" w:bidi="en-US"/>
        </w:rPr>
        <w:t>)</w:t>
      </w:r>
      <w:r w:rsidRPr="00165BEA">
        <w:rPr>
          <w:lang w:val="en-GB" w:bidi="en-US"/>
        </w:rPr>
        <w:t xml:space="preserve"> and </w:t>
      </w:r>
      <w:r>
        <w:rPr>
          <w:lang w:val="en-GB" w:bidi="en-US"/>
        </w:rPr>
        <w:t xml:space="preserve">environmental (e.g. </w:t>
      </w:r>
      <w:r w:rsidRPr="00165BEA">
        <w:rPr>
          <w:lang w:val="en-GB" w:bidi="en-US"/>
        </w:rPr>
        <w:t>resource efficiency improvement</w:t>
      </w:r>
      <w:r>
        <w:rPr>
          <w:lang w:val="en-GB" w:bidi="en-US"/>
        </w:rPr>
        <w:t>) ones</w:t>
      </w:r>
      <w:r w:rsidRPr="00165BEA">
        <w:rPr>
          <w:lang w:val="en-GB" w:bidi="en-US"/>
        </w:rPr>
        <w:t xml:space="preserve">. </w:t>
      </w:r>
      <w:r>
        <w:rPr>
          <w:lang w:val="en-GB" w:bidi="en-US"/>
        </w:rPr>
        <w:t xml:space="preserve">They are followed by </w:t>
      </w:r>
      <w:r w:rsidRPr="00165BEA">
        <w:rPr>
          <w:lang w:val="en-GB" w:bidi="en-US"/>
        </w:rPr>
        <w:t>the reduction of the environmental impact</w:t>
      </w:r>
      <w:r>
        <w:rPr>
          <w:lang w:val="en-GB" w:bidi="en-US"/>
        </w:rPr>
        <w:t>s,</w:t>
      </w:r>
      <w:r w:rsidRPr="00165BEA">
        <w:rPr>
          <w:lang w:val="en-GB" w:bidi="en-US"/>
        </w:rPr>
        <w:t xml:space="preserve"> reduction of business risks, improvement of competitive advantage and supply chain sustainability and provisioning share the same ranking. </w:t>
      </w:r>
      <w:r>
        <w:rPr>
          <w:lang w:val="en-GB" w:bidi="en-US"/>
        </w:rPr>
        <w:t>Subsequently, o</w:t>
      </w:r>
      <w:r w:rsidRPr="00165BEA">
        <w:rPr>
          <w:lang w:val="en-GB" w:bidi="en-US"/>
        </w:rPr>
        <w:t xml:space="preserve">pening new revenue streams and reducing supply chain complexity </w:t>
      </w:r>
      <w:r>
        <w:rPr>
          <w:lang w:val="en-GB" w:bidi="en-US"/>
        </w:rPr>
        <w:t>seem to be less important</w:t>
      </w:r>
      <w:r w:rsidRPr="00165BEA">
        <w:rPr>
          <w:lang w:val="en-GB" w:bidi="en-US"/>
        </w:rPr>
        <w:t xml:space="preserve">.  Finally, complying with environmental regulations, reaching new markets and countries, reducing product/process </w:t>
      </w:r>
      <w:proofErr w:type="gramStart"/>
      <w:r w:rsidRPr="00165BEA">
        <w:rPr>
          <w:lang w:val="en-GB" w:bidi="en-US"/>
        </w:rPr>
        <w:t>complexity</w:t>
      </w:r>
      <w:proofErr w:type="gramEnd"/>
      <w:r w:rsidRPr="00165BEA">
        <w:rPr>
          <w:lang w:val="en-GB" w:bidi="en-US"/>
        </w:rPr>
        <w:t xml:space="preserve"> and improving health and safety of workplaces seems to be out of scope for the FENIX partners.</w:t>
      </w:r>
    </w:p>
    <w:p w14:paraId="3308241D" w14:textId="77777777" w:rsidR="008F08BD" w:rsidRDefault="008F08BD" w:rsidP="008F08BD">
      <w:pPr>
        <w:pStyle w:val="heading1"/>
        <w:rPr>
          <w:lang w:val="en-GB"/>
        </w:rPr>
      </w:pPr>
      <w:r>
        <w:rPr>
          <w:lang w:val="en-GB"/>
        </w:rPr>
        <w:lastRenderedPageBreak/>
        <w:t>2.4 Identification of the FENIX CBMs</w:t>
      </w:r>
    </w:p>
    <w:p w14:paraId="5A5E2D6C" w14:textId="77777777" w:rsidR="008F08BD" w:rsidRPr="00796E86" w:rsidRDefault="008F08BD" w:rsidP="008F08BD">
      <w:pPr>
        <w:pStyle w:val="p1a"/>
        <w:rPr>
          <w:lang w:val="en-GB" w:bidi="en-US"/>
        </w:rPr>
      </w:pPr>
      <w:r>
        <w:rPr>
          <w:lang w:val="en-GB" w:bidi="en-US"/>
        </w:rPr>
        <w:t>T</w:t>
      </w:r>
      <w:r w:rsidRPr="00796E86">
        <w:rPr>
          <w:lang w:val="en-GB" w:bidi="en-US"/>
        </w:rPr>
        <w:t xml:space="preserve">he final decision (based on majority judgement) was to focus on three different CBMs: 1) recycling, 2) result-oriented PSSs and 3) use-oriented PSSs. </w:t>
      </w:r>
    </w:p>
    <w:p w14:paraId="6A016D9C" w14:textId="77777777" w:rsidR="008F08BD" w:rsidRPr="00796E86" w:rsidRDefault="008F08BD" w:rsidP="008F08BD">
      <w:pPr>
        <w:pStyle w:val="BulletItem"/>
        <w:numPr>
          <w:ilvl w:val="0"/>
          <w:numId w:val="22"/>
        </w:numPr>
        <w:rPr>
          <w:lang w:val="en-GB" w:bidi="en-US"/>
        </w:rPr>
      </w:pPr>
      <w:r>
        <w:rPr>
          <w:lang w:val="en-GB" w:bidi="en-US"/>
        </w:rPr>
        <w:t>Case 1 –</w:t>
      </w:r>
      <w:r w:rsidRPr="00796E86">
        <w:rPr>
          <w:lang w:val="en-GB" w:bidi="en-US"/>
        </w:rPr>
        <w:t xml:space="preserve"> </w:t>
      </w:r>
      <w:r>
        <w:rPr>
          <w:lang w:val="en-GB" w:bidi="en-US"/>
        </w:rPr>
        <w:t xml:space="preserve">The FENIX manufacturing company (recycling-based CBM). This company could produce either </w:t>
      </w:r>
      <w:r w:rsidRPr="00796E86">
        <w:rPr>
          <w:lang w:val="en-GB" w:bidi="en-US"/>
        </w:rPr>
        <w:t>a full pilot plant</w:t>
      </w:r>
      <w:r>
        <w:rPr>
          <w:lang w:val="en-GB" w:bidi="en-US"/>
        </w:rPr>
        <w:t xml:space="preserve"> or</w:t>
      </w:r>
      <w:r w:rsidRPr="00796E86">
        <w:rPr>
          <w:lang w:val="en-GB" w:bidi="en-US"/>
        </w:rPr>
        <w:t xml:space="preserve"> a specific product.</w:t>
      </w:r>
      <w:r>
        <w:rPr>
          <w:lang w:val="en-GB" w:bidi="en-US"/>
        </w:rPr>
        <w:t xml:space="preserve"> T</w:t>
      </w:r>
      <w:r w:rsidRPr="00796E86">
        <w:rPr>
          <w:lang w:val="en-GB" w:bidi="en-US"/>
        </w:rPr>
        <w:t xml:space="preserve">he full pilot plant will either disassemble products, recover </w:t>
      </w:r>
      <w:proofErr w:type="gramStart"/>
      <w:r w:rsidRPr="00796E86">
        <w:rPr>
          <w:lang w:val="en-GB" w:bidi="en-US"/>
        </w:rPr>
        <w:t>materials</w:t>
      </w:r>
      <w:proofErr w:type="gramEnd"/>
      <w:r w:rsidRPr="00796E86">
        <w:rPr>
          <w:lang w:val="en-GB" w:bidi="en-US"/>
        </w:rPr>
        <w:t xml:space="preserve"> or manufacture 3D printed components/products. </w:t>
      </w:r>
      <w:r>
        <w:rPr>
          <w:lang w:val="en-GB" w:bidi="en-US"/>
        </w:rPr>
        <w:t>Instead</w:t>
      </w:r>
      <w:r w:rsidRPr="00796E86">
        <w:rPr>
          <w:lang w:val="en-GB" w:bidi="en-US"/>
        </w:rPr>
        <w:t xml:space="preserve"> </w:t>
      </w:r>
      <w:r>
        <w:rPr>
          <w:lang w:val="en-GB" w:bidi="en-US"/>
        </w:rPr>
        <w:t xml:space="preserve">(given a specific AM </w:t>
      </w:r>
      <w:r w:rsidRPr="00796E86">
        <w:rPr>
          <w:lang w:val="en-GB" w:bidi="en-US"/>
        </w:rPr>
        <w:t>process</w:t>
      </w:r>
      <w:r>
        <w:rPr>
          <w:lang w:val="en-GB" w:bidi="en-US"/>
        </w:rPr>
        <w:t>),</w:t>
      </w:r>
      <w:r w:rsidRPr="00796E86">
        <w:rPr>
          <w:lang w:val="en-GB" w:bidi="en-US"/>
        </w:rPr>
        <w:t xml:space="preserve"> the product could be either a 3D printed jewel, a metal powder for </w:t>
      </w:r>
      <w:r>
        <w:rPr>
          <w:lang w:val="en-GB" w:bidi="en-US"/>
        </w:rPr>
        <w:t>AM</w:t>
      </w:r>
      <w:r w:rsidRPr="00796E86">
        <w:rPr>
          <w:lang w:val="en-GB" w:bidi="en-US"/>
        </w:rPr>
        <w:t xml:space="preserve"> processes or an innovative 3D printing filament. </w:t>
      </w:r>
    </w:p>
    <w:p w14:paraId="53D6F0A8" w14:textId="347930AD" w:rsidR="008F08BD" w:rsidRPr="00796E86" w:rsidRDefault="008F08BD" w:rsidP="008F08BD">
      <w:pPr>
        <w:pStyle w:val="BulletItem"/>
        <w:numPr>
          <w:ilvl w:val="0"/>
          <w:numId w:val="22"/>
        </w:numPr>
        <w:rPr>
          <w:lang w:val="en-GB" w:bidi="en-US"/>
        </w:rPr>
      </w:pPr>
      <w:r>
        <w:rPr>
          <w:lang w:val="en-GB" w:bidi="en-US"/>
        </w:rPr>
        <w:t>Case 2</w:t>
      </w:r>
      <w:r w:rsidRPr="00796E86">
        <w:rPr>
          <w:lang w:val="en-GB" w:bidi="en-US"/>
        </w:rPr>
        <w:t xml:space="preserve"> –</w:t>
      </w:r>
      <w:r>
        <w:rPr>
          <w:lang w:val="en-GB" w:bidi="en-US"/>
        </w:rPr>
        <w:t xml:space="preserve"> The FENIX</w:t>
      </w:r>
      <w:r w:rsidRPr="00796E86">
        <w:rPr>
          <w:lang w:val="en-GB" w:bidi="en-US"/>
        </w:rPr>
        <w:t xml:space="preserve"> service company </w:t>
      </w:r>
      <w:r>
        <w:rPr>
          <w:lang w:val="en-GB" w:bidi="en-US"/>
        </w:rPr>
        <w:t>(</w:t>
      </w:r>
      <w:r w:rsidRPr="00796E86">
        <w:rPr>
          <w:lang w:val="en-GB" w:bidi="en-US"/>
        </w:rPr>
        <w:t>use-oriented PSS</w:t>
      </w:r>
      <w:r>
        <w:rPr>
          <w:lang w:val="en-GB" w:bidi="en-US"/>
        </w:rPr>
        <w:t>-based CBM)</w:t>
      </w:r>
      <w:r w:rsidRPr="00796E86">
        <w:rPr>
          <w:lang w:val="en-GB" w:bidi="en-US"/>
        </w:rPr>
        <w:t xml:space="preserve">. All the three </w:t>
      </w:r>
      <w:r w:rsidR="00D56A10">
        <w:rPr>
          <w:lang w:val="en-GB" w:bidi="en-US"/>
        </w:rPr>
        <w:t>pilot plants</w:t>
      </w:r>
      <w:r w:rsidRPr="00796E86">
        <w:rPr>
          <w:lang w:val="en-GB" w:bidi="en-US"/>
        </w:rPr>
        <w:t xml:space="preserve"> constituting FENIX could act either together or independently </w:t>
      </w:r>
      <w:r>
        <w:rPr>
          <w:lang w:val="en-GB" w:bidi="en-US"/>
        </w:rPr>
        <w:t>(</w:t>
      </w:r>
      <w:r w:rsidRPr="00796E86">
        <w:rPr>
          <w:lang w:val="en-GB" w:bidi="en-US"/>
        </w:rPr>
        <w:t>like service providers</w:t>
      </w:r>
      <w:r>
        <w:rPr>
          <w:lang w:val="en-GB" w:bidi="en-US"/>
        </w:rPr>
        <w:t>)</w:t>
      </w:r>
      <w:r w:rsidRPr="00796E86">
        <w:rPr>
          <w:lang w:val="en-GB" w:bidi="en-US"/>
        </w:rPr>
        <w:t xml:space="preserve"> focused on a specific </w:t>
      </w:r>
      <w:r>
        <w:rPr>
          <w:lang w:val="en-GB" w:bidi="en-US"/>
        </w:rPr>
        <w:t>process phase</w:t>
      </w:r>
      <w:r w:rsidRPr="00796E86">
        <w:rPr>
          <w:lang w:val="en-GB" w:bidi="en-US"/>
        </w:rPr>
        <w:t xml:space="preserve">. This way, POLIMI’s </w:t>
      </w:r>
      <w:r>
        <w:rPr>
          <w:lang w:val="en-GB" w:bidi="en-US"/>
        </w:rPr>
        <w:t>I4.0L</w:t>
      </w:r>
      <w:r w:rsidRPr="00796E86">
        <w:rPr>
          <w:lang w:val="en-GB" w:bidi="en-US"/>
        </w:rPr>
        <w:t>ab could act as a provider of assembly/disassembly services for complex products</w:t>
      </w:r>
      <w:r>
        <w:rPr>
          <w:lang w:val="en-GB" w:bidi="en-US"/>
        </w:rPr>
        <w:t>.</w:t>
      </w:r>
      <w:r w:rsidRPr="00796E86">
        <w:rPr>
          <w:lang w:val="en-GB" w:bidi="en-US"/>
        </w:rPr>
        <w:t xml:space="preserve"> UNIVAQ’s lab could act as a provider of material recovery/refining services</w:t>
      </w:r>
      <w:r>
        <w:rPr>
          <w:lang w:val="en-GB" w:bidi="en-US"/>
        </w:rPr>
        <w:t>.</w:t>
      </w:r>
      <w:r w:rsidRPr="00796E86">
        <w:rPr>
          <w:lang w:val="en-GB" w:bidi="en-US"/>
        </w:rPr>
        <w:t xml:space="preserve"> </w:t>
      </w:r>
      <w:r>
        <w:rPr>
          <w:lang w:val="en-GB" w:bidi="en-US"/>
        </w:rPr>
        <w:t>F</w:t>
      </w:r>
      <w:r w:rsidRPr="00796E86">
        <w:rPr>
          <w:lang w:val="en-GB" w:bidi="en-US"/>
        </w:rPr>
        <w:t xml:space="preserve">inally, FCIM, I3DU and MBN labs could act as providers of </w:t>
      </w:r>
      <w:r>
        <w:rPr>
          <w:lang w:val="en-GB" w:bidi="en-US"/>
        </w:rPr>
        <w:t>AM</w:t>
      </w:r>
      <w:r w:rsidRPr="00796E86">
        <w:rPr>
          <w:lang w:val="en-GB" w:bidi="en-US"/>
        </w:rPr>
        <w:t xml:space="preserve"> services.</w:t>
      </w:r>
      <w:r w:rsidR="00D56A10">
        <w:rPr>
          <w:lang w:val="en-GB" w:bidi="en-US"/>
        </w:rPr>
        <w:t xml:space="preserve"> However, </w:t>
      </w:r>
      <w:r w:rsidR="00D56A10" w:rsidRPr="00231392">
        <w:t xml:space="preserve">the </w:t>
      </w:r>
      <w:r w:rsidR="00D56A10">
        <w:t>plants do</w:t>
      </w:r>
      <w:r w:rsidR="00D56A10" w:rsidRPr="00231392">
        <w:t xml:space="preserve"> not shift in ownership. The provider has ownership, and </w:t>
      </w:r>
      <w:r w:rsidR="00D56A10">
        <w:t xml:space="preserve">it </w:t>
      </w:r>
      <w:r w:rsidR="00D56A10" w:rsidRPr="00231392">
        <w:t>is a</w:t>
      </w:r>
      <w:r w:rsidR="00D56A10">
        <w:t>lso often responsible for main</w:t>
      </w:r>
      <w:r w:rsidR="00D56A10" w:rsidRPr="00231392">
        <w:t xml:space="preserve">tenance, </w:t>
      </w:r>
      <w:proofErr w:type="gramStart"/>
      <w:r w:rsidR="00D56A10" w:rsidRPr="00231392">
        <w:t>repair</w:t>
      </w:r>
      <w:proofErr w:type="gramEnd"/>
      <w:r w:rsidR="00D56A10" w:rsidRPr="00231392">
        <w:t xml:space="preserve"> and control. The</w:t>
      </w:r>
      <w:r w:rsidR="00D56A10">
        <w:t xml:space="preserve"> customer pays </w:t>
      </w:r>
      <w:r w:rsidR="00D56A10" w:rsidRPr="00231392">
        <w:t xml:space="preserve">a fee for the use of the </w:t>
      </w:r>
      <w:r w:rsidR="00D56A10">
        <w:t>plant.</w:t>
      </w:r>
      <w:r w:rsidR="00D56A10" w:rsidRPr="00231392">
        <w:t xml:space="preserve"> </w:t>
      </w:r>
      <w:r w:rsidR="00D56A10">
        <w:t>H</w:t>
      </w:r>
      <w:r w:rsidR="00D56A10" w:rsidRPr="00231392">
        <w:t>e</w:t>
      </w:r>
      <w:r w:rsidR="00D56A10">
        <w:t xml:space="preserve"> could (or not) have </w:t>
      </w:r>
      <w:r w:rsidR="00D56A10" w:rsidRPr="00231392">
        <w:t>unlimited and individual access</w:t>
      </w:r>
      <w:r w:rsidR="00D56A10">
        <w:t xml:space="preserve"> (leasing or sharing/pooling)</w:t>
      </w:r>
      <w:r w:rsidR="00D56A10" w:rsidRPr="00231392">
        <w:t>.</w:t>
      </w:r>
    </w:p>
    <w:p w14:paraId="77DB47F3" w14:textId="33097DF9" w:rsidR="008F08BD" w:rsidRPr="00D56A10" w:rsidRDefault="008F08BD" w:rsidP="00D56A10">
      <w:pPr>
        <w:pStyle w:val="Testocommento"/>
      </w:pPr>
      <w:r>
        <w:rPr>
          <w:lang w:val="en-GB" w:bidi="en-US"/>
        </w:rPr>
        <w:t>Case 3</w:t>
      </w:r>
      <w:r w:rsidRPr="00796E86">
        <w:rPr>
          <w:lang w:val="en-GB" w:bidi="en-US"/>
        </w:rPr>
        <w:t xml:space="preserve"> – </w:t>
      </w:r>
      <w:r>
        <w:rPr>
          <w:lang w:val="en-GB" w:bidi="en-US"/>
        </w:rPr>
        <w:t xml:space="preserve">The FENIX </w:t>
      </w:r>
      <w:proofErr w:type="spellStart"/>
      <w:r>
        <w:rPr>
          <w:lang w:val="en-GB" w:bidi="en-US"/>
        </w:rPr>
        <w:t>Fablab</w:t>
      </w:r>
      <w:proofErr w:type="spellEnd"/>
      <w:r>
        <w:rPr>
          <w:lang w:val="en-GB" w:bidi="en-US"/>
        </w:rPr>
        <w:t xml:space="preserve"> (result-oriented PSS-based CBM)</w:t>
      </w:r>
      <w:r w:rsidRPr="00796E86">
        <w:rPr>
          <w:lang w:val="en-GB" w:bidi="en-US"/>
        </w:rPr>
        <w:t xml:space="preserve">. </w:t>
      </w:r>
      <w:r>
        <w:rPr>
          <w:lang w:val="en-GB" w:bidi="en-US"/>
        </w:rPr>
        <w:t>Here, t</w:t>
      </w:r>
      <w:r w:rsidRPr="00796E86">
        <w:rPr>
          <w:lang w:val="en-GB" w:bidi="en-US"/>
        </w:rPr>
        <w:t xml:space="preserve">he final aim is sharing the whole process with final users. This way, the full potential offered by FENIX could be exploited also by private customers willing to implement their ideas. Among the FENIX labs, POLIMI’s </w:t>
      </w:r>
      <w:r>
        <w:rPr>
          <w:lang w:val="en-GB" w:bidi="en-US"/>
        </w:rPr>
        <w:t>I4.0L</w:t>
      </w:r>
      <w:r w:rsidRPr="00796E86">
        <w:rPr>
          <w:lang w:val="en-GB" w:bidi="en-US"/>
        </w:rPr>
        <w:t>ab is currently the only one already able to adopt this kind of CBM.</w:t>
      </w:r>
      <w:r w:rsidR="00D56A10">
        <w:rPr>
          <w:lang w:val="en-GB" w:bidi="en-US"/>
        </w:rPr>
        <w:t xml:space="preserve"> Here, </w:t>
      </w:r>
      <w:r w:rsidR="00D56A10">
        <w:t>t</w:t>
      </w:r>
      <w:r w:rsidR="00D56A10" w:rsidRPr="00231392">
        <w:t xml:space="preserve">he PSS still has </w:t>
      </w:r>
      <w:r w:rsidR="00D56A10">
        <w:t>the three pilot plants</w:t>
      </w:r>
      <w:r w:rsidR="00D56A10" w:rsidRPr="00231392">
        <w:t xml:space="preserve"> as a basis, but the user no longer buys the product</w:t>
      </w:r>
      <w:r w:rsidR="00D56A10">
        <w:t xml:space="preserve"> produced or the use of the plants. Customers o</w:t>
      </w:r>
      <w:r w:rsidR="00D56A10" w:rsidRPr="00231392">
        <w:t>nly</w:t>
      </w:r>
      <w:r w:rsidR="00D56A10">
        <w:t xml:space="preserve"> buy</w:t>
      </w:r>
      <w:r w:rsidR="00D56A10" w:rsidRPr="00231392">
        <w:t xml:space="preserve"> the output of the </w:t>
      </w:r>
      <w:r w:rsidR="00D56A10">
        <w:t>plants</w:t>
      </w:r>
      <w:r w:rsidR="00D56A10" w:rsidRPr="00231392">
        <w:t xml:space="preserve"> acc</w:t>
      </w:r>
      <w:r w:rsidR="00D56A10">
        <w:t>ording to the level of use. T</w:t>
      </w:r>
      <w:r w:rsidR="00D56A10" w:rsidRPr="00231392">
        <w:t>he provider agrees with the client the delivery of a result.</w:t>
      </w:r>
      <w:r w:rsidR="00D56A10">
        <w:t xml:space="preserve"> </w:t>
      </w:r>
      <w:r w:rsidR="00D56A10" w:rsidRPr="00231392">
        <w:t>The provider is, in principle, completely free as to how to deliver the result.</w:t>
      </w:r>
    </w:p>
    <w:p w14:paraId="32643D33" w14:textId="77777777" w:rsidR="008F08BD" w:rsidRDefault="008F08BD" w:rsidP="008F08BD">
      <w:pPr>
        <w:pStyle w:val="p1a"/>
        <w:rPr>
          <w:lang w:val="en-GB" w:bidi="en-US"/>
        </w:rPr>
      </w:pPr>
      <w:r w:rsidRPr="00796E86">
        <w:rPr>
          <w:lang w:val="en-GB" w:bidi="en-US"/>
        </w:rPr>
        <w:t xml:space="preserve">In addition, given the high presence of both </w:t>
      </w:r>
      <w:r>
        <w:rPr>
          <w:lang w:val="en-GB" w:bidi="en-US"/>
        </w:rPr>
        <w:t>I</w:t>
      </w:r>
      <w:r w:rsidRPr="00796E86">
        <w:rPr>
          <w:lang w:val="en-GB" w:bidi="en-US"/>
        </w:rPr>
        <w:t xml:space="preserve">4.0 and </w:t>
      </w:r>
      <w:r>
        <w:rPr>
          <w:lang w:val="en-GB" w:bidi="en-US"/>
        </w:rPr>
        <w:t>AM</w:t>
      </w:r>
      <w:r w:rsidRPr="00796E86">
        <w:rPr>
          <w:lang w:val="en-GB" w:bidi="en-US"/>
        </w:rPr>
        <w:t xml:space="preserve"> technologies, FENIX could also give a practical demonstration about the adoption of “Exchange” CBMs</w:t>
      </w:r>
      <w:r>
        <w:rPr>
          <w:lang w:val="en-GB" w:bidi="en-US"/>
        </w:rPr>
        <w:t>:</w:t>
      </w:r>
    </w:p>
    <w:p w14:paraId="4A8C942F" w14:textId="77777777" w:rsidR="008F08BD" w:rsidRPr="00796E86" w:rsidRDefault="008F08BD" w:rsidP="008F08BD">
      <w:pPr>
        <w:pStyle w:val="BulletItem"/>
        <w:numPr>
          <w:ilvl w:val="0"/>
          <w:numId w:val="22"/>
        </w:numPr>
        <w:rPr>
          <w:lang w:val="en-GB" w:bidi="en-US"/>
        </w:rPr>
      </w:pPr>
      <w:r w:rsidRPr="00796E86">
        <w:rPr>
          <w:lang w:val="en-GB" w:bidi="en-US"/>
        </w:rPr>
        <w:t>POLIMI’s I4.0</w:t>
      </w:r>
      <w:r>
        <w:rPr>
          <w:lang w:val="en-GB" w:bidi="en-US"/>
        </w:rPr>
        <w:t>Lab</w:t>
      </w:r>
      <w:r w:rsidRPr="00796E86">
        <w:rPr>
          <w:lang w:val="en-GB" w:bidi="en-US"/>
        </w:rPr>
        <w:t xml:space="preserve"> will constitute both the initial and final stage of the small-scaled circular </w:t>
      </w:r>
      <w:r>
        <w:rPr>
          <w:lang w:val="en-GB" w:bidi="en-US"/>
        </w:rPr>
        <w:t>supply chain</w:t>
      </w:r>
      <w:r w:rsidRPr="00796E86">
        <w:rPr>
          <w:lang w:val="en-GB" w:bidi="en-US"/>
        </w:rPr>
        <w:t xml:space="preserve"> represented within FENIX. This lab is </w:t>
      </w:r>
      <w:r>
        <w:rPr>
          <w:lang w:val="en-GB" w:bidi="en-US"/>
        </w:rPr>
        <w:t xml:space="preserve">a </w:t>
      </w:r>
      <w:r w:rsidRPr="00796E86">
        <w:rPr>
          <w:lang w:val="en-GB" w:bidi="en-US"/>
        </w:rPr>
        <w:t xml:space="preserve">demonstration plant for </w:t>
      </w:r>
      <w:r>
        <w:rPr>
          <w:lang w:val="en-GB" w:bidi="en-US"/>
        </w:rPr>
        <w:t>the</w:t>
      </w:r>
      <w:r w:rsidRPr="00796E86">
        <w:rPr>
          <w:lang w:val="en-GB" w:bidi="en-US"/>
        </w:rPr>
        <w:t xml:space="preserve"> automatic assembly of complex products.</w:t>
      </w:r>
      <w:r>
        <w:rPr>
          <w:lang w:val="en-GB" w:bidi="en-US"/>
        </w:rPr>
        <w:t xml:space="preserve"> </w:t>
      </w:r>
      <w:r w:rsidRPr="00796E86">
        <w:rPr>
          <w:lang w:val="en-GB" w:bidi="en-US"/>
        </w:rPr>
        <w:t xml:space="preserve">FENIX </w:t>
      </w:r>
      <w:r>
        <w:rPr>
          <w:lang w:val="en-GB" w:bidi="en-US"/>
        </w:rPr>
        <w:t>will</w:t>
      </w:r>
      <w:r w:rsidRPr="00796E86">
        <w:rPr>
          <w:lang w:val="en-GB" w:bidi="en-US"/>
        </w:rPr>
        <w:t xml:space="preserve"> partially reconfigure it </w:t>
      </w:r>
      <w:r>
        <w:rPr>
          <w:lang w:val="en-GB" w:bidi="en-US"/>
        </w:rPr>
        <w:t>for</w:t>
      </w:r>
      <w:r w:rsidRPr="00796E86">
        <w:rPr>
          <w:lang w:val="en-GB" w:bidi="en-US"/>
        </w:rPr>
        <w:t xml:space="preserve"> disassembly </w:t>
      </w:r>
      <w:r>
        <w:rPr>
          <w:lang w:val="en-GB" w:bidi="en-US"/>
        </w:rPr>
        <w:t>needs</w:t>
      </w:r>
      <w:r w:rsidRPr="00796E86">
        <w:rPr>
          <w:lang w:val="en-GB" w:bidi="en-US"/>
        </w:rPr>
        <w:t xml:space="preserve">. </w:t>
      </w:r>
      <w:r>
        <w:rPr>
          <w:lang w:val="en-GB" w:bidi="en-US"/>
        </w:rPr>
        <w:t>Here</w:t>
      </w:r>
      <w:r w:rsidRPr="00796E86">
        <w:rPr>
          <w:lang w:val="en-GB" w:bidi="en-US"/>
        </w:rPr>
        <w:t xml:space="preserve">, the adoption of a </w:t>
      </w:r>
      <w:proofErr w:type="spellStart"/>
      <w:r w:rsidRPr="00796E86">
        <w:rPr>
          <w:lang w:val="en-GB" w:bidi="en-US"/>
        </w:rPr>
        <w:t>Fablab</w:t>
      </w:r>
      <w:proofErr w:type="spellEnd"/>
      <w:r w:rsidRPr="00796E86">
        <w:rPr>
          <w:lang w:val="en-GB" w:bidi="en-US"/>
        </w:rPr>
        <w:t>-like CBM is expected to be feasible.</w:t>
      </w:r>
    </w:p>
    <w:p w14:paraId="0E1DB3EE" w14:textId="77777777" w:rsidR="008F08BD" w:rsidRPr="00796E86" w:rsidRDefault="008F08BD" w:rsidP="008F08BD">
      <w:pPr>
        <w:pStyle w:val="BulletItem"/>
        <w:numPr>
          <w:ilvl w:val="0"/>
          <w:numId w:val="22"/>
        </w:numPr>
        <w:rPr>
          <w:lang w:val="en-GB" w:bidi="en-US"/>
        </w:rPr>
      </w:pPr>
      <w:r w:rsidRPr="00796E86">
        <w:rPr>
          <w:lang w:val="en-GB" w:bidi="en-US"/>
        </w:rPr>
        <w:t xml:space="preserve">UNIVAQ’s chemical </w:t>
      </w:r>
      <w:r>
        <w:rPr>
          <w:lang w:val="en-GB" w:bidi="en-US"/>
        </w:rPr>
        <w:t>L</w:t>
      </w:r>
      <w:r w:rsidRPr="00796E86">
        <w:rPr>
          <w:lang w:val="en-GB" w:bidi="en-US"/>
        </w:rPr>
        <w:t xml:space="preserve">ab will constitute the central stage of the small-scaled circular </w:t>
      </w:r>
      <w:r>
        <w:rPr>
          <w:lang w:val="en-GB" w:bidi="en-US"/>
        </w:rPr>
        <w:t>supply chain</w:t>
      </w:r>
      <w:r w:rsidRPr="00796E86">
        <w:rPr>
          <w:lang w:val="en-GB" w:bidi="en-US"/>
        </w:rPr>
        <w:t xml:space="preserve"> represented within FENIX. Th</w:t>
      </w:r>
      <w:r>
        <w:rPr>
          <w:lang w:val="en-GB" w:bidi="en-US"/>
        </w:rPr>
        <w:t>is</w:t>
      </w:r>
      <w:r w:rsidRPr="00796E86">
        <w:rPr>
          <w:lang w:val="en-GB" w:bidi="en-US"/>
        </w:rPr>
        <w:t xml:space="preserve"> lab: 1) will receive disas</w:t>
      </w:r>
      <w:r w:rsidRPr="00796E86">
        <w:rPr>
          <w:lang w:val="en-GB" w:bidi="en-US"/>
        </w:rPr>
        <w:lastRenderedPageBreak/>
        <w:t xml:space="preserve">sembled PCBs from POLIMI, 2) will recover materials from </w:t>
      </w:r>
      <w:r>
        <w:rPr>
          <w:lang w:val="en-GB" w:bidi="en-US"/>
        </w:rPr>
        <w:t>PCBs</w:t>
      </w:r>
      <w:r w:rsidRPr="00796E86">
        <w:rPr>
          <w:lang w:val="en-GB" w:bidi="en-US"/>
        </w:rPr>
        <w:t xml:space="preserve"> and 3) will send recovered materials to other partners (</w:t>
      </w:r>
      <w:proofErr w:type="gramStart"/>
      <w:r>
        <w:rPr>
          <w:lang w:val="en-GB" w:bidi="en-US"/>
        </w:rPr>
        <w:t>e.g.</w:t>
      </w:r>
      <w:proofErr w:type="gramEnd"/>
      <w:r>
        <w:rPr>
          <w:lang w:val="en-GB" w:bidi="en-US"/>
        </w:rPr>
        <w:t xml:space="preserve"> </w:t>
      </w:r>
      <w:r w:rsidRPr="00796E86">
        <w:rPr>
          <w:lang w:val="en-GB" w:bidi="en-US"/>
        </w:rPr>
        <w:t>I3DU, MBN</w:t>
      </w:r>
      <w:r>
        <w:rPr>
          <w:lang w:val="en-GB" w:bidi="en-US"/>
        </w:rPr>
        <w:t xml:space="preserve"> and</w:t>
      </w:r>
      <w:r w:rsidRPr="00796E86">
        <w:rPr>
          <w:lang w:val="en-GB" w:bidi="en-US"/>
        </w:rPr>
        <w:t xml:space="preserve"> FCIM) for </w:t>
      </w:r>
      <w:r>
        <w:rPr>
          <w:lang w:val="en-GB" w:bidi="en-US"/>
        </w:rPr>
        <w:t>AM-related</w:t>
      </w:r>
      <w:r w:rsidRPr="00796E86">
        <w:rPr>
          <w:lang w:val="en-GB" w:bidi="en-US"/>
        </w:rPr>
        <w:t xml:space="preserve"> activities. FENIX </w:t>
      </w:r>
      <w:r>
        <w:rPr>
          <w:lang w:val="en-GB" w:bidi="en-US"/>
        </w:rPr>
        <w:t>will</w:t>
      </w:r>
      <w:r w:rsidRPr="00796E86">
        <w:rPr>
          <w:lang w:val="en-GB" w:bidi="en-US"/>
        </w:rPr>
        <w:t xml:space="preserve"> partially reconfigure </w:t>
      </w:r>
      <w:r>
        <w:rPr>
          <w:lang w:val="en-GB" w:bidi="en-US"/>
        </w:rPr>
        <w:t>this Lab</w:t>
      </w:r>
      <w:r w:rsidRPr="00796E86">
        <w:rPr>
          <w:lang w:val="en-GB" w:bidi="en-US"/>
        </w:rPr>
        <w:t xml:space="preserve"> </w:t>
      </w:r>
      <w:r>
        <w:rPr>
          <w:lang w:val="en-GB" w:bidi="en-US"/>
        </w:rPr>
        <w:t>for</w:t>
      </w:r>
      <w:r w:rsidRPr="00796E86">
        <w:rPr>
          <w:lang w:val="en-GB" w:bidi="en-US"/>
        </w:rPr>
        <w:t xml:space="preserve"> </w:t>
      </w:r>
      <w:r>
        <w:rPr>
          <w:lang w:val="en-GB" w:bidi="en-US"/>
        </w:rPr>
        <w:t xml:space="preserve">the </w:t>
      </w:r>
      <w:r w:rsidRPr="00796E86">
        <w:rPr>
          <w:lang w:val="en-GB" w:bidi="en-US"/>
        </w:rPr>
        <w:t>recover</w:t>
      </w:r>
      <w:r>
        <w:rPr>
          <w:lang w:val="en-GB" w:bidi="en-US"/>
        </w:rPr>
        <w:t>y</w:t>
      </w:r>
      <w:r w:rsidRPr="00796E86">
        <w:rPr>
          <w:lang w:val="en-GB" w:bidi="en-US"/>
        </w:rPr>
        <w:t xml:space="preserve"> </w:t>
      </w:r>
      <w:r>
        <w:rPr>
          <w:lang w:val="en-GB" w:bidi="en-US"/>
        </w:rPr>
        <w:t xml:space="preserve">of </w:t>
      </w:r>
      <w:r w:rsidRPr="00796E86">
        <w:rPr>
          <w:lang w:val="en-GB" w:bidi="en-US"/>
        </w:rPr>
        <w:t>selected materials with specific features (</w:t>
      </w:r>
      <w:proofErr w:type="gramStart"/>
      <w:r w:rsidRPr="00796E86">
        <w:rPr>
          <w:lang w:val="en-GB" w:bidi="en-US"/>
        </w:rPr>
        <w:t>e.g.</w:t>
      </w:r>
      <w:proofErr w:type="gramEnd"/>
      <w:r w:rsidRPr="00796E86">
        <w:rPr>
          <w:lang w:val="en-GB" w:bidi="en-US"/>
        </w:rPr>
        <w:t xml:space="preserve"> particle’s shape, dimension, purity level). Given </w:t>
      </w:r>
      <w:proofErr w:type="spellStart"/>
      <w:r>
        <w:rPr>
          <w:lang w:val="en-GB" w:bidi="en-US"/>
        </w:rPr>
        <w:t>i</w:t>
      </w:r>
      <w:proofErr w:type="spellEnd"/>
      <w:r>
        <w:rPr>
          <w:lang w:val="en-GB" w:bidi="en-US"/>
        </w:rPr>
        <w:t xml:space="preserve">) </w:t>
      </w:r>
      <w:r w:rsidRPr="00796E86">
        <w:rPr>
          <w:lang w:val="en-GB" w:bidi="en-US"/>
        </w:rPr>
        <w:t xml:space="preserve">the high specialization of the lab and </w:t>
      </w:r>
      <w:r>
        <w:rPr>
          <w:lang w:val="en-GB" w:bidi="en-US"/>
        </w:rPr>
        <w:t xml:space="preserve">ii) </w:t>
      </w:r>
      <w:r w:rsidRPr="00796E86">
        <w:rPr>
          <w:lang w:val="en-GB" w:bidi="en-US"/>
        </w:rPr>
        <w:t xml:space="preserve">the presence of patented processes, not all the selected CBMs will be </w:t>
      </w:r>
      <w:r>
        <w:rPr>
          <w:lang w:val="en-GB" w:bidi="en-US"/>
        </w:rPr>
        <w:t>feasible</w:t>
      </w:r>
      <w:r w:rsidRPr="00796E86">
        <w:rPr>
          <w:lang w:val="en-GB" w:bidi="en-US"/>
        </w:rPr>
        <w:t>.</w:t>
      </w:r>
    </w:p>
    <w:p w14:paraId="248C77AC" w14:textId="77777777" w:rsidR="008F08BD" w:rsidRPr="004D1D41" w:rsidRDefault="008F08BD" w:rsidP="008F08BD">
      <w:pPr>
        <w:pStyle w:val="BulletItem"/>
        <w:numPr>
          <w:ilvl w:val="0"/>
          <w:numId w:val="22"/>
        </w:numPr>
        <w:rPr>
          <w:lang w:val="en-GB" w:bidi="en-US"/>
        </w:rPr>
        <w:sectPr w:rsidR="008F08BD" w:rsidRPr="004D1D41" w:rsidSect="00EC73B9">
          <w:pgSz w:w="11906" w:h="16838" w:code="9"/>
          <w:pgMar w:top="2948" w:right="2665" w:bottom="3231" w:left="2608" w:header="2381" w:footer="709" w:gutter="0"/>
          <w:cols w:space="720"/>
          <w:noEndnote/>
          <w:titlePg/>
          <w:docGrid w:linePitch="326"/>
        </w:sectPr>
      </w:pPr>
      <w:r w:rsidRPr="00796E86">
        <w:rPr>
          <w:lang w:val="en-GB" w:bidi="en-US"/>
        </w:rPr>
        <w:t xml:space="preserve">FCIM, I3DU and MBN’s </w:t>
      </w:r>
      <w:r>
        <w:rPr>
          <w:lang w:val="en-GB" w:bidi="en-US"/>
        </w:rPr>
        <w:t>AM-related</w:t>
      </w:r>
      <w:r w:rsidRPr="00796E86">
        <w:rPr>
          <w:lang w:val="en-GB" w:bidi="en-US"/>
        </w:rPr>
        <w:t xml:space="preserve"> </w:t>
      </w:r>
      <w:r>
        <w:rPr>
          <w:lang w:val="en-GB" w:bidi="en-US"/>
        </w:rPr>
        <w:t>Labs</w:t>
      </w:r>
      <w:r w:rsidRPr="00796E86">
        <w:rPr>
          <w:lang w:val="en-GB" w:bidi="en-US"/>
        </w:rPr>
        <w:t xml:space="preserve"> will constitute either the semi-final or final stage </w:t>
      </w:r>
      <w:r>
        <w:rPr>
          <w:lang w:val="en-GB" w:bidi="en-US"/>
        </w:rPr>
        <w:t>(</w:t>
      </w:r>
      <w:r w:rsidRPr="00796E86">
        <w:rPr>
          <w:lang w:val="en-GB" w:bidi="en-US"/>
        </w:rPr>
        <w:t>depending on the final type of produc</w:t>
      </w:r>
      <w:r>
        <w:rPr>
          <w:lang w:val="en-GB" w:bidi="en-US"/>
        </w:rPr>
        <w:t>t to be made)</w:t>
      </w:r>
      <w:r w:rsidRPr="00796E86">
        <w:rPr>
          <w:lang w:val="en-GB" w:bidi="en-US"/>
        </w:rPr>
        <w:t xml:space="preserve"> of the small-scaled circular</w:t>
      </w:r>
      <w:r>
        <w:rPr>
          <w:lang w:val="en-GB" w:bidi="en-US"/>
        </w:rPr>
        <w:t xml:space="preserve"> supply chain</w:t>
      </w:r>
      <w:r w:rsidRPr="00796E86">
        <w:rPr>
          <w:lang w:val="en-GB" w:bidi="en-US"/>
        </w:rPr>
        <w:t xml:space="preserve"> represented within FENIX. </w:t>
      </w:r>
      <w:r>
        <w:rPr>
          <w:lang w:val="en-GB" w:bidi="en-US"/>
        </w:rPr>
        <w:t>I</w:t>
      </w:r>
      <w:r w:rsidRPr="00796E86">
        <w:rPr>
          <w:lang w:val="en-GB" w:bidi="en-US"/>
        </w:rPr>
        <w:t xml:space="preserve">f the </w:t>
      </w:r>
      <w:r>
        <w:rPr>
          <w:lang w:val="en-GB" w:bidi="en-US"/>
        </w:rPr>
        <w:t xml:space="preserve">AM </w:t>
      </w:r>
      <w:r w:rsidRPr="00796E86">
        <w:rPr>
          <w:lang w:val="en-GB" w:bidi="en-US"/>
        </w:rPr>
        <w:t xml:space="preserve">product </w:t>
      </w:r>
      <w:r>
        <w:rPr>
          <w:lang w:val="en-GB" w:bidi="en-US"/>
        </w:rPr>
        <w:t>will</w:t>
      </w:r>
      <w:r w:rsidRPr="00796E86">
        <w:rPr>
          <w:lang w:val="en-GB" w:bidi="en-US"/>
        </w:rPr>
        <w:t xml:space="preserve"> be a component of a more complex one, it will be sent to POLIMI’s </w:t>
      </w:r>
      <w:r>
        <w:rPr>
          <w:lang w:val="en-GB" w:bidi="en-US"/>
        </w:rPr>
        <w:t>I4.0L</w:t>
      </w:r>
      <w:r w:rsidRPr="00796E86">
        <w:rPr>
          <w:lang w:val="en-GB" w:bidi="en-US"/>
        </w:rPr>
        <w:t>ab for the final assembly.</w:t>
      </w:r>
      <w:r>
        <w:rPr>
          <w:lang w:val="en-GB" w:bidi="en-US"/>
        </w:rPr>
        <w:t xml:space="preserve"> </w:t>
      </w:r>
      <w:r w:rsidRPr="00796E86">
        <w:rPr>
          <w:lang w:val="en-GB" w:bidi="en-US"/>
        </w:rPr>
        <w:t xml:space="preserve">FENIX </w:t>
      </w:r>
      <w:r>
        <w:rPr>
          <w:lang w:val="en-GB" w:bidi="en-US"/>
        </w:rPr>
        <w:t>will</w:t>
      </w:r>
      <w:r w:rsidRPr="00796E86">
        <w:rPr>
          <w:lang w:val="en-GB" w:bidi="en-US"/>
        </w:rPr>
        <w:t xml:space="preserve"> partially reconfigure these labs </w:t>
      </w:r>
      <w:r>
        <w:rPr>
          <w:lang w:val="en-GB" w:bidi="en-US"/>
        </w:rPr>
        <w:t>basing on</w:t>
      </w:r>
      <w:r w:rsidRPr="00796E86">
        <w:rPr>
          <w:lang w:val="en-GB" w:bidi="en-US"/>
        </w:rPr>
        <w:t xml:space="preserve"> specific products/components</w:t>
      </w:r>
      <w:r>
        <w:rPr>
          <w:lang w:val="en-GB" w:bidi="en-US"/>
        </w:rPr>
        <w:t xml:space="preserve"> needs</w:t>
      </w:r>
      <w:r w:rsidRPr="00796E86">
        <w:rPr>
          <w:lang w:val="en-GB" w:bidi="en-US"/>
        </w:rPr>
        <w:t xml:space="preserve">. </w:t>
      </w:r>
      <w:r>
        <w:rPr>
          <w:lang w:val="en-GB" w:bidi="en-US"/>
        </w:rPr>
        <w:t>G</w:t>
      </w:r>
      <w:r w:rsidRPr="00796E86">
        <w:rPr>
          <w:lang w:val="en-GB" w:bidi="en-US"/>
        </w:rPr>
        <w:t xml:space="preserve">iven </w:t>
      </w:r>
      <w:proofErr w:type="spellStart"/>
      <w:r>
        <w:rPr>
          <w:lang w:val="en-GB" w:bidi="en-US"/>
        </w:rPr>
        <w:t>i</w:t>
      </w:r>
      <w:proofErr w:type="spellEnd"/>
      <w:r>
        <w:rPr>
          <w:lang w:val="en-GB" w:bidi="en-US"/>
        </w:rPr>
        <w:t xml:space="preserve">) </w:t>
      </w:r>
      <w:r w:rsidRPr="00796E86">
        <w:rPr>
          <w:lang w:val="en-GB" w:bidi="en-US"/>
        </w:rPr>
        <w:t>the high specialization of lab</w:t>
      </w:r>
      <w:r>
        <w:rPr>
          <w:lang w:val="en-GB" w:bidi="en-US"/>
        </w:rPr>
        <w:t>s</w:t>
      </w:r>
      <w:r w:rsidRPr="00796E86">
        <w:rPr>
          <w:lang w:val="en-GB" w:bidi="en-US"/>
        </w:rPr>
        <w:t xml:space="preserve"> and </w:t>
      </w:r>
      <w:r>
        <w:rPr>
          <w:lang w:val="en-GB" w:bidi="en-US"/>
        </w:rPr>
        <w:t xml:space="preserve">ii) </w:t>
      </w:r>
      <w:r w:rsidRPr="00796E86">
        <w:rPr>
          <w:lang w:val="en-GB" w:bidi="en-US"/>
        </w:rPr>
        <w:t>the presence of patented processes, not all the selected CBMs will be</w:t>
      </w:r>
      <w:r>
        <w:rPr>
          <w:lang w:val="en-GB" w:bidi="en-US"/>
        </w:rPr>
        <w:t xml:space="preserve"> feasible</w:t>
      </w:r>
      <w:r w:rsidRPr="00796E86">
        <w:rPr>
          <w:lang w:val="en-GB" w:bidi="en-US"/>
        </w:rPr>
        <w:t>.</w:t>
      </w:r>
    </w:p>
    <w:p w14:paraId="3BD7BC87" w14:textId="77777777" w:rsidR="008F08BD" w:rsidRDefault="008F08BD" w:rsidP="008F08BD">
      <w:pPr>
        <w:pStyle w:val="heading1"/>
        <w:rPr>
          <w:lang w:val="en-GB"/>
        </w:rPr>
      </w:pPr>
      <w:r>
        <w:rPr>
          <w:lang w:val="en-GB"/>
        </w:rPr>
        <w:lastRenderedPageBreak/>
        <w:t>2.5 Implementation of the FENIX CBM assessment matrixes</w:t>
      </w:r>
    </w:p>
    <w:p w14:paraId="5E6865FA" w14:textId="77777777" w:rsidR="008F08BD" w:rsidRDefault="008F08BD" w:rsidP="008F08BD">
      <w:pPr>
        <w:pStyle w:val="p1a"/>
        <w:rPr>
          <w:lang w:val="en-GB" w:bidi="en-US"/>
        </w:rPr>
      </w:pPr>
      <w:r w:rsidRPr="00BE607C">
        <w:rPr>
          <w:lang w:val="en-GB"/>
        </w:rPr>
        <w:t xml:space="preserve">Once both CBMs and </w:t>
      </w:r>
      <w:r>
        <w:rPr>
          <w:lang w:val="en-GB"/>
        </w:rPr>
        <w:t>expected</w:t>
      </w:r>
      <w:r w:rsidRPr="00BE607C">
        <w:rPr>
          <w:lang w:val="en-GB"/>
        </w:rPr>
        <w:t xml:space="preserve"> industrial benefits were identified, the final stage was the integration of these views in a common</w:t>
      </w:r>
      <w:r>
        <w:rPr>
          <w:lang w:val="en-GB"/>
        </w:rPr>
        <w:t xml:space="preserve"> </w:t>
      </w:r>
      <w:r w:rsidRPr="00BE607C">
        <w:rPr>
          <w:lang w:val="en-GB"/>
        </w:rPr>
        <w:t xml:space="preserve">matrix. </w:t>
      </w:r>
      <w:r>
        <w:rPr>
          <w:lang w:val="en-GB"/>
        </w:rPr>
        <w:t xml:space="preserve">However, </w:t>
      </w:r>
      <w:r w:rsidRPr="00BF4A1A">
        <w:rPr>
          <w:lang w:val="en-GB" w:bidi="en-US"/>
        </w:rPr>
        <w:t xml:space="preserve">before </w:t>
      </w:r>
      <w:r>
        <w:rPr>
          <w:lang w:val="en-GB" w:bidi="en-US"/>
        </w:rPr>
        <w:t>integrating</w:t>
      </w:r>
      <w:r w:rsidRPr="00BF4A1A">
        <w:rPr>
          <w:lang w:val="en-GB" w:bidi="en-US"/>
        </w:rPr>
        <w:t xml:space="preserve"> CBMs and industrial</w:t>
      </w:r>
      <w:r>
        <w:rPr>
          <w:lang w:val="en-GB" w:bidi="en-US"/>
        </w:rPr>
        <w:t xml:space="preserve"> </w:t>
      </w:r>
      <w:r w:rsidRPr="00BF4A1A">
        <w:rPr>
          <w:lang w:val="en-GB" w:bidi="en-US"/>
        </w:rPr>
        <w:t>benefits</w:t>
      </w:r>
      <w:r>
        <w:rPr>
          <w:lang w:val="en-GB" w:bidi="en-US"/>
        </w:rPr>
        <w:t>,</w:t>
      </w:r>
      <w:r w:rsidRPr="00BF4A1A">
        <w:rPr>
          <w:lang w:val="en-GB" w:bidi="en-US"/>
        </w:rPr>
        <w:t xml:space="preserve"> the focus of analysis</w:t>
      </w:r>
      <w:r>
        <w:rPr>
          <w:lang w:val="en-GB" w:bidi="en-US"/>
        </w:rPr>
        <w:t xml:space="preserve"> must be selected, given the multiple perspective of</w:t>
      </w:r>
      <w:r w:rsidRPr="00BF4A1A">
        <w:rPr>
          <w:lang w:val="en-GB" w:bidi="en-US"/>
        </w:rPr>
        <w:t xml:space="preserve"> FENIX considering both p</w:t>
      </w:r>
      <w:r>
        <w:rPr>
          <w:lang w:val="en-GB" w:bidi="en-US"/>
        </w:rPr>
        <w:t>ilot</w:t>
      </w:r>
      <w:r w:rsidRPr="00BF4A1A">
        <w:rPr>
          <w:lang w:val="en-GB" w:bidi="en-US"/>
        </w:rPr>
        <w:t xml:space="preserve"> plant</w:t>
      </w:r>
      <w:r>
        <w:rPr>
          <w:lang w:val="en-GB" w:bidi="en-US"/>
        </w:rPr>
        <w:t>s</w:t>
      </w:r>
      <w:r w:rsidRPr="00BF4A1A">
        <w:rPr>
          <w:lang w:val="en-GB" w:bidi="en-US"/>
        </w:rPr>
        <w:t xml:space="preserve"> and final</w:t>
      </w:r>
      <w:r>
        <w:rPr>
          <w:lang w:val="en-GB" w:bidi="en-US"/>
        </w:rPr>
        <w:t xml:space="preserve"> </w:t>
      </w:r>
      <w:r w:rsidRPr="00BF4A1A">
        <w:rPr>
          <w:lang w:val="en-GB" w:bidi="en-US"/>
        </w:rPr>
        <w:t>product</w:t>
      </w:r>
      <w:r>
        <w:rPr>
          <w:lang w:val="en-GB" w:bidi="en-US"/>
        </w:rPr>
        <w:t>s</w:t>
      </w:r>
      <w:r w:rsidRPr="00BF4A1A">
        <w:rPr>
          <w:lang w:val="en-GB" w:bidi="en-US"/>
        </w:rPr>
        <w:t>.</w:t>
      </w:r>
    </w:p>
    <w:p w14:paraId="661D06FA" w14:textId="77777777" w:rsidR="008F08BD" w:rsidRDefault="008F08BD" w:rsidP="008F08BD">
      <w:pPr>
        <w:rPr>
          <w:lang w:val="en-GB" w:bidi="en-US"/>
        </w:rPr>
      </w:pPr>
      <w:r w:rsidRPr="00FE3574">
        <w:rPr>
          <w:lang w:val="en-GB" w:bidi="en-US"/>
        </w:rPr>
        <w:t>Starting with the p</w:t>
      </w:r>
      <w:r>
        <w:rPr>
          <w:lang w:val="en-GB" w:bidi="en-US"/>
        </w:rPr>
        <w:t>ilot</w:t>
      </w:r>
      <w:r w:rsidRPr="00FE3574">
        <w:rPr>
          <w:lang w:val="en-GB" w:bidi="en-US"/>
        </w:rPr>
        <w:t xml:space="preserve"> plant view,</w:t>
      </w:r>
      <w:r>
        <w:rPr>
          <w:lang w:val="en-GB" w:bidi="en-US"/>
        </w:rPr>
        <w:t xml:space="preserve"> </w:t>
      </w:r>
      <w:r w:rsidRPr="00FE3574">
        <w:rPr>
          <w:lang w:val="en-GB" w:bidi="en-US"/>
        </w:rPr>
        <w:t xml:space="preserve">three kinds of PSS-based </w:t>
      </w:r>
      <w:r>
        <w:rPr>
          <w:lang w:val="en-GB" w:bidi="en-US"/>
        </w:rPr>
        <w:t>CBMs can be adopted</w:t>
      </w:r>
      <w:r w:rsidRPr="00FE3574">
        <w:rPr>
          <w:lang w:val="en-GB" w:bidi="en-US"/>
        </w:rPr>
        <w:t xml:space="preserve"> </w:t>
      </w:r>
      <w:r>
        <w:rPr>
          <w:lang w:val="en-GB" w:bidi="en-US"/>
        </w:rPr>
        <w:t>(</w:t>
      </w:r>
      <w:proofErr w:type="gramStart"/>
      <w:r>
        <w:rPr>
          <w:lang w:val="en-GB" w:bidi="en-US"/>
        </w:rPr>
        <w:t>e.g.</w:t>
      </w:r>
      <w:proofErr w:type="gramEnd"/>
      <w:r>
        <w:rPr>
          <w:lang w:val="en-GB" w:bidi="en-US"/>
        </w:rPr>
        <w:t xml:space="preserve"> </w:t>
      </w:r>
      <w:r w:rsidRPr="00FE3574">
        <w:rPr>
          <w:lang w:val="en-GB" w:bidi="en-US"/>
        </w:rPr>
        <w:t>product-oriented, use-oriented and result-oriented ones</w:t>
      </w:r>
      <w:r>
        <w:rPr>
          <w:lang w:val="en-GB" w:bidi="en-US"/>
        </w:rPr>
        <w:t>)</w:t>
      </w:r>
      <w:r w:rsidRPr="00FE3574">
        <w:rPr>
          <w:lang w:val="en-GB" w:bidi="en-US"/>
        </w:rPr>
        <w:t xml:space="preserve">. Firstly, a product-oriented BM could be adopted </w:t>
      </w:r>
      <w:r>
        <w:rPr>
          <w:lang w:val="en-GB" w:bidi="en-US"/>
        </w:rPr>
        <w:t>in Case 1</w:t>
      </w:r>
      <w:r w:rsidRPr="00FE3574">
        <w:rPr>
          <w:lang w:val="en-GB" w:bidi="en-US"/>
        </w:rPr>
        <w:t xml:space="preserve"> (</w:t>
      </w:r>
      <w:r>
        <w:rPr>
          <w:lang w:val="en-GB" w:bidi="en-US"/>
        </w:rPr>
        <w:t>see Section 2.4 for details</w:t>
      </w:r>
      <w:r w:rsidRPr="00FE3574">
        <w:rPr>
          <w:lang w:val="en-GB" w:bidi="en-US"/>
        </w:rPr>
        <w:t xml:space="preserve">). Secondly, a use-oriented BM could be implemented </w:t>
      </w:r>
      <w:r>
        <w:rPr>
          <w:lang w:val="en-GB" w:bidi="en-US"/>
        </w:rPr>
        <w:t>in Case 3</w:t>
      </w:r>
      <w:r w:rsidRPr="00FE3574">
        <w:rPr>
          <w:lang w:val="en-GB" w:bidi="en-US"/>
        </w:rPr>
        <w:t>. Finally, a result-oriented BM could be adopted</w:t>
      </w:r>
      <w:r>
        <w:rPr>
          <w:lang w:val="en-GB" w:bidi="en-US"/>
        </w:rPr>
        <w:t xml:space="preserve"> in Case 2.</w:t>
      </w:r>
    </w:p>
    <w:p w14:paraId="02A198E3" w14:textId="1C8B3178" w:rsidR="008F08BD" w:rsidRDefault="008F08BD" w:rsidP="008F08BD">
      <w:pPr>
        <w:rPr>
          <w:lang w:val="en-GB" w:bidi="en-US"/>
        </w:rPr>
      </w:pPr>
      <w:r>
        <w:rPr>
          <w:lang w:val="en-GB" w:bidi="en-US"/>
        </w:rPr>
        <w:t>C</w:t>
      </w:r>
      <w:r w:rsidRPr="000F79E2">
        <w:rPr>
          <w:lang w:val="en-GB" w:bidi="en-US"/>
        </w:rPr>
        <w:t>onsider</w:t>
      </w:r>
      <w:r>
        <w:rPr>
          <w:lang w:val="en-GB" w:bidi="en-US"/>
        </w:rPr>
        <w:t>ing</w:t>
      </w:r>
      <w:r w:rsidRPr="000F79E2">
        <w:rPr>
          <w:lang w:val="en-GB" w:bidi="en-US"/>
        </w:rPr>
        <w:t xml:space="preserve"> the final product view</w:t>
      </w:r>
      <w:r>
        <w:rPr>
          <w:lang w:val="en-GB" w:bidi="en-US"/>
        </w:rPr>
        <w:t>,</w:t>
      </w:r>
      <w:r w:rsidRPr="000F79E2">
        <w:rPr>
          <w:lang w:val="en-GB" w:bidi="en-US"/>
        </w:rPr>
        <w:t xml:space="preserve"> just two out of three kinds of PSS-based </w:t>
      </w:r>
      <w:r>
        <w:rPr>
          <w:lang w:val="en-GB" w:bidi="en-US"/>
        </w:rPr>
        <w:t>CBMs can be adopted</w:t>
      </w:r>
      <w:r w:rsidRPr="000F79E2">
        <w:rPr>
          <w:lang w:val="en-GB" w:bidi="en-US"/>
        </w:rPr>
        <w:t xml:space="preserve"> </w:t>
      </w:r>
      <w:r>
        <w:rPr>
          <w:lang w:val="en-GB" w:bidi="en-US"/>
        </w:rPr>
        <w:t>(</w:t>
      </w:r>
      <w:proofErr w:type="gramStart"/>
      <w:r>
        <w:rPr>
          <w:lang w:val="en-GB" w:bidi="en-US"/>
        </w:rPr>
        <w:t>e.g.</w:t>
      </w:r>
      <w:proofErr w:type="gramEnd"/>
      <w:r>
        <w:rPr>
          <w:lang w:val="en-GB" w:bidi="en-US"/>
        </w:rPr>
        <w:t xml:space="preserve"> </w:t>
      </w:r>
      <w:r w:rsidRPr="000F79E2">
        <w:rPr>
          <w:lang w:val="en-GB" w:bidi="en-US"/>
        </w:rPr>
        <w:t>product-oriented and result-oriented ones</w:t>
      </w:r>
      <w:r>
        <w:rPr>
          <w:lang w:val="en-GB" w:bidi="en-US"/>
        </w:rPr>
        <w:t>)</w:t>
      </w:r>
      <w:r w:rsidRPr="000F79E2">
        <w:rPr>
          <w:lang w:val="en-GB" w:bidi="en-US"/>
        </w:rPr>
        <w:t xml:space="preserve">. Firstly, a product-oriented BM could be adopted </w:t>
      </w:r>
      <w:r>
        <w:rPr>
          <w:lang w:val="en-GB" w:bidi="en-US"/>
        </w:rPr>
        <w:t>in Case 1</w:t>
      </w:r>
      <w:r w:rsidRPr="000F79E2">
        <w:rPr>
          <w:lang w:val="en-GB" w:bidi="en-US"/>
        </w:rPr>
        <w:t xml:space="preserve"> (</w:t>
      </w:r>
      <w:r>
        <w:rPr>
          <w:lang w:val="en-GB" w:bidi="en-US"/>
        </w:rPr>
        <w:t>see Section 2.4 for details</w:t>
      </w:r>
      <w:r w:rsidRPr="000F79E2">
        <w:rPr>
          <w:lang w:val="en-GB" w:bidi="en-US"/>
        </w:rPr>
        <w:t xml:space="preserve">). Finally, a result-oriented BM could be adopted </w:t>
      </w:r>
      <w:r>
        <w:rPr>
          <w:lang w:val="en-GB" w:bidi="en-US"/>
        </w:rPr>
        <w:t>in Case 2</w:t>
      </w:r>
      <w:r w:rsidRPr="000F79E2">
        <w:rPr>
          <w:lang w:val="en-GB" w:bidi="en-US"/>
        </w:rPr>
        <w:t>.</w:t>
      </w:r>
      <w:r>
        <w:rPr>
          <w:lang w:val="en-GB" w:bidi="en-US"/>
        </w:rPr>
        <w:t xml:space="preserve"> Given the three pilots implemented within FENIX (all of them starting from electronic scraps sent to the plant by either private or industrial customers), six different CBMs could be adopted. Two of them are related with </w:t>
      </w:r>
      <w:r w:rsidRPr="000F79E2">
        <w:rPr>
          <w:lang w:val="en-GB" w:bidi="en-US"/>
        </w:rPr>
        <w:t xml:space="preserve">the production of green metal powders for </w:t>
      </w:r>
      <w:r>
        <w:rPr>
          <w:lang w:val="en-GB" w:bidi="en-US"/>
        </w:rPr>
        <w:t>AM</w:t>
      </w:r>
      <w:r w:rsidRPr="000F79E2">
        <w:rPr>
          <w:lang w:val="en-GB" w:bidi="en-US"/>
        </w:rPr>
        <w:t xml:space="preserve"> processes</w:t>
      </w:r>
      <w:r>
        <w:rPr>
          <w:lang w:val="en-GB" w:bidi="en-US"/>
        </w:rPr>
        <w:t xml:space="preserve">, two are </w:t>
      </w:r>
      <w:r w:rsidRPr="00113585">
        <w:rPr>
          <w:lang w:val="en-GB" w:bidi="en-US"/>
        </w:rPr>
        <w:t xml:space="preserve">related with the production of 3D printed jewels from </w:t>
      </w:r>
      <w:proofErr w:type="gramStart"/>
      <w:r w:rsidRPr="00113585">
        <w:rPr>
          <w:lang w:val="en-GB" w:bidi="en-US"/>
        </w:rPr>
        <w:t>green precious</w:t>
      </w:r>
      <w:proofErr w:type="gramEnd"/>
      <w:r w:rsidRPr="00113585">
        <w:rPr>
          <w:lang w:val="en-GB" w:bidi="en-US"/>
        </w:rPr>
        <w:t xml:space="preserve"> metals</w:t>
      </w:r>
      <w:r>
        <w:rPr>
          <w:lang w:val="en-GB" w:bidi="en-US"/>
        </w:rPr>
        <w:t xml:space="preserve"> and two are </w:t>
      </w:r>
      <w:r w:rsidRPr="00F87BEC">
        <w:rPr>
          <w:lang w:val="en-GB" w:bidi="en-US"/>
        </w:rPr>
        <w:t>related with the production of either Additive Manufacturing (AM) materials or 3D printing filaments from wasted materials.</w:t>
      </w:r>
      <w:r>
        <w:rPr>
          <w:lang w:val="en-GB" w:bidi="en-US"/>
        </w:rPr>
        <w:t xml:space="preserve"> </w:t>
      </w:r>
      <w:r w:rsidRPr="00A97396">
        <w:rPr>
          <w:lang w:val="en-GB" w:bidi="en-US"/>
        </w:rPr>
        <w:t xml:space="preserve">What is evident from tables </w:t>
      </w:r>
      <w:r>
        <w:rPr>
          <w:lang w:val="en-GB" w:bidi="en-US"/>
        </w:rPr>
        <w:t xml:space="preserve">reported in </w:t>
      </w:r>
      <w:r w:rsidRPr="004D1D41">
        <w:rPr>
          <w:lang w:bidi="en-US"/>
        </w:rPr>
        <w:fldChar w:fldCharType="begin" w:fldLock="1"/>
      </w:r>
      <w:r w:rsidR="001355F3">
        <w:rPr>
          <w:lang w:bidi="en-US"/>
        </w:rPr>
        <w:instrText>ADDIN CSL_CITATION {"citationItems":[{"id":"ITEM-1","itemData":{"DOI":"10.1016/j.jclepro.2019.05.310","ISSN":"09596526","author":[{"dropping-particle":"","family":"Rosa","given":"Paolo","non-dropping-particle":"","parse-names":false,"suffix":""},{"dropping-particle":"","family":"Sassanelli","given":"Claudio","non-dropping-particle":"","parse-names":false,"suffix":""},{"dropping-particle":"","family":"Terzi","given":"Sergio","non-dropping-particle":"","parse-names":false,"suffix":""}],"container-title":"Journal of Cleaner Production","id":"ITEM-1","issued":{"date-parts":[["2019"]]},"page":"940-952","publisher":"Elsevier B.V.","title":"Circular Business Models versus Circular Benefits: An Assessment in the Waste from Electrical and Electronic Equipments Sector","type":"article-journal","volume":"231"},"uris":["http://www.mendeley.com/documents/?uuid=5dac3ff0-8c3c-4c11-8018-1a154369ad91","http://www.mendeley.com/documents/?uuid=a623c18f-1888-4223-b47f-3a05d9fb76ff"]}],"mendeley":{"formattedCitation":"(Rosa et al., 2019a)","manualFormatting":"Rosa et al. (2019a)","plainTextFormattedCitation":"(Rosa et al., 2019a)","previouslyFormattedCitation":"(Rosa et al., 2019a)"},"properties":{"noteIndex":0},"schema":"https://github.com/citation-style-language/schema/raw/master/csl-citation.json"}</w:instrText>
      </w:r>
      <w:r w:rsidRPr="004D1D41">
        <w:rPr>
          <w:lang w:bidi="en-US"/>
        </w:rPr>
        <w:fldChar w:fldCharType="separate"/>
      </w:r>
      <w:r w:rsidRPr="004D1D41">
        <w:rPr>
          <w:noProof/>
          <w:lang w:bidi="en-US"/>
        </w:rPr>
        <w:t xml:space="preserve">Rosa et al. </w:t>
      </w:r>
      <w:r w:rsidR="001355F3">
        <w:rPr>
          <w:noProof/>
          <w:lang w:bidi="en-US"/>
        </w:rPr>
        <w:t>(</w:t>
      </w:r>
      <w:r w:rsidRPr="004D1D41">
        <w:rPr>
          <w:noProof/>
          <w:lang w:bidi="en-US"/>
        </w:rPr>
        <w:t>2019a)</w:t>
      </w:r>
      <w:r w:rsidRPr="004D1D41">
        <w:rPr>
          <w:lang w:bidi="en-US"/>
        </w:rPr>
        <w:fldChar w:fldCharType="end"/>
      </w:r>
      <w:r>
        <w:rPr>
          <w:lang w:bidi="en-US"/>
        </w:rPr>
        <w:t xml:space="preserve"> </w:t>
      </w:r>
      <w:r w:rsidRPr="00A97396">
        <w:rPr>
          <w:lang w:val="en-GB" w:bidi="en-US"/>
        </w:rPr>
        <w:t xml:space="preserve">is </w:t>
      </w:r>
      <w:r>
        <w:rPr>
          <w:lang w:val="en-GB" w:bidi="en-US"/>
        </w:rPr>
        <w:t>the absence of</w:t>
      </w:r>
      <w:r w:rsidRPr="00A97396">
        <w:rPr>
          <w:lang w:val="en-GB" w:bidi="en-US"/>
        </w:rPr>
        <w:t xml:space="preserve"> a CBM offering better chances to fill in great part of the expected industrial benefits. Instead, use-</w:t>
      </w:r>
      <w:proofErr w:type="gramStart"/>
      <w:r w:rsidRPr="00A97396">
        <w:rPr>
          <w:lang w:val="en-GB" w:bidi="en-US"/>
        </w:rPr>
        <w:t>oriented</w:t>
      </w:r>
      <w:proofErr w:type="gramEnd"/>
      <w:r w:rsidRPr="00A97396">
        <w:rPr>
          <w:lang w:val="en-GB" w:bidi="en-US"/>
        </w:rPr>
        <w:t xml:space="preserve"> and result-oriented PSSs will allow to better cope with social aspects related with CE.</w:t>
      </w:r>
    </w:p>
    <w:p w14:paraId="0C72FDCE" w14:textId="77777777" w:rsidR="008F08BD" w:rsidRPr="00A97396" w:rsidRDefault="008F08BD" w:rsidP="008F08BD">
      <w:pPr>
        <w:pStyle w:val="heading1"/>
        <w:rPr>
          <w:lang w:val="en-GB"/>
        </w:rPr>
      </w:pPr>
      <w:r>
        <w:rPr>
          <w:lang w:val="en-GB"/>
        </w:rPr>
        <w:t>2.6 Conclusions</w:t>
      </w:r>
    </w:p>
    <w:p w14:paraId="327F8A4D" w14:textId="77777777" w:rsidR="008F08BD" w:rsidRPr="00BC6520" w:rsidRDefault="008F08BD" w:rsidP="008F08BD">
      <w:pPr>
        <w:rPr>
          <w:lang w:val="en-GB" w:bidi="en-US"/>
        </w:rPr>
        <w:sectPr w:rsidR="008F08BD" w:rsidRPr="00BC6520" w:rsidSect="00EC73B9">
          <w:pgSz w:w="11906" w:h="16838" w:code="9"/>
          <w:pgMar w:top="2948" w:right="2665" w:bottom="3231" w:left="2608" w:header="2381" w:footer="709" w:gutter="0"/>
          <w:cols w:space="720"/>
          <w:noEndnote/>
          <w:titlePg/>
          <w:docGrid w:linePitch="326"/>
        </w:sectPr>
      </w:pPr>
      <w:r>
        <w:rPr>
          <w:lang w:val="en-GB" w:bidi="en-US"/>
        </w:rPr>
        <w:t>Chapter 2</w:t>
      </w:r>
      <w:r w:rsidRPr="00294664">
        <w:rPr>
          <w:lang w:val="en-GB" w:bidi="en-US"/>
        </w:rPr>
        <w:t xml:space="preserve"> </w:t>
      </w:r>
      <w:r>
        <w:rPr>
          <w:lang w:val="en-GB" w:bidi="en-US"/>
        </w:rPr>
        <w:t>presented the</w:t>
      </w:r>
      <w:r w:rsidRPr="00294664">
        <w:rPr>
          <w:lang w:val="en-GB" w:bidi="en-US"/>
        </w:rPr>
        <w:t xml:space="preserve"> three Circular Business Models (CBMs) to be adopted within the FENIX project. These CBMs were identified in product-oriented, use-</w:t>
      </w:r>
      <w:proofErr w:type="gramStart"/>
      <w:r w:rsidRPr="00294664">
        <w:rPr>
          <w:lang w:val="en-GB" w:bidi="en-US"/>
        </w:rPr>
        <w:t>oriented</w:t>
      </w:r>
      <w:proofErr w:type="gramEnd"/>
      <w:r w:rsidRPr="00294664">
        <w:rPr>
          <w:lang w:val="en-GB" w:bidi="en-US"/>
        </w:rPr>
        <w:t xml:space="preserve"> and result-oriented PSSs. For their identification, a multi-perspective procedure has been adopted. First, a state-of-the-art analysis allowed to define the most common types of CBMs and their classification methods. Secondly, a set of dedicated interviews with all the FENIX partners allowed the definition of the most important industrial benefits expected from the adoption of circular practices. Together, the integration of both the scientific and industrial perspective allowed the identification of the most suitable CBMs to consider within the FENIX project, distinguishing among CBMs related to the pilot plant itself and CBMs related with specific products coming from the pilot plant.</w:t>
      </w:r>
    </w:p>
    <w:p w14:paraId="61E97ADC" w14:textId="77777777" w:rsidR="008F08BD" w:rsidRDefault="008F08BD" w:rsidP="008F08BD">
      <w:pPr>
        <w:pStyle w:val="heading1"/>
        <w:rPr>
          <w:lang w:val="en-GB"/>
        </w:rPr>
      </w:pPr>
      <w:r>
        <w:rPr>
          <w:lang w:val="en-GB"/>
        </w:rPr>
        <w:lastRenderedPageBreak/>
        <w:t>References</w:t>
      </w:r>
    </w:p>
    <w:p w14:paraId="0754934D" w14:textId="4FD5C27E" w:rsidR="005F0124" w:rsidRPr="005F0124" w:rsidRDefault="008F08BD" w:rsidP="005F0124">
      <w:pPr>
        <w:widowControl w:val="0"/>
        <w:ind w:left="480" w:hanging="480"/>
        <w:rPr>
          <w:rFonts w:cs="Times"/>
          <w:noProof/>
          <w:szCs w:val="24"/>
        </w:rPr>
      </w:pPr>
      <w:r>
        <w:rPr>
          <w:lang w:val="en-GB"/>
        </w:rPr>
        <w:fldChar w:fldCharType="begin" w:fldLock="1"/>
      </w:r>
      <w:r>
        <w:rPr>
          <w:lang w:val="en-GB"/>
        </w:rPr>
        <w:instrText xml:space="preserve">ADDIN Mendeley Bibliography CSL_BIBLIOGRAPHY </w:instrText>
      </w:r>
      <w:r>
        <w:rPr>
          <w:lang w:val="en-GB"/>
        </w:rPr>
        <w:fldChar w:fldCharType="separate"/>
      </w:r>
      <w:r w:rsidR="005F0124" w:rsidRPr="005F0124">
        <w:rPr>
          <w:rFonts w:cs="Times"/>
          <w:noProof/>
          <w:szCs w:val="24"/>
        </w:rPr>
        <w:t xml:space="preserve">OECD - European Cooperation and Economic Development Organization. (2017). </w:t>
      </w:r>
      <w:r w:rsidR="005F0124" w:rsidRPr="005F0124">
        <w:rPr>
          <w:rFonts w:cs="Times"/>
          <w:i/>
          <w:iCs/>
          <w:noProof/>
          <w:szCs w:val="24"/>
        </w:rPr>
        <w:t>New Business Models for the Circular Economy - Opportunities and Challenges from a Policy Perspective</w:t>
      </w:r>
      <w:r w:rsidR="005F0124" w:rsidRPr="005F0124">
        <w:rPr>
          <w:rFonts w:cs="Times"/>
          <w:noProof/>
          <w:szCs w:val="24"/>
        </w:rPr>
        <w:t xml:space="preserve"> (Issue June).</w:t>
      </w:r>
    </w:p>
    <w:p w14:paraId="52A3A9D8" w14:textId="77777777" w:rsidR="005F0124" w:rsidRPr="005F0124" w:rsidRDefault="005F0124" w:rsidP="005F0124">
      <w:pPr>
        <w:widowControl w:val="0"/>
        <w:ind w:left="480" w:hanging="480"/>
        <w:rPr>
          <w:rFonts w:cs="Times"/>
          <w:noProof/>
          <w:szCs w:val="24"/>
        </w:rPr>
      </w:pPr>
      <w:r w:rsidRPr="005F0124">
        <w:rPr>
          <w:rFonts w:cs="Times"/>
          <w:noProof/>
          <w:szCs w:val="24"/>
        </w:rPr>
        <w:t xml:space="preserve">Osterwalder, A., &amp; Pigneur, Y. (2010). </w:t>
      </w:r>
      <w:r w:rsidRPr="005F0124">
        <w:rPr>
          <w:rFonts w:cs="Times"/>
          <w:i/>
          <w:iCs/>
          <w:noProof/>
          <w:szCs w:val="24"/>
        </w:rPr>
        <w:t>Business Model Generation</w:t>
      </w:r>
      <w:r w:rsidRPr="005F0124">
        <w:rPr>
          <w:rFonts w:cs="Times"/>
          <w:noProof/>
          <w:szCs w:val="24"/>
        </w:rPr>
        <w:t>. John Wiley &amp; Sons, Inc. https://doi.org/10.1017/CBO9781107415324.004</w:t>
      </w:r>
    </w:p>
    <w:p w14:paraId="6BB79823" w14:textId="77777777" w:rsidR="005F0124" w:rsidRPr="005F0124" w:rsidRDefault="005F0124" w:rsidP="005F0124">
      <w:pPr>
        <w:widowControl w:val="0"/>
        <w:ind w:left="480" w:hanging="480"/>
        <w:rPr>
          <w:rFonts w:cs="Times"/>
          <w:noProof/>
          <w:szCs w:val="24"/>
        </w:rPr>
      </w:pPr>
      <w:r w:rsidRPr="005F0124">
        <w:rPr>
          <w:rFonts w:cs="Times"/>
          <w:noProof/>
          <w:szCs w:val="24"/>
        </w:rPr>
        <w:t xml:space="preserve">Rosa, P., Sassanelli, C., &amp; Terzi, S. (2019a). Circular Business Models versus Circular Benefits: An Assessment in the Waste from Electrical and Electronic Equipments Sector. </w:t>
      </w:r>
      <w:r w:rsidRPr="005F0124">
        <w:rPr>
          <w:rFonts w:cs="Times"/>
          <w:i/>
          <w:iCs/>
          <w:noProof/>
          <w:szCs w:val="24"/>
        </w:rPr>
        <w:t>Journal of Cleaner Production</w:t>
      </w:r>
      <w:r w:rsidRPr="005F0124">
        <w:rPr>
          <w:rFonts w:cs="Times"/>
          <w:noProof/>
          <w:szCs w:val="24"/>
        </w:rPr>
        <w:t xml:space="preserve">, </w:t>
      </w:r>
      <w:r w:rsidRPr="005F0124">
        <w:rPr>
          <w:rFonts w:cs="Times"/>
          <w:i/>
          <w:iCs/>
          <w:noProof/>
          <w:szCs w:val="24"/>
        </w:rPr>
        <w:t>231</w:t>
      </w:r>
      <w:r w:rsidRPr="005F0124">
        <w:rPr>
          <w:rFonts w:cs="Times"/>
          <w:noProof/>
          <w:szCs w:val="24"/>
        </w:rPr>
        <w:t>, 940–952. https://doi.org/10.1016/j.jclepro.2019.05.310</w:t>
      </w:r>
    </w:p>
    <w:p w14:paraId="7D545A4B" w14:textId="77777777" w:rsidR="005F0124" w:rsidRPr="005F0124" w:rsidRDefault="005F0124" w:rsidP="005F0124">
      <w:pPr>
        <w:widowControl w:val="0"/>
        <w:ind w:left="480" w:hanging="480"/>
        <w:rPr>
          <w:rFonts w:cs="Times"/>
          <w:noProof/>
          <w:szCs w:val="24"/>
        </w:rPr>
      </w:pPr>
      <w:r w:rsidRPr="005F0124">
        <w:rPr>
          <w:rFonts w:cs="Times"/>
          <w:noProof/>
          <w:szCs w:val="24"/>
        </w:rPr>
        <w:t xml:space="preserve">Rosa, P., Sassanelli, C., &amp; Terzi, S. (2019b). Towards Circular Business Models: A systematic literature review on classification frameworks and archetypes. </w:t>
      </w:r>
      <w:r w:rsidRPr="005F0124">
        <w:rPr>
          <w:rFonts w:cs="Times"/>
          <w:i/>
          <w:iCs/>
          <w:noProof/>
          <w:szCs w:val="24"/>
        </w:rPr>
        <w:t>Journal of Cleaner Production</w:t>
      </w:r>
      <w:r w:rsidRPr="005F0124">
        <w:rPr>
          <w:rFonts w:cs="Times"/>
          <w:noProof/>
          <w:szCs w:val="24"/>
        </w:rPr>
        <w:t xml:space="preserve">, </w:t>
      </w:r>
      <w:r w:rsidRPr="005F0124">
        <w:rPr>
          <w:rFonts w:cs="Times"/>
          <w:i/>
          <w:iCs/>
          <w:noProof/>
          <w:szCs w:val="24"/>
        </w:rPr>
        <w:t>236</w:t>
      </w:r>
      <w:r w:rsidRPr="005F0124">
        <w:rPr>
          <w:rFonts w:cs="Times"/>
          <w:noProof/>
          <w:szCs w:val="24"/>
        </w:rPr>
        <w:t>(117696), 1–17. https://doi.org/10.1016/j.jclepro.2019.117696</w:t>
      </w:r>
    </w:p>
    <w:p w14:paraId="2818D886" w14:textId="77777777" w:rsidR="005F0124" w:rsidRPr="005F0124" w:rsidRDefault="005F0124" w:rsidP="005F0124">
      <w:pPr>
        <w:widowControl w:val="0"/>
        <w:ind w:left="480" w:hanging="480"/>
        <w:rPr>
          <w:rFonts w:cs="Times"/>
          <w:noProof/>
        </w:rPr>
      </w:pPr>
      <w:r w:rsidRPr="005F0124">
        <w:rPr>
          <w:rFonts w:cs="Times"/>
          <w:noProof/>
          <w:szCs w:val="24"/>
        </w:rPr>
        <w:t xml:space="preserve">The Ellen MacArthur Foundation. (2015). </w:t>
      </w:r>
      <w:r w:rsidRPr="005F0124">
        <w:rPr>
          <w:rFonts w:cs="Times"/>
          <w:i/>
          <w:iCs/>
          <w:noProof/>
          <w:szCs w:val="24"/>
        </w:rPr>
        <w:t>Towards a Circular Economy: Business Rationale for an Accelerated Transition</w:t>
      </w:r>
      <w:r w:rsidRPr="005F0124">
        <w:rPr>
          <w:rFonts w:cs="Times"/>
          <w:noProof/>
          <w:szCs w:val="24"/>
        </w:rPr>
        <w:t>. https://doi.org/2012-04-03</w:t>
      </w:r>
    </w:p>
    <w:p w14:paraId="4CA72732" w14:textId="742F6F84" w:rsidR="00B97ED3" w:rsidRPr="00B97ED3" w:rsidRDefault="008F08BD" w:rsidP="008F08BD">
      <w:r>
        <w:rPr>
          <w:lang w:val="en-GB"/>
        </w:rPr>
        <w:fldChar w:fldCharType="end"/>
      </w:r>
    </w:p>
    <w:sectPr w:rsidR="00B97ED3" w:rsidRPr="00B97ED3">
      <w:headerReference w:type="even" r:id="rId11"/>
      <w:headerReference w:type="default" r:id="rId12"/>
      <w:type w:val="oddPage"/>
      <w:pgSz w:w="11906" w:h="16838" w:code="9"/>
      <w:pgMar w:top="2948" w:right="2665" w:bottom="3231" w:left="2608" w:header="2381" w:footer="709"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94D6D" w14:textId="77777777" w:rsidR="008D3B2E" w:rsidRDefault="008D3B2E">
      <w:r>
        <w:separator/>
      </w:r>
    </w:p>
  </w:endnote>
  <w:endnote w:type="continuationSeparator" w:id="0">
    <w:p w14:paraId="456D1E58" w14:textId="77777777" w:rsidR="008D3B2E" w:rsidRDefault="008D3B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w:panose1 w:val="02020603050405020304"/>
    <w:charset w:val="00"/>
    <w:family w:val="roman"/>
    <w:pitch w:val="variable"/>
    <w:sig w:usb0="E0002EFF" w:usb1="C000785B" w:usb2="00000009" w:usb3="00000000" w:csb0="000001FF" w:csb1="00000000"/>
    <w:embedRegular r:id="rId1" w:fontKey="{8052DCDF-E71A-4511-A371-287F2977283C}"/>
    <w:embedBold r:id="rId2" w:fontKey="{DACF4F52-30C1-4E1A-AC49-05EFAAA8334E}"/>
    <w:embedItalic r:id="rId3" w:fontKey="{3D54150B-90DA-4130-905D-08E3AA280077}"/>
    <w:embedBoldItalic r:id="rId4" w:fontKey="{DBFF7D94-A6EE-4ECE-8681-9BB42351200F}"/>
  </w:font>
  <w:font w:name="Times New Roman">
    <w:panose1 w:val="02020603050405020304"/>
    <w:charset w:val="00"/>
    <w:family w:val="roman"/>
    <w:pitch w:val="variable"/>
    <w:sig w:usb0="E0002EFF" w:usb1="C000785B" w:usb2="00000009" w:usb3="00000000" w:csb0="000001FF" w:csb1="00000000"/>
  </w:font>
  <w:font w:name="Tms Rmn">
    <w:panose1 w:val="02020603040505020304"/>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embedRegular r:id="rId5" w:fontKey="{B407CD01-CE8C-42C6-9DD9-31AE8366A555}"/>
  </w:font>
  <w:font w:name="Calibri Light">
    <w:panose1 w:val="020F0302020204030204"/>
    <w:charset w:val="00"/>
    <w:family w:val="swiss"/>
    <w:pitch w:val="variable"/>
    <w:sig w:usb0="E4002EFF" w:usb1="C000247B" w:usb2="00000009" w:usb3="00000000" w:csb0="000001FF" w:csb1="00000000"/>
    <w:embedRegular r:id="rId6" w:fontKey="{2B8E3304-1E4B-45FA-B300-0742356B93F0}"/>
  </w:font>
  <w:font w:name="Calibri">
    <w:panose1 w:val="020F0502020204030204"/>
    <w:charset w:val="00"/>
    <w:family w:val="swiss"/>
    <w:pitch w:val="variable"/>
    <w:sig w:usb0="E4002EFF" w:usb1="C000247B" w:usb2="00000009" w:usb3="00000000" w:csb0="000001FF" w:csb1="00000000"/>
    <w:embedRegular r:id="rId7" w:fontKey="{FD82F714-52C1-42B5-AF21-EB1267406D2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9C7244" w14:textId="77777777" w:rsidR="008D3B2E" w:rsidRDefault="008D3B2E">
      <w:pPr>
        <w:pStyle w:val="p1a"/>
      </w:pPr>
      <w:r>
        <w:separator/>
      </w:r>
    </w:p>
  </w:footnote>
  <w:footnote w:type="continuationSeparator" w:id="0">
    <w:p w14:paraId="06F99857" w14:textId="77777777" w:rsidR="008D3B2E" w:rsidRDefault="008D3B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60D98" w14:textId="18608356" w:rsidR="008F08BD" w:rsidRPr="00250479" w:rsidRDefault="008F08BD" w:rsidP="00943AC7">
    <w:pPr>
      <w:pStyle w:val="Runninghead-left"/>
      <w:rPr>
        <w:lang w:val="it-IT"/>
      </w:rPr>
    </w:pPr>
    <w:r>
      <w:fldChar w:fldCharType="begin"/>
    </w:r>
    <w:r w:rsidRPr="00911572">
      <w:rPr>
        <w:lang w:val="it-IT"/>
      </w:rPr>
      <w:instrText xml:space="preserve"> PAGE  \* MERGEFORMAT </w:instrText>
    </w:r>
    <w:r>
      <w:fldChar w:fldCharType="separate"/>
    </w:r>
    <w:r w:rsidR="001355F3">
      <w:rPr>
        <w:noProof/>
        <w:lang w:val="it-IT"/>
      </w:rPr>
      <w:t>4</w:t>
    </w:r>
    <w:r>
      <w:fldChar w:fldCharType="end"/>
    </w:r>
    <w:r w:rsidRPr="00911572">
      <w:rPr>
        <w:lang w:val="it-IT"/>
      </w:rPr>
      <w:t>      </w:t>
    </w:r>
    <w:r>
      <w:rPr>
        <w:lang w:val="it-IT"/>
      </w:rPr>
      <w:t xml:space="preserve">                                                                          </w:t>
    </w:r>
    <w:r>
      <w:fldChar w:fldCharType="begin"/>
    </w:r>
    <w:r w:rsidRPr="00911572">
      <w:rPr>
        <w:lang w:val="it-IT"/>
      </w:rPr>
      <w:instrText xml:space="preserve"> STYLEREF \l author \* MERGEFORMAT </w:instrText>
    </w:r>
    <w:r>
      <w:fldChar w:fldCharType="separate"/>
    </w:r>
    <w:r w:rsidR="006D42AE">
      <w:rPr>
        <w:noProof/>
        <w:lang w:val="it-IT"/>
      </w:rPr>
      <w:t>Paolo Rosa, Claudio Sassanelli, Sergio Terzi</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1148D0" w14:textId="240629AC" w:rsidR="008F08BD" w:rsidRDefault="008F08BD" w:rsidP="00EC73B9">
    <w:pPr>
      <w:pStyle w:val="Runninghead-right"/>
    </w:pPr>
    <w:r w:rsidRPr="00375274">
      <w:rPr>
        <w:lang w:val="it-IT"/>
      </w:rPr>
      <w:fldChar w:fldCharType="begin"/>
    </w:r>
    <w:r w:rsidRPr="00375274">
      <w:rPr>
        <w:lang w:val="en-GB"/>
      </w:rPr>
      <w:instrText xml:space="preserve"> STYLEREF \l title \* MERGEFORMAT </w:instrText>
    </w:r>
    <w:r w:rsidRPr="00375274">
      <w:rPr>
        <w:lang w:val="it-IT"/>
      </w:rPr>
      <w:fldChar w:fldCharType="separate"/>
    </w:r>
    <w:r w:rsidR="006D42AE">
      <w:rPr>
        <w:b/>
        <w:bCs/>
        <w:noProof/>
        <w:lang w:val="it-IT"/>
      </w:rPr>
      <w:t>Errore. Per applicare title al testo da visualizzare in questo punto, utilizzare la scheda Home.</w:t>
    </w:r>
    <w:r w:rsidRPr="00375274">
      <w:rPr>
        <w:lang w:val="it-IT"/>
      </w:rPr>
      <w:fldChar w:fldCharType="end"/>
    </w:r>
    <w:r w:rsidRPr="00C35D47">
      <w:rPr>
        <w:lang w:val="it-IT"/>
      </w:rPr>
      <w:t xml:space="preserve">                                                                                  </w:t>
    </w:r>
    <w:r>
      <w:rPr>
        <w:lang w:val="it-IT"/>
      </w:rPr>
      <w:fldChar w:fldCharType="begin"/>
    </w:r>
    <w:r w:rsidRPr="00C35D47">
      <w:rPr>
        <w:lang w:val="it-IT"/>
      </w:rPr>
      <w:instrText xml:space="preserve"> PAGE  \* MERGEFORMAT </w:instrText>
    </w:r>
    <w:r>
      <w:rPr>
        <w:lang w:val="it-IT"/>
      </w:rPr>
      <w:fldChar w:fldCharType="separate"/>
    </w:r>
    <w:r w:rsidR="001355F3" w:rsidRPr="001355F3">
      <w:rPr>
        <w:noProof/>
        <w:lang w:val="en-GB"/>
      </w:rPr>
      <w:t>7</w:t>
    </w:r>
    <w:r>
      <w:rPr>
        <w:lang w:val="it-I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EDECF8" w14:textId="77777777" w:rsidR="008F08BD" w:rsidRPr="00250479" w:rsidRDefault="008F08BD" w:rsidP="00ED77DB">
    <w:pPr>
      <w:pStyle w:val="Runninghead-left"/>
      <w:rPr>
        <w:lang w:val="it-IT"/>
      </w:rPr>
    </w:pPr>
  </w:p>
  <w:p w14:paraId="2BA8D9B6" w14:textId="77777777" w:rsidR="008F08BD" w:rsidRPr="00ED77DB" w:rsidRDefault="008F08BD">
    <w:pPr>
      <w:pStyle w:val="Intestazione"/>
      <w:rPr>
        <w:lang w:val="it-IT"/>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26D99D" w14:textId="56FF34EA" w:rsidR="00B97ED3" w:rsidRDefault="00B97ED3">
    <w:pPr>
      <w:pStyle w:val="Runninghead-left"/>
    </w:pPr>
    <w:r>
      <w:fldChar w:fldCharType="begin"/>
    </w:r>
    <w:r>
      <w:instrText xml:space="preserve"> PAGE  \* MERGEFORMAT </w:instrText>
    </w:r>
    <w:r>
      <w:fldChar w:fldCharType="separate"/>
    </w:r>
    <w:r w:rsidR="001355F3">
      <w:rPr>
        <w:noProof/>
      </w:rPr>
      <w:t>10</w:t>
    </w:r>
    <w:r>
      <w:fldChar w:fldCharType="end"/>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972CD7" w14:textId="1D4B9E8A" w:rsidR="00B97ED3" w:rsidRDefault="00B97ED3">
    <w:pPr>
      <w:pStyle w:val="Runninghead-right"/>
    </w:pPr>
    <w:r>
      <w:fldChar w:fldCharType="begin"/>
    </w:r>
    <w:r>
      <w:instrText xml:space="preserve"> PAGE  \* MERGEFORMAT </w:instrText>
    </w:r>
    <w:r>
      <w:fldChar w:fldCharType="separate"/>
    </w:r>
    <w:r w:rsidR="001355F3">
      <w:rPr>
        <w:noProof/>
      </w:rPr>
      <w:t>11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64C8CD70"/>
    <w:lvl w:ilvl="0">
      <w:numFmt w:val="bullet"/>
      <w:pStyle w:val="Subitem"/>
      <w:lvlText w:val="–"/>
      <w:lvlJc w:val="left"/>
      <w:pPr>
        <w:tabs>
          <w:tab w:val="num" w:pos="598"/>
        </w:tabs>
        <w:ind w:left="598" w:hanging="360"/>
      </w:pPr>
      <w:rPr>
        <w:rFonts w:ascii="Times" w:eastAsia="Times New Roman" w:hAnsi="Times" w:hint="default"/>
      </w:rPr>
    </w:lvl>
    <w:lvl w:ilvl="1">
      <w:numFmt w:val="none"/>
      <w:lvlText w:val=""/>
      <w:lvlJc w:val="left"/>
    </w:lvl>
    <w:lvl w:ilvl="2">
      <w:numFmt w:val="none"/>
      <w:lvlText w:val=""/>
      <w:lvlJc w:val="left"/>
    </w:lvl>
    <w:lvl w:ilvl="3">
      <w:numFmt w:val="decimal"/>
      <w:lvlText w:val="%4"/>
      <w:legacy w:legacy="1" w:legacySpace="0" w:legacyIndent="0"/>
      <w:lvlJc w:val="left"/>
      <w:rPr>
        <w:rFonts w:ascii="Tms Rmn" w:hAnsi="Tms Rmn" w:hint="default"/>
      </w:rPr>
    </w:lvl>
    <w:lvl w:ilvl="4">
      <w:numFmt w:val="decimal"/>
      <w:lvlText w:val="%5"/>
      <w:legacy w:legacy="1" w:legacySpace="0" w:legacyIndent="0"/>
      <w:lvlJc w:val="left"/>
      <w:rPr>
        <w:rFonts w:ascii="Tms Rmn" w:hAnsi="Tms Rmn" w:hint="default"/>
      </w:rPr>
    </w:lvl>
    <w:lvl w:ilvl="5">
      <w:numFmt w:val="decimal"/>
      <w:lvlText w:val="%6"/>
      <w:legacy w:legacy="1" w:legacySpace="0" w:legacyIndent="0"/>
      <w:lvlJc w:val="left"/>
      <w:rPr>
        <w:rFonts w:ascii="Tms Rmn" w:hAnsi="Tms Rmn" w:hint="default"/>
      </w:rPr>
    </w:lvl>
    <w:lvl w:ilvl="6">
      <w:numFmt w:val="decimal"/>
      <w:lvlText w:val="%7"/>
      <w:legacy w:legacy="1" w:legacySpace="0" w:legacyIndent="0"/>
      <w:lvlJc w:val="left"/>
      <w:rPr>
        <w:rFonts w:ascii="Tms Rmn" w:hAnsi="Tms Rmn" w:hint="default"/>
      </w:rPr>
    </w:lvl>
    <w:lvl w:ilvl="7">
      <w:numFmt w:val="decimal"/>
      <w:lvlText w:val="%8"/>
      <w:legacy w:legacy="1" w:legacySpace="0" w:legacyIndent="0"/>
      <w:lvlJc w:val="left"/>
      <w:rPr>
        <w:rFonts w:ascii="Tms Rmn" w:hAnsi="Tms Rmn" w:hint="default"/>
      </w:rPr>
    </w:lvl>
    <w:lvl w:ilvl="8">
      <w:numFmt w:val="decimal"/>
      <w:lvlText w:val="%9"/>
      <w:legacy w:legacy="1" w:legacySpace="0" w:legacyIndent="0"/>
      <w:lvlJc w:val="left"/>
      <w:rPr>
        <w:rFonts w:ascii="Tms Rmn" w:hAnsi="Tms Rmn" w:hint="default"/>
      </w:rPr>
    </w:lvl>
  </w:abstractNum>
  <w:abstractNum w:abstractNumId="1" w15:restartNumberingAfterBreak="0">
    <w:nsid w:val="FFFFFFFE"/>
    <w:multiLevelType w:val="singleLevel"/>
    <w:tmpl w:val="7A8E2DA8"/>
    <w:lvl w:ilvl="0">
      <w:numFmt w:val="decimal"/>
      <w:lvlText w:val="*"/>
      <w:lvlJc w:val="left"/>
    </w:lvl>
  </w:abstractNum>
  <w:abstractNum w:abstractNumId="2" w15:restartNumberingAfterBreak="0">
    <w:nsid w:val="130F5B59"/>
    <w:multiLevelType w:val="hybridMultilevel"/>
    <w:tmpl w:val="814E14C6"/>
    <w:lvl w:ilvl="0" w:tplc="0410000F">
      <w:start w:val="1"/>
      <w:numFmt w:val="decimal"/>
      <w:lvlText w:val="%1."/>
      <w:lvlJc w:val="left"/>
      <w:pPr>
        <w:tabs>
          <w:tab w:val="num" w:pos="238"/>
        </w:tabs>
        <w:ind w:left="238" w:hanging="238"/>
      </w:pPr>
      <w:rPr>
        <w:rFont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8DB5197"/>
    <w:multiLevelType w:val="hybridMultilevel"/>
    <w:tmpl w:val="BE1AA52A"/>
    <w:lvl w:ilvl="0" w:tplc="9BE2B4D4">
      <w:start w:val="1"/>
      <w:numFmt w:val="bullet"/>
      <w:lvlText w:val=""/>
      <w:lvlJc w:val="left"/>
      <w:pPr>
        <w:tabs>
          <w:tab w:val="num" w:pos="360"/>
        </w:tabs>
        <w:ind w:left="227" w:hanging="227"/>
      </w:pPr>
      <w:rPr>
        <w:rFonts w:ascii="Symbol" w:hAnsi="Symbol" w:hint="default"/>
        <w:sz w:val="22"/>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C5811A9"/>
    <w:multiLevelType w:val="hybridMultilevel"/>
    <w:tmpl w:val="0128A344"/>
    <w:lvl w:ilvl="0" w:tplc="5B484A84">
      <w:start w:val="1"/>
      <w:numFmt w:val="bullet"/>
      <w:pStyle w:val="BulletItem"/>
      <w:lvlText w:val=""/>
      <w:lvlJc w:val="left"/>
      <w:pPr>
        <w:tabs>
          <w:tab w:val="num" w:pos="238"/>
        </w:tabs>
        <w:ind w:left="238" w:hanging="238"/>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7120F89"/>
    <w:multiLevelType w:val="singleLevel"/>
    <w:tmpl w:val="0EA0939C"/>
    <w:lvl w:ilvl="0">
      <w:start w:val="1"/>
      <w:numFmt w:val="decimal"/>
      <w:lvlText w:val="%1."/>
      <w:legacy w:legacy="1" w:legacySpace="0" w:legacyIndent="227"/>
      <w:lvlJc w:val="left"/>
      <w:pPr>
        <w:ind w:left="454" w:hanging="227"/>
      </w:pPr>
    </w:lvl>
  </w:abstractNum>
  <w:abstractNum w:abstractNumId="6" w15:restartNumberingAfterBreak="0">
    <w:nsid w:val="4C436AB0"/>
    <w:multiLevelType w:val="hybridMultilevel"/>
    <w:tmpl w:val="6B202B2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54474F7"/>
    <w:multiLevelType w:val="singleLevel"/>
    <w:tmpl w:val="0EA0939C"/>
    <w:lvl w:ilvl="0">
      <w:start w:val="1"/>
      <w:numFmt w:val="decimal"/>
      <w:lvlText w:val="%1."/>
      <w:legacy w:legacy="1" w:legacySpace="0" w:legacyIndent="227"/>
      <w:lvlJc w:val="left"/>
      <w:pPr>
        <w:ind w:left="227" w:hanging="227"/>
      </w:pPr>
    </w:lvl>
  </w:abstractNum>
  <w:abstractNum w:abstractNumId="8" w15:restartNumberingAfterBreak="0">
    <w:nsid w:val="7E5259C0"/>
    <w:multiLevelType w:val="hybridMultilevel"/>
    <w:tmpl w:val="CD9ECA3C"/>
    <w:lvl w:ilvl="0" w:tplc="D3CE3028">
      <w:start w:val="1"/>
      <w:numFmt w:val="bullet"/>
      <w:lvlText w:val="-"/>
      <w:lvlJc w:val="left"/>
      <w:pPr>
        <w:tabs>
          <w:tab w:val="num" w:pos="587"/>
        </w:tabs>
        <w:ind w:left="454" w:hanging="227"/>
      </w:pPr>
      <w:rPr>
        <w:rFont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2">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3">
    <w:abstractNumId w:val="7"/>
  </w:num>
  <w:num w:numId="4">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5">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6">
    <w:abstractNumId w:val="3"/>
  </w:num>
  <w:num w:numId="7">
    <w:abstractNumId w:val="8"/>
  </w:num>
  <w:num w:numId="8">
    <w:abstractNumId w:val="5"/>
  </w:num>
  <w:num w:numId="9">
    <w:abstractNumId w:val="3"/>
  </w:num>
  <w:num w:numId="10">
    <w:abstractNumId w:val="8"/>
  </w:num>
  <w:num w:numId="11">
    <w:abstractNumId w:val="6"/>
  </w:num>
  <w:num w:numId="12">
    <w:abstractNumId w:val="0"/>
  </w:num>
  <w:num w:numId="13">
    <w:abstractNumId w:val="6"/>
  </w:num>
  <w:num w:numId="14">
    <w:abstractNumId w:val="0"/>
  </w:num>
  <w:num w:numId="15">
    <w:abstractNumId w:val="0"/>
  </w:num>
  <w:num w:numId="16">
    <w:abstractNumId w:val="6"/>
  </w:num>
  <w:num w:numId="17">
    <w:abstractNumId w:val="0"/>
  </w:num>
  <w:num w:numId="18">
    <w:abstractNumId w:val="0"/>
  </w:num>
  <w:num w:numId="19">
    <w:abstractNumId w:val="8"/>
  </w:num>
  <w:num w:numId="20">
    <w:abstractNumId w:val="8"/>
  </w:num>
  <w:num w:numId="21">
    <w:abstractNumId w:val="8"/>
  </w:num>
  <w:num w:numId="22">
    <w:abstractNumId w:val="4"/>
  </w:num>
  <w:num w:numId="23">
    <w:abstractNumId w:val="4"/>
  </w:num>
  <w:num w:numId="24">
    <w:abstractNumId w:val="4"/>
  </w:num>
  <w:num w:numId="25">
    <w:abstractNumId w:val="4"/>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TrueTypeFonts/>
  <w:mirrorMargins/>
  <w:proofState w:spelling="clean" w:grammar="clean"/>
  <w:formsDesig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Moves/>
  <w:defaultTabStop w:val="708"/>
  <w:autoHyphenation/>
  <w:consecutiveHyphenLimit w:val="3"/>
  <w:hyphenationZone w:val="140"/>
  <w:doNotHyphenateCaps/>
  <w:evenAndOddHeaders/>
  <w:drawingGridHorizontalSpacing w:val="110"/>
  <w:drawingGridVerticalSpacing w:val="163"/>
  <w:displayHorizontalDrawingGridEvery w:val="0"/>
  <w:displayVerticalDrawingGridEvery w:val="0"/>
  <w:noPunctuationKerning/>
  <w:characterSpacingControl w:val="doNotCompress"/>
  <w:footnotePr>
    <w:footnote w:id="-1"/>
    <w:footnote w:id="0"/>
  </w:footnotePr>
  <w:endnotePr>
    <w:endnote w:id="-1"/>
    <w:endnote w:id="0"/>
  </w:endnotePr>
  <w:compat>
    <w:doNotExpandShiftReturn/>
    <w:suppressSpBfAfterPgBrk/>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F08BD"/>
    <w:rsid w:val="00005F1B"/>
    <w:rsid w:val="00044A53"/>
    <w:rsid w:val="000731F6"/>
    <w:rsid w:val="00081F2F"/>
    <w:rsid w:val="000E0820"/>
    <w:rsid w:val="00103A73"/>
    <w:rsid w:val="00114795"/>
    <w:rsid w:val="001355F3"/>
    <w:rsid w:val="001B5AA2"/>
    <w:rsid w:val="001D0B49"/>
    <w:rsid w:val="001D73DE"/>
    <w:rsid w:val="002062D6"/>
    <w:rsid w:val="00226F60"/>
    <w:rsid w:val="00231392"/>
    <w:rsid w:val="00236209"/>
    <w:rsid w:val="002E5EEE"/>
    <w:rsid w:val="002F2934"/>
    <w:rsid w:val="00301349"/>
    <w:rsid w:val="00360E7F"/>
    <w:rsid w:val="00405E55"/>
    <w:rsid w:val="00410267"/>
    <w:rsid w:val="004552DA"/>
    <w:rsid w:val="0046154C"/>
    <w:rsid w:val="00493C8D"/>
    <w:rsid w:val="004A334B"/>
    <w:rsid w:val="004F12B1"/>
    <w:rsid w:val="00544A38"/>
    <w:rsid w:val="00583E41"/>
    <w:rsid w:val="00594390"/>
    <w:rsid w:val="005F0124"/>
    <w:rsid w:val="006139F1"/>
    <w:rsid w:val="006620E7"/>
    <w:rsid w:val="00680383"/>
    <w:rsid w:val="006829A3"/>
    <w:rsid w:val="006A574A"/>
    <w:rsid w:val="006D42AE"/>
    <w:rsid w:val="006D6414"/>
    <w:rsid w:val="006E3B89"/>
    <w:rsid w:val="006E723D"/>
    <w:rsid w:val="00722F8A"/>
    <w:rsid w:val="00723352"/>
    <w:rsid w:val="00772BBE"/>
    <w:rsid w:val="00791BDF"/>
    <w:rsid w:val="007A2AD6"/>
    <w:rsid w:val="00805087"/>
    <w:rsid w:val="0083277E"/>
    <w:rsid w:val="008603F5"/>
    <w:rsid w:val="008662CD"/>
    <w:rsid w:val="008C0390"/>
    <w:rsid w:val="008D3B2E"/>
    <w:rsid w:val="008E2B14"/>
    <w:rsid w:val="008F08BD"/>
    <w:rsid w:val="0090334B"/>
    <w:rsid w:val="0091061C"/>
    <w:rsid w:val="00943AC7"/>
    <w:rsid w:val="00950E7C"/>
    <w:rsid w:val="00954D64"/>
    <w:rsid w:val="00976926"/>
    <w:rsid w:val="00981089"/>
    <w:rsid w:val="009960F7"/>
    <w:rsid w:val="009A5235"/>
    <w:rsid w:val="009D04DB"/>
    <w:rsid w:val="00A1344F"/>
    <w:rsid w:val="00A7006D"/>
    <w:rsid w:val="00A72563"/>
    <w:rsid w:val="00A86683"/>
    <w:rsid w:val="00AC078B"/>
    <w:rsid w:val="00AC38BA"/>
    <w:rsid w:val="00AD17AB"/>
    <w:rsid w:val="00B065E8"/>
    <w:rsid w:val="00B5108A"/>
    <w:rsid w:val="00B5459D"/>
    <w:rsid w:val="00B61139"/>
    <w:rsid w:val="00B85235"/>
    <w:rsid w:val="00B97ED3"/>
    <w:rsid w:val="00BD3DBF"/>
    <w:rsid w:val="00BF2C5E"/>
    <w:rsid w:val="00C22245"/>
    <w:rsid w:val="00C7344F"/>
    <w:rsid w:val="00C921ED"/>
    <w:rsid w:val="00C95383"/>
    <w:rsid w:val="00C9597D"/>
    <w:rsid w:val="00CB1CC5"/>
    <w:rsid w:val="00CC0309"/>
    <w:rsid w:val="00CD548C"/>
    <w:rsid w:val="00D27CCD"/>
    <w:rsid w:val="00D4758B"/>
    <w:rsid w:val="00D52D3D"/>
    <w:rsid w:val="00D56A10"/>
    <w:rsid w:val="00D648B7"/>
    <w:rsid w:val="00DB6263"/>
    <w:rsid w:val="00DC05FD"/>
    <w:rsid w:val="00E224EE"/>
    <w:rsid w:val="00E359E3"/>
    <w:rsid w:val="00E35DEA"/>
    <w:rsid w:val="00E71517"/>
    <w:rsid w:val="00E82713"/>
    <w:rsid w:val="00EA44D1"/>
    <w:rsid w:val="00EB6306"/>
    <w:rsid w:val="00ED6CDE"/>
    <w:rsid w:val="00F04559"/>
    <w:rsid w:val="00F75922"/>
    <w:rsid w:val="00F843D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F83025"/>
  <w15:chartTrackingRefBased/>
  <w15:docId w15:val="{78B21EE0-79EA-4B5A-997E-9C157E21F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8F08BD"/>
    <w:pPr>
      <w:overflowPunct w:val="0"/>
      <w:autoSpaceDE w:val="0"/>
      <w:autoSpaceDN w:val="0"/>
      <w:adjustRightInd w:val="0"/>
      <w:spacing w:line="240" w:lineRule="atLeast"/>
      <w:ind w:firstLine="238"/>
      <w:jc w:val="both"/>
      <w:textAlignment w:val="baseline"/>
    </w:pPr>
    <w:rPr>
      <w:rFonts w:ascii="Times" w:hAnsi="Times"/>
      <w:lang w:val="en-US" w:eastAsia="de-DE"/>
    </w:rPr>
  </w:style>
  <w:style w:type="paragraph" w:styleId="Titolo1">
    <w:name w:val="heading 1"/>
    <w:basedOn w:val="Normale"/>
    <w:next w:val="Normale"/>
    <w:qFormat/>
    <w:pPr>
      <w:keepNext/>
      <w:spacing w:after="240"/>
      <w:outlineLvl w:val="0"/>
    </w:pPr>
    <w:rPr>
      <w:rFonts w:ascii="Arial" w:hAnsi="Arial"/>
      <w:b/>
      <w:bCs/>
      <w:sz w:val="28"/>
      <w:szCs w:val="24"/>
    </w:rPr>
  </w:style>
  <w:style w:type="paragraph" w:styleId="Titolo2">
    <w:name w:val="heading 2"/>
    <w:basedOn w:val="Normale"/>
    <w:next w:val="Normale"/>
    <w:qFormat/>
    <w:pPr>
      <w:keepNext/>
      <w:spacing w:before="240" w:after="120"/>
      <w:outlineLvl w:val="1"/>
    </w:pPr>
    <w:rPr>
      <w:rFonts w:ascii="Arial" w:hAnsi="Arial"/>
      <w:b/>
    </w:rPr>
  </w:style>
  <w:style w:type="paragraph" w:styleId="Titolo3">
    <w:name w:val="heading 3"/>
    <w:basedOn w:val="Normale"/>
    <w:next w:val="Normale"/>
    <w:qFormat/>
    <w:pPr>
      <w:keepNext/>
      <w:spacing w:before="180" w:after="120"/>
      <w:outlineLvl w:val="2"/>
    </w:pPr>
    <w:rPr>
      <w:rFonts w:ascii="Arial" w:hAnsi="Arial" w:cs="Arial"/>
      <w:b/>
      <w:bCs/>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pPr>
      <w:tabs>
        <w:tab w:val="center" w:pos="4536"/>
        <w:tab w:val="right" w:pos="9072"/>
      </w:tabs>
    </w:pPr>
  </w:style>
  <w:style w:type="paragraph" w:styleId="Pidipagina">
    <w:name w:val="footer"/>
    <w:basedOn w:val="Normale"/>
    <w:pPr>
      <w:tabs>
        <w:tab w:val="center" w:pos="4536"/>
        <w:tab w:val="right" w:pos="9072"/>
      </w:tabs>
    </w:pPr>
  </w:style>
  <w:style w:type="character" w:styleId="Numeropagina">
    <w:name w:val="page number"/>
    <w:rPr>
      <w:sz w:val="20"/>
    </w:rPr>
  </w:style>
  <w:style w:type="paragraph" w:customStyle="1" w:styleId="Runninghead-left">
    <w:name w:val="Running head - left"/>
    <w:basedOn w:val="Normale"/>
    <w:rsid w:val="00D52D3D"/>
    <w:pPr>
      <w:tabs>
        <w:tab w:val="left" w:pos="680"/>
        <w:tab w:val="right" w:pos="6237"/>
        <w:tab w:val="right" w:pos="6917"/>
      </w:tabs>
      <w:spacing w:after="120" w:line="200" w:lineRule="exact"/>
      <w:ind w:firstLine="0"/>
      <w:jc w:val="left"/>
    </w:pPr>
    <w:rPr>
      <w:sz w:val="17"/>
    </w:rPr>
  </w:style>
  <w:style w:type="paragraph" w:customStyle="1" w:styleId="Runninghead-right">
    <w:name w:val="Running head - right"/>
    <w:basedOn w:val="Runninghead-left"/>
    <w:pPr>
      <w:jc w:val="right"/>
    </w:pPr>
  </w:style>
  <w:style w:type="paragraph" w:customStyle="1" w:styleId="author">
    <w:name w:val="author"/>
    <w:basedOn w:val="Normale"/>
    <w:next w:val="Normale"/>
    <w:rsid w:val="00583E41"/>
    <w:pPr>
      <w:suppressAutoHyphens/>
      <w:spacing w:before="480" w:after="220"/>
      <w:ind w:firstLine="0"/>
      <w:jc w:val="left"/>
    </w:pPr>
    <w:rPr>
      <w:b/>
    </w:rPr>
  </w:style>
  <w:style w:type="paragraph" w:customStyle="1" w:styleId="table">
    <w:name w:val="table"/>
    <w:basedOn w:val="Normale"/>
    <w:rsid w:val="00D52D3D"/>
    <w:pPr>
      <w:spacing w:before="60" w:line="200" w:lineRule="atLeast"/>
      <w:ind w:firstLine="0"/>
      <w:jc w:val="left"/>
    </w:pPr>
    <w:rPr>
      <w:sz w:val="17"/>
      <w:szCs w:val="18"/>
    </w:rPr>
  </w:style>
  <w:style w:type="paragraph" w:customStyle="1" w:styleId="equation">
    <w:name w:val="equation"/>
    <w:basedOn w:val="Normale"/>
    <w:next w:val="Normale"/>
    <w:rsid w:val="00B97ED3"/>
    <w:pPr>
      <w:tabs>
        <w:tab w:val="center" w:pos="3204"/>
        <w:tab w:val="right" w:pos="6634"/>
      </w:tabs>
      <w:spacing w:before="240" w:after="240"/>
      <w:ind w:firstLine="0"/>
      <w:jc w:val="left"/>
    </w:pPr>
  </w:style>
  <w:style w:type="paragraph" w:customStyle="1" w:styleId="figlegend">
    <w:name w:val="figlegend"/>
    <w:basedOn w:val="Normale"/>
    <w:next w:val="Normale"/>
    <w:rsid w:val="00D52D3D"/>
    <w:pPr>
      <w:keepLines/>
      <w:spacing w:before="120" w:after="240" w:line="200" w:lineRule="atLeast"/>
      <w:ind w:firstLine="0"/>
    </w:pPr>
    <w:rPr>
      <w:sz w:val="17"/>
    </w:rPr>
  </w:style>
  <w:style w:type="paragraph" w:customStyle="1" w:styleId="FunotentextFootnote">
    <w:name w:val="Fußnotentext.Footnote"/>
    <w:basedOn w:val="p1a"/>
    <w:rsid w:val="00405E55"/>
    <w:pPr>
      <w:tabs>
        <w:tab w:val="left" w:pos="170"/>
      </w:tabs>
      <w:spacing w:after="40" w:line="200" w:lineRule="atLeast"/>
    </w:pPr>
    <w:rPr>
      <w:sz w:val="17"/>
    </w:rPr>
  </w:style>
  <w:style w:type="paragraph" w:customStyle="1" w:styleId="p1a">
    <w:name w:val="p1a"/>
    <w:basedOn w:val="Normale"/>
    <w:next w:val="Normale"/>
    <w:pPr>
      <w:ind w:firstLine="0"/>
    </w:pPr>
  </w:style>
  <w:style w:type="character" w:styleId="Rimandonotaapidipagina">
    <w:name w:val="footnote reference"/>
    <w:semiHidden/>
    <w:rPr>
      <w:position w:val="6"/>
      <w:sz w:val="12"/>
      <w:vertAlign w:val="baseline"/>
    </w:rPr>
  </w:style>
  <w:style w:type="paragraph" w:customStyle="1" w:styleId="heading1">
    <w:name w:val="heading1"/>
    <w:basedOn w:val="Normale"/>
    <w:next w:val="p1a"/>
    <w:rsid w:val="00005F1B"/>
    <w:pPr>
      <w:keepNext/>
      <w:keepLines/>
      <w:tabs>
        <w:tab w:val="left" w:pos="454"/>
      </w:tabs>
      <w:suppressAutoHyphens/>
      <w:spacing w:before="600" w:after="320"/>
      <w:ind w:firstLine="0"/>
      <w:jc w:val="left"/>
    </w:pPr>
    <w:rPr>
      <w:b/>
      <w:sz w:val="24"/>
    </w:rPr>
  </w:style>
  <w:style w:type="paragraph" w:customStyle="1" w:styleId="heading2">
    <w:name w:val="heading2"/>
    <w:basedOn w:val="heading1"/>
    <w:next w:val="p1a"/>
    <w:rsid w:val="00005F1B"/>
    <w:pPr>
      <w:tabs>
        <w:tab w:val="left" w:pos="510"/>
      </w:tabs>
    </w:pPr>
    <w:rPr>
      <w:i/>
    </w:rPr>
  </w:style>
  <w:style w:type="paragraph" w:customStyle="1" w:styleId="heading3">
    <w:name w:val="heading3"/>
    <w:basedOn w:val="p1a"/>
    <w:next w:val="p1a"/>
    <w:rsid w:val="00005F1B"/>
    <w:pPr>
      <w:tabs>
        <w:tab w:val="left" w:pos="284"/>
      </w:tabs>
      <w:suppressAutoHyphens/>
      <w:spacing w:before="480" w:after="240"/>
      <w:jc w:val="left"/>
    </w:pPr>
    <w:rPr>
      <w:b/>
    </w:rPr>
  </w:style>
  <w:style w:type="paragraph" w:customStyle="1" w:styleId="Subitem">
    <w:name w:val="Subitem"/>
    <w:rsid w:val="006A574A"/>
    <w:pPr>
      <w:numPr>
        <w:numId w:val="18"/>
      </w:numPr>
      <w:spacing w:after="120" w:line="240" w:lineRule="atLeast"/>
      <w:contextualSpacing/>
      <w:jc w:val="both"/>
    </w:pPr>
    <w:rPr>
      <w:rFonts w:ascii="Times" w:hAnsi="Times"/>
      <w:lang w:val="en-US" w:eastAsia="de-DE"/>
    </w:rPr>
  </w:style>
  <w:style w:type="paragraph" w:customStyle="1" w:styleId="NumberedItem">
    <w:name w:val="Numbered Item"/>
    <w:basedOn w:val="BulletItem"/>
    <w:rsid w:val="006A574A"/>
  </w:style>
  <w:style w:type="paragraph" w:customStyle="1" w:styleId="BulletItem">
    <w:name w:val="Bullet Item"/>
    <w:basedOn w:val="Normale"/>
    <w:rsid w:val="00EA44D1"/>
    <w:pPr>
      <w:numPr>
        <w:numId w:val="25"/>
      </w:numPr>
      <w:spacing w:before="120" w:after="120"/>
      <w:contextualSpacing/>
    </w:pPr>
  </w:style>
  <w:style w:type="paragraph" w:customStyle="1" w:styleId="petit">
    <w:name w:val="petit"/>
    <w:basedOn w:val="Normale"/>
    <w:rsid w:val="00D27CCD"/>
    <w:pPr>
      <w:spacing w:before="120" w:after="120" w:line="200" w:lineRule="atLeast"/>
    </w:pPr>
    <w:rPr>
      <w:sz w:val="17"/>
    </w:rPr>
  </w:style>
  <w:style w:type="paragraph" w:customStyle="1" w:styleId="reference">
    <w:name w:val="reference"/>
    <w:basedOn w:val="Normale"/>
    <w:rsid w:val="00D52D3D"/>
    <w:pPr>
      <w:tabs>
        <w:tab w:val="left" w:pos="340"/>
      </w:tabs>
      <w:spacing w:line="200" w:lineRule="atLeast"/>
      <w:ind w:left="238" w:hanging="238"/>
    </w:pPr>
    <w:rPr>
      <w:sz w:val="18"/>
    </w:rPr>
  </w:style>
  <w:style w:type="paragraph" w:customStyle="1" w:styleId="Important">
    <w:name w:val="Important"/>
    <w:basedOn w:val="p1a"/>
    <w:rsid w:val="008603F5"/>
    <w:pPr>
      <w:shd w:val="clear" w:color="auto" w:fill="D9D9D9"/>
      <w:spacing w:before="240" w:after="240"/>
      <w:ind w:left="238" w:right="238"/>
      <w:contextualSpacing/>
    </w:pPr>
  </w:style>
  <w:style w:type="paragraph" w:customStyle="1" w:styleId="tablelegend">
    <w:name w:val="tablelegend"/>
    <w:basedOn w:val="Normale"/>
    <w:next w:val="Normale"/>
    <w:rsid w:val="00D52D3D"/>
    <w:pPr>
      <w:keepNext/>
      <w:keepLines/>
      <w:spacing w:before="240" w:after="120" w:line="200" w:lineRule="atLeast"/>
      <w:ind w:firstLine="0"/>
    </w:pPr>
    <w:rPr>
      <w:sz w:val="17"/>
    </w:rPr>
  </w:style>
  <w:style w:type="paragraph" w:customStyle="1" w:styleId="tablenotes">
    <w:name w:val="tablenotes"/>
    <w:basedOn w:val="Normale"/>
    <w:next w:val="Normale"/>
    <w:rsid w:val="00D52D3D"/>
    <w:pPr>
      <w:widowControl w:val="0"/>
      <w:spacing w:before="20" w:line="200" w:lineRule="atLeast"/>
      <w:ind w:firstLine="0"/>
      <w:jc w:val="left"/>
    </w:pPr>
    <w:rPr>
      <w:sz w:val="17"/>
    </w:rPr>
  </w:style>
  <w:style w:type="paragraph" w:customStyle="1" w:styleId="Titolo10">
    <w:name w:val="Titolo1"/>
    <w:basedOn w:val="Normale"/>
    <w:next w:val="p1a"/>
    <w:rsid w:val="000E0820"/>
    <w:pPr>
      <w:keepNext/>
      <w:keepLines/>
      <w:pageBreakBefore/>
      <w:tabs>
        <w:tab w:val="left" w:pos="284"/>
      </w:tabs>
      <w:suppressAutoHyphens/>
      <w:spacing w:line="360" w:lineRule="atLeast"/>
      <w:ind w:firstLine="0"/>
      <w:jc w:val="left"/>
    </w:pPr>
    <w:rPr>
      <w:b/>
      <w:sz w:val="32"/>
    </w:rPr>
  </w:style>
  <w:style w:type="paragraph" w:styleId="Sommario1">
    <w:name w:val="toc 1"/>
    <w:basedOn w:val="Normale"/>
    <w:next w:val="petit"/>
    <w:semiHidden/>
    <w:pPr>
      <w:tabs>
        <w:tab w:val="right" w:leader="dot" w:pos="6634"/>
      </w:tabs>
      <w:spacing w:before="240"/>
      <w:ind w:firstLine="0"/>
      <w:jc w:val="left"/>
    </w:pPr>
    <w:rPr>
      <w:b/>
    </w:rPr>
  </w:style>
  <w:style w:type="paragraph" w:styleId="Sommario2">
    <w:name w:val="toc 2"/>
    <w:basedOn w:val="Sommario1"/>
    <w:semiHidden/>
    <w:pPr>
      <w:spacing w:before="0"/>
      <w:ind w:left="284"/>
    </w:pPr>
    <w:rPr>
      <w:b w:val="0"/>
    </w:rPr>
  </w:style>
  <w:style w:type="paragraph" w:styleId="Sommario3">
    <w:name w:val="toc 3"/>
    <w:basedOn w:val="Sommario1"/>
    <w:semiHidden/>
    <w:pPr>
      <w:spacing w:before="0"/>
      <w:ind w:left="510"/>
    </w:pPr>
    <w:rPr>
      <w:b w:val="0"/>
    </w:rPr>
  </w:style>
  <w:style w:type="paragraph" w:styleId="Indice1">
    <w:name w:val="index 1"/>
    <w:basedOn w:val="petit"/>
    <w:semiHidden/>
    <w:rsid w:val="009960F7"/>
    <w:pPr>
      <w:spacing w:before="0" w:after="0"/>
      <w:ind w:left="720" w:hanging="720"/>
      <w:jc w:val="left"/>
    </w:pPr>
    <w:rPr>
      <w:szCs w:val="21"/>
    </w:rPr>
  </w:style>
  <w:style w:type="paragraph" w:styleId="Indice2">
    <w:name w:val="index 2"/>
    <w:basedOn w:val="Indice1"/>
    <w:semiHidden/>
    <w:rsid w:val="009960F7"/>
    <w:pPr>
      <w:ind w:left="958"/>
    </w:pPr>
  </w:style>
  <w:style w:type="paragraph" w:styleId="Indice3">
    <w:name w:val="index 3"/>
    <w:basedOn w:val="Normale"/>
    <w:next w:val="Normale"/>
    <w:semiHidden/>
    <w:pPr>
      <w:ind w:left="660" w:hanging="220"/>
      <w:jc w:val="left"/>
    </w:pPr>
    <w:rPr>
      <w:szCs w:val="21"/>
    </w:rPr>
  </w:style>
  <w:style w:type="paragraph" w:styleId="Testonotaapidipagina">
    <w:name w:val="footnote text"/>
    <w:basedOn w:val="Normale"/>
    <w:semiHidden/>
  </w:style>
  <w:style w:type="paragraph" w:styleId="Sommario4">
    <w:name w:val="toc 4"/>
    <w:basedOn w:val="Sommario3"/>
    <w:next w:val="Normale"/>
    <w:semiHidden/>
    <w:rsid w:val="00772BBE"/>
    <w:pPr>
      <w:ind w:left="737"/>
    </w:pPr>
  </w:style>
  <w:style w:type="character" w:styleId="Collegamentoipertestuale">
    <w:name w:val="Hyperlink"/>
    <w:rPr>
      <w:color w:val="0000FF"/>
      <w:u w:val="single"/>
    </w:rPr>
  </w:style>
  <w:style w:type="paragraph" w:customStyle="1" w:styleId="heading4">
    <w:name w:val="heading4"/>
    <w:basedOn w:val="p1a"/>
    <w:next w:val="p1a"/>
    <w:rsid w:val="00005F1B"/>
    <w:pPr>
      <w:keepNext/>
      <w:suppressAutoHyphens/>
      <w:spacing w:before="480" w:after="240"/>
      <w:jc w:val="left"/>
    </w:pPr>
  </w:style>
  <w:style w:type="paragraph" w:customStyle="1" w:styleId="heading5">
    <w:name w:val="heading5"/>
    <w:basedOn w:val="heading4"/>
    <w:next w:val="p1a"/>
    <w:rsid w:val="00D4758B"/>
    <w:pPr>
      <w:spacing w:before="360" w:after="120"/>
    </w:pPr>
    <w:rPr>
      <w:i/>
    </w:rPr>
  </w:style>
  <w:style w:type="paragraph" w:customStyle="1" w:styleId="Sottotitolo1">
    <w:name w:val="Sottotitolo1"/>
    <w:basedOn w:val="Titolo10"/>
    <w:next w:val="author"/>
    <w:rsid w:val="00583E41"/>
    <w:pPr>
      <w:pageBreakBefore w:val="0"/>
      <w:tabs>
        <w:tab w:val="clear" w:pos="284"/>
        <w:tab w:val="left" w:pos="567"/>
      </w:tabs>
      <w:spacing w:before="320" w:line="320" w:lineRule="atLeast"/>
    </w:pPr>
    <w:rPr>
      <w:rFonts w:cs="Arial"/>
      <w:sz w:val="28"/>
    </w:rPr>
  </w:style>
  <w:style w:type="paragraph" w:customStyle="1" w:styleId="Run-inHeading1">
    <w:name w:val="Run-in Heading 1"/>
    <w:basedOn w:val="p1a"/>
    <w:rsid w:val="00722F8A"/>
    <w:pPr>
      <w:spacing w:before="120"/>
    </w:pPr>
    <w:rPr>
      <w:b/>
    </w:rPr>
  </w:style>
  <w:style w:type="paragraph" w:customStyle="1" w:styleId="Run-inHeading2">
    <w:name w:val="Run-in Heading 2"/>
    <w:basedOn w:val="p1a"/>
    <w:rsid w:val="00722F8A"/>
    <w:pPr>
      <w:spacing w:before="120"/>
    </w:pPr>
    <w:rPr>
      <w:i/>
    </w:rPr>
  </w:style>
  <w:style w:type="paragraph" w:customStyle="1" w:styleId="affiliation">
    <w:name w:val="affiliation"/>
    <w:basedOn w:val="Normale"/>
    <w:next w:val="Normale"/>
    <w:rsid w:val="00B065E8"/>
    <w:pPr>
      <w:suppressAutoHyphens/>
      <w:spacing w:before="120" w:line="200" w:lineRule="atLeast"/>
      <w:ind w:left="238" w:firstLine="0"/>
      <w:jc w:val="left"/>
    </w:pPr>
    <w:rPr>
      <w:sz w:val="17"/>
    </w:rPr>
  </w:style>
  <w:style w:type="paragraph" w:customStyle="1" w:styleId="abstract">
    <w:name w:val="abstract"/>
    <w:basedOn w:val="Normale"/>
    <w:next w:val="Normale"/>
    <w:rsid w:val="00B61139"/>
    <w:pPr>
      <w:spacing w:before="480" w:after="480"/>
      <w:ind w:firstLine="0"/>
    </w:pPr>
  </w:style>
  <w:style w:type="paragraph" w:customStyle="1" w:styleId="quotation">
    <w:name w:val="quotation"/>
    <w:basedOn w:val="affiliation"/>
    <w:next w:val="Normale"/>
    <w:rsid w:val="00044A53"/>
    <w:pPr>
      <w:spacing w:after="120"/>
      <w:ind w:right="238"/>
      <w:contextualSpacing/>
    </w:pPr>
  </w:style>
  <w:style w:type="paragraph" w:customStyle="1" w:styleId="acknowledgements">
    <w:name w:val="acknowledgements"/>
    <w:basedOn w:val="affiliation"/>
    <w:next w:val="Normale"/>
    <w:rsid w:val="00B065E8"/>
    <w:pPr>
      <w:suppressAutoHyphens w:val="0"/>
      <w:spacing w:before="240"/>
      <w:ind w:left="0"/>
      <w:jc w:val="both"/>
    </w:pPr>
  </w:style>
  <w:style w:type="paragraph" w:customStyle="1" w:styleId="references">
    <w:name w:val="references"/>
    <w:basedOn w:val="petit"/>
    <w:rsid w:val="00D27CCD"/>
    <w:pPr>
      <w:spacing w:before="0" w:after="0"/>
      <w:ind w:left="238" w:hanging="238"/>
    </w:pPr>
  </w:style>
  <w:style w:type="paragraph" w:customStyle="1" w:styleId="figurecitation">
    <w:name w:val="figurecitation"/>
    <w:basedOn w:val="Normale"/>
    <w:rsid w:val="00B61139"/>
    <w:pPr>
      <w:pBdr>
        <w:top w:val="single" w:sz="8" w:space="1" w:color="auto"/>
        <w:left w:val="single" w:sz="8" w:space="4" w:color="auto"/>
        <w:bottom w:val="single" w:sz="8" w:space="1" w:color="auto"/>
        <w:right w:val="single" w:sz="8" w:space="4" w:color="auto"/>
      </w:pBdr>
    </w:pPr>
    <w:rPr>
      <w:rFonts w:ascii="Arial" w:hAnsi="Arial"/>
      <w:b/>
      <w:sz w:val="36"/>
    </w:rPr>
  </w:style>
  <w:style w:type="character" w:customStyle="1" w:styleId="IntestazioneCarattere">
    <w:name w:val="Intestazione Carattere"/>
    <w:link w:val="Intestazione"/>
    <w:uiPriority w:val="99"/>
    <w:rsid w:val="008F08BD"/>
    <w:rPr>
      <w:rFonts w:ascii="Times" w:hAnsi="Times"/>
      <w:lang w:val="en-US" w:eastAsia="de-DE"/>
    </w:rPr>
  </w:style>
  <w:style w:type="character" w:styleId="Rimandocommento">
    <w:name w:val="annotation reference"/>
    <w:rsid w:val="002062D6"/>
    <w:rPr>
      <w:sz w:val="16"/>
      <w:szCs w:val="16"/>
    </w:rPr>
  </w:style>
  <w:style w:type="paragraph" w:styleId="Testocommento">
    <w:name w:val="annotation text"/>
    <w:basedOn w:val="Normale"/>
    <w:link w:val="TestocommentoCarattere"/>
    <w:rsid w:val="002062D6"/>
  </w:style>
  <w:style w:type="character" w:customStyle="1" w:styleId="TestocommentoCarattere">
    <w:name w:val="Testo commento Carattere"/>
    <w:link w:val="Testocommento"/>
    <w:rsid w:val="002062D6"/>
    <w:rPr>
      <w:rFonts w:ascii="Times" w:hAnsi="Times"/>
      <w:lang w:val="en-US" w:eastAsia="de-DE"/>
    </w:rPr>
  </w:style>
  <w:style w:type="paragraph" w:styleId="Soggettocommento">
    <w:name w:val="annotation subject"/>
    <w:basedOn w:val="Testocommento"/>
    <w:next w:val="Testocommento"/>
    <w:link w:val="SoggettocommentoCarattere"/>
    <w:rsid w:val="002062D6"/>
    <w:rPr>
      <w:b/>
      <w:bCs/>
    </w:rPr>
  </w:style>
  <w:style w:type="character" w:customStyle="1" w:styleId="SoggettocommentoCarattere">
    <w:name w:val="Soggetto commento Carattere"/>
    <w:link w:val="Soggettocommento"/>
    <w:rsid w:val="002062D6"/>
    <w:rPr>
      <w:rFonts w:ascii="Times" w:hAnsi="Times"/>
      <w:b/>
      <w:bCs/>
      <w:lang w:val="en-US" w:eastAsia="de-DE"/>
    </w:rPr>
  </w:style>
  <w:style w:type="paragraph" w:styleId="Testofumetto">
    <w:name w:val="Balloon Text"/>
    <w:basedOn w:val="Normale"/>
    <w:link w:val="TestofumettoCarattere"/>
    <w:rsid w:val="002062D6"/>
    <w:pPr>
      <w:spacing w:line="240" w:lineRule="auto"/>
    </w:pPr>
    <w:rPr>
      <w:rFonts w:ascii="Segoe UI" w:hAnsi="Segoe UI" w:cs="Segoe UI"/>
      <w:sz w:val="18"/>
      <w:szCs w:val="18"/>
    </w:rPr>
  </w:style>
  <w:style w:type="character" w:customStyle="1" w:styleId="TestofumettoCarattere">
    <w:name w:val="Testo fumetto Carattere"/>
    <w:link w:val="Testofumetto"/>
    <w:rsid w:val="002062D6"/>
    <w:rPr>
      <w:rFonts w:ascii="Segoe UI" w:hAnsi="Segoe UI" w:cs="Segoe UI"/>
      <w:sz w:val="18"/>
      <w:szCs w:val="18"/>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spa\Dropbox%20(DIG)\FENIX\Libro%20FENIX\T1-book\T1-book.do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B39B48-2557-4440-81A8-8A0129552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T1-book</Template>
  <TotalTime>139</TotalTime>
  <Pages>1</Pages>
  <Words>4758</Words>
  <Characters>27127</Characters>
  <Application>Microsoft Office Word</Application>
  <DocSecurity>0</DocSecurity>
  <Lines>226</Lines>
  <Paragraphs>63</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BertelsmannSpringer</Company>
  <LinksUpToDate>false</LinksUpToDate>
  <CharactersWithSpaces>31822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Rosa</dc:creator>
  <cp:keywords/>
  <dc:description/>
  <cp:lastModifiedBy>Paolo Rosa</cp:lastModifiedBy>
  <cp:revision>8</cp:revision>
  <dcterms:created xsi:type="dcterms:W3CDTF">2020-09-14T10:05:00Z</dcterms:created>
  <dcterms:modified xsi:type="dcterms:W3CDTF">2021-05-03T08:02:00Z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http://www.zotero.org/styles/emerald-harvard</vt:lpwstr>
  </property>
  <property fmtid="{D5CDD505-2E9C-101B-9397-08002B2CF9AE}" pid="13" name="Mendeley Recent Style Name 5_1">
    <vt:lpwstr>Emerald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http://www.zotero.org/styles/journal-of-cleaner-production</vt:lpwstr>
  </property>
  <property fmtid="{D5CDD505-2E9C-101B-9397-08002B2CF9AE}" pid="17" name="Mendeley Recent Style Name 7_1">
    <vt:lpwstr>Journal of Cleaner Production</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http://www.zotero.org/styles/sustainable-production-and-consumption</vt:lpwstr>
  </property>
  <property fmtid="{D5CDD505-2E9C-101B-9397-08002B2CF9AE}" pid="21" name="Mendeley Recent Style Name 9_1">
    <vt:lpwstr>Sustainable Production and Consumption</vt:lpwstr>
  </property>
  <property fmtid="{D5CDD505-2E9C-101B-9397-08002B2CF9AE}" pid="22" name="Mendeley Document_1">
    <vt:lpwstr>True</vt:lpwstr>
  </property>
  <property fmtid="{D5CDD505-2E9C-101B-9397-08002B2CF9AE}" pid="23" name="Mendeley Unique User Id_1">
    <vt:lpwstr>ec4af90b-62f4-3bdc-912c-3c32a2533aee</vt:lpwstr>
  </property>
  <property fmtid="{D5CDD505-2E9C-101B-9397-08002B2CF9AE}" pid="24" name="Mendeley Citation Style_1">
    <vt:lpwstr>http://www.zotero.org/styles/apa</vt:lpwstr>
  </property>
</Properties>
</file>