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1F2154" w14:textId="076E8ED5" w:rsidR="00474587" w:rsidRPr="00EB1AE4" w:rsidRDefault="00AA3E90" w:rsidP="00C45534">
      <w:pPr>
        <w:rPr>
          <w:bCs/>
          <w:sz w:val="28"/>
          <w:szCs w:val="28"/>
        </w:rPr>
      </w:pPr>
      <w:r w:rsidRPr="00EB1AE4">
        <w:rPr>
          <w:b/>
          <w:sz w:val="32"/>
          <w:szCs w:val="32"/>
        </w:rPr>
        <w:t>C</w:t>
      </w:r>
      <w:r w:rsidR="0093775E" w:rsidRPr="00EB1AE4">
        <w:rPr>
          <w:b/>
          <w:sz w:val="32"/>
          <w:szCs w:val="32"/>
        </w:rPr>
        <w:t xml:space="preserve">oncentration </w:t>
      </w:r>
      <w:r w:rsidRPr="00EB1AE4">
        <w:rPr>
          <w:b/>
          <w:sz w:val="32"/>
          <w:szCs w:val="32"/>
        </w:rPr>
        <w:t xml:space="preserve">of polymer nanoparticles </w:t>
      </w:r>
      <w:r w:rsidR="0093775E" w:rsidRPr="00EB1AE4">
        <w:rPr>
          <w:b/>
          <w:sz w:val="32"/>
          <w:szCs w:val="32"/>
        </w:rPr>
        <w:t>through d</w:t>
      </w:r>
      <w:r w:rsidR="00C45534" w:rsidRPr="00EB1AE4">
        <w:rPr>
          <w:b/>
          <w:sz w:val="32"/>
          <w:szCs w:val="32"/>
        </w:rPr>
        <w:t xml:space="preserve">ialysis: </w:t>
      </w:r>
      <w:r w:rsidR="0093775E" w:rsidRPr="00EB1AE4">
        <w:rPr>
          <w:b/>
          <w:sz w:val="32"/>
          <w:szCs w:val="32"/>
        </w:rPr>
        <w:t>E</w:t>
      </w:r>
      <w:r w:rsidR="00C45534" w:rsidRPr="00EB1AE4">
        <w:rPr>
          <w:b/>
          <w:sz w:val="32"/>
          <w:szCs w:val="32"/>
        </w:rPr>
        <w:t>fficacy and comparison with lyophilization for PEGylated and zwitterionic systems</w:t>
      </w:r>
    </w:p>
    <w:p w14:paraId="7B4E5560" w14:textId="565CFDBA" w:rsidR="00474587" w:rsidRPr="00A20926" w:rsidRDefault="00474587" w:rsidP="00474587">
      <w:pPr>
        <w:pStyle w:val="BBAuthorName"/>
        <w:ind w:left="284" w:right="282" w:firstLine="0"/>
        <w:rPr>
          <w:lang w:val="it-IT"/>
        </w:rPr>
      </w:pPr>
      <w:r w:rsidRPr="00A20926">
        <w:rPr>
          <w:lang w:val="it-IT"/>
        </w:rPr>
        <w:t>Matteo Maraldi</w:t>
      </w:r>
      <w:r w:rsidRPr="00A20926">
        <w:rPr>
          <w:vertAlign w:val="superscript"/>
          <w:lang w:val="it-IT"/>
        </w:rPr>
        <w:t>1</w:t>
      </w:r>
      <w:r w:rsidRPr="00A20926">
        <w:rPr>
          <w:lang w:val="it-IT"/>
        </w:rPr>
        <w:t>,</w:t>
      </w:r>
      <w:r w:rsidR="000661B6" w:rsidRPr="00A20926">
        <w:rPr>
          <w:lang w:val="it-IT"/>
        </w:rPr>
        <w:t xml:space="preserve"> </w:t>
      </w:r>
      <w:r w:rsidR="008F7C1C" w:rsidRPr="00A20926">
        <w:rPr>
          <w:lang w:val="it-IT"/>
        </w:rPr>
        <w:t>Raffaele Ferrari</w:t>
      </w:r>
      <w:r w:rsidR="008F7C1C" w:rsidRPr="00A20926">
        <w:rPr>
          <w:vertAlign w:val="superscript"/>
          <w:lang w:val="it-IT"/>
        </w:rPr>
        <w:t>2</w:t>
      </w:r>
      <w:r w:rsidR="008F7C1C" w:rsidRPr="00A20926">
        <w:rPr>
          <w:lang w:val="it-IT"/>
        </w:rPr>
        <w:t xml:space="preserve">, </w:t>
      </w:r>
      <w:r w:rsidRPr="00A20926">
        <w:rPr>
          <w:lang w:val="it-IT"/>
        </w:rPr>
        <w:t>Renato Auriemma</w:t>
      </w:r>
      <w:r w:rsidRPr="00A20926">
        <w:rPr>
          <w:vertAlign w:val="superscript"/>
          <w:lang w:val="it-IT"/>
        </w:rPr>
        <w:t>1</w:t>
      </w:r>
      <w:r w:rsidRPr="00A20926">
        <w:rPr>
          <w:lang w:val="it-IT"/>
        </w:rPr>
        <w:t>, Mattia Sponchioni</w:t>
      </w:r>
      <w:r w:rsidR="00664907" w:rsidRPr="00A20926">
        <w:rPr>
          <w:vertAlign w:val="superscript"/>
          <w:lang w:val="it-IT"/>
        </w:rPr>
        <w:t>1</w:t>
      </w:r>
      <w:r w:rsidRPr="00A20926">
        <w:rPr>
          <w:vertAlign w:val="superscript"/>
          <w:lang w:val="it-IT"/>
        </w:rPr>
        <w:t>,*</w:t>
      </w:r>
      <w:r w:rsidRPr="00A20926">
        <w:rPr>
          <w:lang w:val="it-IT"/>
        </w:rPr>
        <w:t>, and Davide Moscatelli</w:t>
      </w:r>
      <w:r w:rsidRPr="00A20926">
        <w:rPr>
          <w:vertAlign w:val="superscript"/>
          <w:lang w:val="it-IT"/>
        </w:rPr>
        <w:t>1</w:t>
      </w:r>
    </w:p>
    <w:p w14:paraId="072E371E" w14:textId="77777777" w:rsidR="00474587" w:rsidRPr="00EB1AE4" w:rsidRDefault="00474587" w:rsidP="00474587">
      <w:pPr>
        <w:pStyle w:val="FACorrespondingAuthorFootnote"/>
        <w:ind w:left="284" w:right="282" w:firstLine="0"/>
      </w:pPr>
      <w:r w:rsidRPr="00EB1AE4">
        <w:rPr>
          <w:vertAlign w:val="superscript"/>
        </w:rPr>
        <w:t>1</w:t>
      </w:r>
      <w:r w:rsidRPr="00EB1AE4">
        <w:t>Department of Chemistry, Materials and Chemical Engineering “Giulio Natta”, Politecnico di Milano, Via Mancinelli 7 - 20131 Milano, Italy.</w:t>
      </w:r>
    </w:p>
    <w:p w14:paraId="13053B77" w14:textId="77777777" w:rsidR="00474587" w:rsidRPr="00EB1AE4" w:rsidRDefault="00474587" w:rsidP="00474587">
      <w:pPr>
        <w:pStyle w:val="TAMainText"/>
        <w:ind w:left="284" w:right="282" w:firstLine="0"/>
      </w:pPr>
      <w:r w:rsidRPr="00EB1AE4">
        <w:rPr>
          <w:vertAlign w:val="superscript"/>
        </w:rPr>
        <w:t>2</w:t>
      </w:r>
      <w:r w:rsidRPr="00EB1AE4">
        <w:t>Department of Chemistry and Applied Biosciences, Institute for Chemical and Bioengineering, ETH Zurich, Vladimir-Prelog-Weg 1, 8093 Zurich, Switzerland.</w:t>
      </w:r>
    </w:p>
    <w:p w14:paraId="4AC6F53C" w14:textId="77777777" w:rsidR="00474587" w:rsidRPr="00EB1AE4" w:rsidRDefault="00474587" w:rsidP="00474587">
      <w:pPr>
        <w:ind w:left="284" w:right="282"/>
      </w:pPr>
    </w:p>
    <w:p w14:paraId="4DBAD0B1" w14:textId="1C179EDC" w:rsidR="00474587" w:rsidRDefault="00474587" w:rsidP="00474587">
      <w:pPr>
        <w:pStyle w:val="BCAuthorAddress"/>
        <w:ind w:left="284" w:right="282" w:firstLine="0"/>
        <w:jc w:val="both"/>
        <w:rPr>
          <w:lang w:val="it-IT"/>
        </w:rPr>
      </w:pPr>
      <w:r w:rsidRPr="00A20926">
        <w:rPr>
          <w:lang w:val="it-IT"/>
        </w:rPr>
        <w:t xml:space="preserve">* Corresponding author: </w:t>
      </w:r>
      <w:r w:rsidR="007E4439" w:rsidRPr="00A20926">
        <w:rPr>
          <w:lang w:val="it-IT"/>
        </w:rPr>
        <w:t>Mattia Sponchioni</w:t>
      </w:r>
      <w:r w:rsidR="000408A4">
        <w:rPr>
          <w:lang w:val="it-IT"/>
        </w:rPr>
        <w:t xml:space="preserve">; E-mail: </w:t>
      </w:r>
      <w:hyperlink r:id="rId8" w:history="1">
        <w:r w:rsidR="000408A4" w:rsidRPr="006D6C6D">
          <w:rPr>
            <w:rStyle w:val="Collegamentoipertestuale"/>
            <w:lang w:val="it-IT"/>
          </w:rPr>
          <w:t>mattia.sponchioni@polimi.it</w:t>
        </w:r>
      </w:hyperlink>
    </w:p>
    <w:p w14:paraId="12E50499" w14:textId="225310D3" w:rsidR="00474587" w:rsidRPr="00EB1AE4" w:rsidRDefault="00AD09D3" w:rsidP="00474587">
      <w:pPr>
        <w:ind w:left="284" w:right="282"/>
        <w:rPr>
          <w:b/>
          <w:sz w:val="32"/>
          <w:szCs w:val="32"/>
        </w:rPr>
      </w:pPr>
      <w:r w:rsidRPr="00EB1AE4">
        <w:rPr>
          <w:b/>
          <w:sz w:val="32"/>
          <w:szCs w:val="32"/>
        </w:rPr>
        <w:t>Abstract</w:t>
      </w:r>
    </w:p>
    <w:p w14:paraId="7D7F4285" w14:textId="00974988" w:rsidR="00AD09D3" w:rsidRPr="00EB1AE4" w:rsidRDefault="00AD09D3" w:rsidP="00194D33">
      <w:pPr>
        <w:ind w:right="282"/>
        <w:rPr>
          <w:szCs w:val="24"/>
        </w:rPr>
      </w:pPr>
      <w:r w:rsidRPr="00EB1AE4">
        <w:rPr>
          <w:szCs w:val="24"/>
        </w:rPr>
        <w:t xml:space="preserve">Biodegradable polymeric nanoparticles </w:t>
      </w:r>
      <w:r w:rsidR="00194D33" w:rsidRPr="00EB1AE4">
        <w:rPr>
          <w:szCs w:val="24"/>
        </w:rPr>
        <w:t xml:space="preserve">(NPs) </w:t>
      </w:r>
      <w:r w:rsidR="00795DD3" w:rsidRPr="00EB1AE4">
        <w:rPr>
          <w:szCs w:val="24"/>
        </w:rPr>
        <w:t>are attracting increasing attention as carrier</w:t>
      </w:r>
      <w:r w:rsidR="00194D33" w:rsidRPr="00EB1AE4">
        <w:rPr>
          <w:szCs w:val="24"/>
        </w:rPr>
        <w:t>s</w:t>
      </w:r>
      <w:r w:rsidR="00795DD3" w:rsidRPr="00EB1AE4">
        <w:rPr>
          <w:szCs w:val="24"/>
        </w:rPr>
        <w:t xml:space="preserve"> for drug delivery.</w:t>
      </w:r>
      <w:r w:rsidR="00C54496" w:rsidRPr="00EB1AE4">
        <w:rPr>
          <w:szCs w:val="24"/>
        </w:rPr>
        <w:t xml:space="preserve"> However, one of the main factors limiting their transition to the market is the</w:t>
      </w:r>
      <w:r w:rsidR="00E12F43" w:rsidRPr="00EB1AE4">
        <w:rPr>
          <w:szCs w:val="24"/>
        </w:rPr>
        <w:t>ir</w:t>
      </w:r>
      <w:r w:rsidR="00C54496" w:rsidRPr="00EB1AE4">
        <w:rPr>
          <w:szCs w:val="24"/>
        </w:rPr>
        <w:t xml:space="preserve"> premature degradation and release of the payload during the storage</w:t>
      </w:r>
      <w:r w:rsidR="001B4BDF" w:rsidRPr="00EB1AE4">
        <w:rPr>
          <w:szCs w:val="24"/>
        </w:rPr>
        <w:t>.</w:t>
      </w:r>
      <w:r w:rsidR="00C54496" w:rsidRPr="00EB1AE4">
        <w:rPr>
          <w:szCs w:val="24"/>
        </w:rPr>
        <w:t xml:space="preserve"> </w:t>
      </w:r>
      <w:r w:rsidR="000522C7">
        <w:rPr>
          <w:szCs w:val="24"/>
        </w:rPr>
        <w:t>Therefore</w:t>
      </w:r>
      <w:r w:rsidR="0015767A">
        <w:rPr>
          <w:szCs w:val="24"/>
        </w:rPr>
        <w:t>, for increasing the formulation shelf-life</w:t>
      </w:r>
      <w:r w:rsidR="00E916AD">
        <w:rPr>
          <w:szCs w:val="24"/>
        </w:rPr>
        <w:t>,</w:t>
      </w:r>
      <w:r w:rsidR="0015767A">
        <w:rPr>
          <w:szCs w:val="24"/>
        </w:rPr>
        <w:t xml:space="preserve"> the removal of water is of paramount importance. </w:t>
      </w:r>
      <w:r w:rsidR="000522C7">
        <w:rPr>
          <w:szCs w:val="24"/>
        </w:rPr>
        <w:t>In this work, w</w:t>
      </w:r>
      <w:r w:rsidR="00E916AD">
        <w:rPr>
          <w:szCs w:val="24"/>
        </w:rPr>
        <w:t xml:space="preserve">e synthesized both polyethylene glycol (PEG)-stabilized and zwitterionic NPs </w:t>
      </w:r>
      <w:r w:rsidR="00E916AD">
        <w:rPr>
          <w:i/>
          <w:szCs w:val="24"/>
        </w:rPr>
        <w:t>via</w:t>
      </w:r>
      <w:r w:rsidR="00E916AD">
        <w:rPr>
          <w:szCs w:val="24"/>
        </w:rPr>
        <w:t xml:space="preserve"> Reversible Addition Fragmentation Chain Transfer (RAFT) Polymerization. </w:t>
      </w:r>
      <w:r w:rsidR="000522C7">
        <w:rPr>
          <w:szCs w:val="24"/>
        </w:rPr>
        <w:t>W</w:t>
      </w:r>
      <w:r w:rsidR="0015767A">
        <w:rPr>
          <w:szCs w:val="24"/>
        </w:rPr>
        <w:t xml:space="preserve">e demonstrated that lyophilization </w:t>
      </w:r>
      <w:r w:rsidR="00E916AD">
        <w:rPr>
          <w:szCs w:val="24"/>
        </w:rPr>
        <w:t>leads the PEGylated NPs</w:t>
      </w:r>
      <w:r w:rsidR="0015767A">
        <w:rPr>
          <w:szCs w:val="24"/>
        </w:rPr>
        <w:t xml:space="preserve"> to irreversible </w:t>
      </w:r>
      <w:r w:rsidR="00E916AD">
        <w:rPr>
          <w:szCs w:val="24"/>
        </w:rPr>
        <w:t xml:space="preserve">aggregation, while the stability of the zwitterionic NPs </w:t>
      </w:r>
      <w:r w:rsidR="000522C7">
        <w:rPr>
          <w:szCs w:val="24"/>
        </w:rPr>
        <w:t>was</w:t>
      </w:r>
      <w:r w:rsidR="00E916AD">
        <w:rPr>
          <w:szCs w:val="24"/>
        </w:rPr>
        <w:t xml:space="preserve"> preserved only </w:t>
      </w:r>
      <w:r w:rsidR="000522C7">
        <w:rPr>
          <w:szCs w:val="24"/>
        </w:rPr>
        <w:t>using a</w:t>
      </w:r>
      <w:r w:rsidR="00E916AD">
        <w:rPr>
          <w:szCs w:val="24"/>
        </w:rPr>
        <w:t xml:space="preserve"> cryoprotectant</w:t>
      </w:r>
      <w:r w:rsidR="0015767A">
        <w:rPr>
          <w:szCs w:val="24"/>
        </w:rPr>
        <w:t xml:space="preserve">. Therefore, we developed an alternative method for the NP concentration, based on the dialysis against a concentrated PEG solution. This method was optimized in terms of concentration factor (Fc), the ratio between the final and initial NP concentration, by acting on the PEG concentration in the dialysis medium, </w:t>
      </w:r>
      <w:r w:rsidR="00E916AD">
        <w:rPr>
          <w:szCs w:val="24"/>
        </w:rPr>
        <w:t xml:space="preserve">on </w:t>
      </w:r>
      <w:r w:rsidR="000522C7">
        <w:rPr>
          <w:szCs w:val="24"/>
        </w:rPr>
        <w:t>its</w:t>
      </w:r>
      <w:r w:rsidR="0015767A">
        <w:rPr>
          <w:szCs w:val="24"/>
        </w:rPr>
        <w:t xml:space="preserve"> volume and </w:t>
      </w:r>
      <w:r w:rsidR="00E916AD">
        <w:rPr>
          <w:szCs w:val="24"/>
        </w:rPr>
        <w:t xml:space="preserve">on </w:t>
      </w:r>
      <w:r w:rsidR="0015767A">
        <w:rPr>
          <w:szCs w:val="24"/>
        </w:rPr>
        <w:t xml:space="preserve">the initial </w:t>
      </w:r>
      <w:r w:rsidR="00E916AD">
        <w:rPr>
          <w:szCs w:val="24"/>
        </w:rPr>
        <w:t xml:space="preserve">NP </w:t>
      </w:r>
      <w:r w:rsidR="0015767A">
        <w:rPr>
          <w:szCs w:val="24"/>
        </w:rPr>
        <w:t xml:space="preserve">concentration. </w:t>
      </w:r>
      <w:r w:rsidR="000522C7">
        <w:rPr>
          <w:szCs w:val="24"/>
        </w:rPr>
        <w:t>With</w:t>
      </w:r>
      <w:r w:rsidR="0015767A">
        <w:rPr>
          <w:szCs w:val="24"/>
        </w:rPr>
        <w:t xml:space="preserve"> this </w:t>
      </w:r>
      <w:r w:rsidR="000522C7">
        <w:rPr>
          <w:szCs w:val="24"/>
        </w:rPr>
        <w:t>approach</w:t>
      </w:r>
      <w:r w:rsidR="0015767A">
        <w:rPr>
          <w:szCs w:val="24"/>
        </w:rPr>
        <w:t>,</w:t>
      </w:r>
      <w:r w:rsidR="005934EB">
        <w:rPr>
          <w:szCs w:val="24"/>
        </w:rPr>
        <w:t xml:space="preserve"> </w:t>
      </w:r>
      <w:r w:rsidR="00E916AD">
        <w:rPr>
          <w:szCs w:val="24"/>
        </w:rPr>
        <w:t>Fc</w:t>
      </w:r>
      <w:r w:rsidR="0015767A">
        <w:rPr>
          <w:szCs w:val="24"/>
        </w:rPr>
        <w:t xml:space="preserve"> up to </w:t>
      </w:r>
      <w:r w:rsidR="00E916AD">
        <w:rPr>
          <w:szCs w:val="24"/>
        </w:rPr>
        <w:t>40</w:t>
      </w:r>
      <w:r w:rsidR="0015767A">
        <w:rPr>
          <w:szCs w:val="24"/>
        </w:rPr>
        <w:t xml:space="preserve"> can be achieved in less than 10 h, preserving the possibility of redispersing the NPs </w:t>
      </w:r>
      <w:r w:rsidR="00E916AD">
        <w:rPr>
          <w:szCs w:val="24"/>
        </w:rPr>
        <w:t xml:space="preserve">to their </w:t>
      </w:r>
      <w:r w:rsidR="0015767A">
        <w:rPr>
          <w:szCs w:val="24"/>
        </w:rPr>
        <w:t xml:space="preserve">original particle size distribution. Therefore, the </w:t>
      </w:r>
      <w:r w:rsidR="00E916AD">
        <w:rPr>
          <w:szCs w:val="24"/>
        </w:rPr>
        <w:t>dialysis</w:t>
      </w:r>
      <w:r w:rsidR="000522C7">
        <w:rPr>
          <w:szCs w:val="24"/>
        </w:rPr>
        <w:t xml:space="preserve"> proposed herein</w:t>
      </w:r>
      <w:r w:rsidR="00E916AD">
        <w:rPr>
          <w:szCs w:val="24"/>
        </w:rPr>
        <w:t xml:space="preserve"> </w:t>
      </w:r>
      <w:r w:rsidR="00E916AD">
        <w:rPr>
          <w:szCs w:val="24"/>
        </w:rPr>
        <w:lastRenderedPageBreak/>
        <w:t>is a valuable alternative to lyophilization for the concentration of polymer NPs preserving their stability.</w:t>
      </w:r>
    </w:p>
    <w:p w14:paraId="3D6B84D8" w14:textId="60D419CC" w:rsidR="00664907" w:rsidRPr="00EB1AE4" w:rsidRDefault="00664907" w:rsidP="00194D33">
      <w:pPr>
        <w:ind w:right="282"/>
        <w:rPr>
          <w:szCs w:val="24"/>
        </w:rPr>
      </w:pPr>
    </w:p>
    <w:p w14:paraId="43EEA451" w14:textId="26803991" w:rsidR="00664907" w:rsidRPr="00EB1AE4" w:rsidRDefault="00664907" w:rsidP="00194D33">
      <w:pPr>
        <w:ind w:right="282"/>
        <w:rPr>
          <w:szCs w:val="24"/>
        </w:rPr>
      </w:pPr>
      <w:r w:rsidRPr="00EB1AE4">
        <w:rPr>
          <w:b/>
          <w:szCs w:val="24"/>
        </w:rPr>
        <w:t>Keywords:</w:t>
      </w:r>
      <w:r w:rsidRPr="00EB1AE4">
        <w:rPr>
          <w:szCs w:val="24"/>
        </w:rPr>
        <w:t xml:space="preserve"> Polymer; Nanoparticles; Dialysis; Lyophilization; Storage; Concentration; PEG; Phosphoryl choline; Zwitterions</w:t>
      </w:r>
    </w:p>
    <w:p w14:paraId="10DF1146" w14:textId="77777777" w:rsidR="00461976" w:rsidRPr="00EB1AE4" w:rsidRDefault="00461976" w:rsidP="00194D33">
      <w:pPr>
        <w:ind w:right="282"/>
        <w:rPr>
          <w:szCs w:val="24"/>
        </w:rPr>
      </w:pPr>
    </w:p>
    <w:p w14:paraId="22648460" w14:textId="0E108CAC" w:rsidR="00474587" w:rsidRPr="00EB1AE4" w:rsidRDefault="00474587" w:rsidP="00474587">
      <w:pPr>
        <w:pStyle w:val="Titolo1"/>
      </w:pPr>
      <w:r w:rsidRPr="00EB1AE4">
        <w:t>Introduction</w:t>
      </w:r>
    </w:p>
    <w:p w14:paraId="62D692E3" w14:textId="23A94426" w:rsidR="00D02707" w:rsidRPr="00EB1AE4" w:rsidRDefault="004F1B19" w:rsidP="00600AA6">
      <w:pPr>
        <w:widowControl w:val="0"/>
        <w:autoSpaceDE w:val="0"/>
        <w:autoSpaceDN w:val="0"/>
        <w:adjustRightInd w:val="0"/>
        <w:rPr>
          <w:noProof/>
          <w:vertAlign w:val="superscript"/>
        </w:rPr>
      </w:pPr>
      <w:r w:rsidRPr="00EB1AE4">
        <w:t>P</w:t>
      </w:r>
      <w:r w:rsidR="00996E3A" w:rsidRPr="00EB1AE4">
        <w:t xml:space="preserve">olymeric </w:t>
      </w:r>
      <w:r w:rsidR="006D5DBE" w:rsidRPr="00EB1AE4">
        <w:t xml:space="preserve">nanoparticles (NPs) are a class of colloids in the </w:t>
      </w:r>
      <w:r w:rsidR="003D7EB8" w:rsidRPr="00EB1AE4">
        <w:t>submicron</w:t>
      </w:r>
      <w:r w:rsidR="00252BE5" w:rsidRPr="00EB1AE4">
        <w:t xml:space="preserve"> size</w:t>
      </w:r>
      <w:r w:rsidRPr="00EB1AE4">
        <w:t xml:space="preserve"> scale</w:t>
      </w:r>
      <w:r w:rsidR="00996E3A" w:rsidRPr="00EB1AE4">
        <w:t xml:space="preserve"> </w:t>
      </w:r>
      <w:r w:rsidR="00AF000C" w:rsidRPr="00EB1AE4">
        <w:t>that are finding growing interest for application</w:t>
      </w:r>
      <w:r w:rsidR="00996E3A" w:rsidRPr="00EB1AE4">
        <w:t xml:space="preserve"> in medicine</w:t>
      </w:r>
      <w:r w:rsidR="00D07BAA" w:rsidRPr="00EB1AE4">
        <w:fldChar w:fldCharType="begin" w:fldLock="1"/>
      </w:r>
      <w:r w:rsidR="00BE213A">
        <w:instrText>ADDIN CSL_CITATION {"citationItems":[{"id":"ITEM-1","itemData":{"DOI":"10.1039/C8NR05933K","ISSN":"2040-3364","abstract":"In this review article we discuss some of the key aspects concerning the development of a polymer-based nanoparticle formulation for intravenous drug delivery. Since numerous preparations fail before and during clinical trials, our aim is to emphasize the main issues that a nanocarrier has to face once injected into the body. These include biocompatibility and toxicity, drug loading and release, nanoparticle storage and stability, biodistribution, selectivity towards the target organs or tissues, internalization in cells and biodegradability. They represent the main checkpoints to define a polymer-based formulation as safe and effective. Indeed, this review is intended to provide guidelines to be followed in the early development of a new nanotherapeutic to hopefully increase the success rate of polymer-based formulations entering clinical trials. The corresponding requirements and characteristics are discussed in the context of some relevant case studies taken from the literature and mainly related to the delivery of lipophilic anticancer therapeutics.","author":[{"dropping-particle":"","family":"Ferrari","given":"R","non-dropping-particle":"","parse-names":false,"suffix":""},{"dropping-particle":"","family":"Sponchioni","given":"M","non-dropping-particle":"","parse-names":false,"suffix":""},{"dropping-particle":"","family":"Morbidelli","given":"M","non-dropping-particle":"","parse-names":false,"suffix":""},{"dropping-particle":"","family":"Moscatelli","given":"D","non-dropping-particle":"","parse-names":false,"suffix":""}],"container-title":"Nanoscale","id":"ITEM-1","issue":"48","issued":{"date-parts":[["2018"]]},"page":"22701-22719","publisher":"The Royal Society of Chemistry","title":"Polymer nanoparticles for the intravenous delivery of anticancer drugs: the checkpoints on the road from the synthesis to clinical translation","type":"article-journal","volume":"10"},"uris":["http://www.mendeley.com/documents/?uuid=a937f5d8-3991-49e4-a8c3-da13ea960f77","http://www.mendeley.com/documents/?uuid=ad5f835d-1a17-4329-a408-063b7d5df139"]}],"mendeley":{"formattedCitation":"&lt;sup&gt;1&lt;/sup&gt;","plainTextFormattedCitation":"1","previouslyFormattedCitation":"&lt;sup&gt;1&lt;/sup&gt;"},"properties":{"noteIndex":0},"schema":"https://github.com/citation-style-language/schema/raw/master/csl-citation.json"}</w:instrText>
      </w:r>
      <w:r w:rsidR="00D07BAA" w:rsidRPr="00EB1AE4">
        <w:fldChar w:fldCharType="separate"/>
      </w:r>
      <w:r w:rsidR="00D07BAA" w:rsidRPr="00EB1AE4">
        <w:rPr>
          <w:noProof/>
          <w:vertAlign w:val="superscript"/>
        </w:rPr>
        <w:t>1</w:t>
      </w:r>
      <w:r w:rsidR="00D07BAA" w:rsidRPr="00EB1AE4">
        <w:fldChar w:fldCharType="end"/>
      </w:r>
      <w:r w:rsidR="00D07BAA" w:rsidRPr="00EB1AE4">
        <w:t>.</w:t>
      </w:r>
      <w:r w:rsidR="00F9205E" w:rsidRPr="00EB1AE4">
        <w:t xml:space="preserve"> </w:t>
      </w:r>
      <w:r w:rsidR="00F9205E" w:rsidRPr="00EB1AE4">
        <w:rPr>
          <w:rFonts w:cs="Times New Roman"/>
          <w:szCs w:val="24"/>
        </w:rPr>
        <w:t xml:space="preserve">In </w:t>
      </w:r>
      <w:r w:rsidR="006D5DBE" w:rsidRPr="00EB1AE4">
        <w:t>the recent years, a huge effort has</w:t>
      </w:r>
      <w:r w:rsidR="00CF5D50" w:rsidRPr="00EB1AE4">
        <w:t xml:space="preserve"> been </w:t>
      </w:r>
      <w:r w:rsidR="000408A4">
        <w:t>performed</w:t>
      </w:r>
      <w:r w:rsidR="000408A4" w:rsidRPr="00EB1AE4">
        <w:t xml:space="preserve"> </w:t>
      </w:r>
      <w:r w:rsidR="00CF5D50" w:rsidRPr="00EB1AE4">
        <w:t>in order to develop</w:t>
      </w:r>
      <w:r w:rsidR="006D5DBE" w:rsidRPr="00EB1AE4">
        <w:t xml:space="preserve"> biodegradable</w:t>
      </w:r>
      <w:r w:rsidR="00A26751" w:rsidRPr="00EB1AE4">
        <w:t xml:space="preserve"> polymer NPs to be used as carriers </w:t>
      </w:r>
      <w:r w:rsidR="00AF000C" w:rsidRPr="00EB1AE4">
        <w:t xml:space="preserve">for </w:t>
      </w:r>
      <w:r w:rsidR="00A26751" w:rsidRPr="00EB1AE4">
        <w:t xml:space="preserve">the </w:t>
      </w:r>
      <w:r w:rsidR="00AF000C" w:rsidRPr="00EB1AE4">
        <w:t xml:space="preserve">controlled and </w:t>
      </w:r>
      <w:r w:rsidR="00593EA4" w:rsidRPr="00EB1AE4">
        <w:t xml:space="preserve">targeted delivery of </w:t>
      </w:r>
      <w:r w:rsidR="000408A4">
        <w:t xml:space="preserve">different </w:t>
      </w:r>
      <w:r w:rsidR="00AF000C" w:rsidRPr="00EB1AE4">
        <w:t>active principles</w:t>
      </w:r>
      <w:r w:rsidR="000408A4">
        <w:t xml:space="preserve">, including </w:t>
      </w:r>
      <w:r w:rsidR="00593EA4" w:rsidRPr="00EB1AE4">
        <w:t>lipophilic drugs</w:t>
      </w:r>
      <w:r w:rsidR="000408A4">
        <w:t xml:space="preserve">, </w:t>
      </w:r>
      <w:r w:rsidR="00F359D4" w:rsidRPr="00EB1AE4">
        <w:t>proteins and genetic material</w:t>
      </w:r>
      <w:r w:rsidR="00CF3263" w:rsidRPr="00EB1AE4">
        <w:fldChar w:fldCharType="begin" w:fldLock="1"/>
      </w:r>
      <w:r w:rsidR="00BE213A">
        <w:instrText>ADDIN CSL_CITATION {"citationItems":[{"id":"ITEM-1","itemData":{"DOI":"10.1186/1477-3155-2-3","ISSN":"1477-3155","abstract":"Nanomaterials are at the leading edge of the rapidly developing field of nanotechnology. Their unique size-dependent properties make these materials superior and indispensable in many areas of human activity. This brief review tries to summarise the most recent developments in the field of applied nanomaterials, in particular their application in biology and medicine, and discusses their commercialisation prospects.","author":[{"dropping-particle":"V","family":"Salata","given":"O","non-dropping-particle":"","parse-names":false,"suffix":""}],"container-title":"Journal of Nanobiotechnology","id":"ITEM-1","issue":"1","issued":{"date-parts":[["2004"]]},"page":"3","title":"Applications of nanoparticles in biology and medicine","type":"article-journal","volume":"2"},"uris":["http://www.mendeley.com/documents/?uuid=3d4120f2-f572-42bc-9af5-abd1ce5d3de5"]},{"id":"ITEM-2","itemData":{"DOI":"10.1038/sj.clpt.6100400","ISSN":"0009-9236","abstract":"Nanotechnology is the understanding and control of matter generally in the 1?100?nm dimension range. The application of nanotechnology to medicine, known as nanomedicine, concerns the use of precisely engineered materials at this length scale to develop novel therapeutic and diagnostic modalities.1,2 Nanomaterials have unique physicochemical properties, such as ultra small size, large surface area to mass ratio, and high reactivity, which are different from bulk materials of the same composition. These properties can be used to overcome some of the limitations found in traditional therapeutic and diagnostic agents. Clinical Pharmacology  83, 5, 761?769. doi:10.1038/sj.clpt.6100400","author":[{"dropping-particle":"","family":"Zhang","given":"L","non-dropping-particle":"","parse-names":false,"suffix":""},{"dropping-particle":"","family":"Gu","given":"F X","non-dropping-particle":"","parse-names":false,"suffix":""},{"dropping-particle":"","family":"Chan","given":"J M","non-dropping-particle":"","parse-names":false,"suffix":""},{"dropping-particle":"","family":"Wang","given":"A Z","non-dropping-particle":"","parse-names":false,"suffix":""},{"dropping-particle":"","family":"Langer","given":"R S","non-dropping-particle":"","parse-names":false,"suffix":""},{"dropping-particle":"","family":"Farokhzad","given":"O C","non-dropping-particle":"","parse-names":false,"suffix":""}],"container-title":"Clinical Pharmacology &amp; Therapeutics","id":"ITEM-2","issue":"5","issued":{"date-parts":[["2008","5"]]},"page":"761-769","publisher":"John Wiley &amp; Sons, Ltd","title":"Nanoparticles in Medicine: Therapeutic Applications and Developments","type":"article-journal","volume":"83"},"uris":["http://www.mendeley.com/documents/?uuid=7031ac30-dfff-4f50-b1f0-645ac6cd5ff4","http://www.mendeley.com/documents/?uuid=d2f4f013-1232-480d-8c5e-195e351aa1fd"]},{"id":"ITEM-3","itemData":{"DOI":"https://doi.org/10.1016/S0169-409X(02)00228-4","ISSN":"0169-409X","abstract":"Biodegradable nanoparticles formulated from poly (d,l-lactide-co-glycolide) (PLGA) have been extensively investigated for sustained and targeted/localized delivery of different agents including plasmid DNA, proteins and peptides and low molecular weight compounds. Research about the mechanism of intracellular uptake of nanoparticles, their trafficking and sorting into different intracellular compartments, and the mechanism of enhanced therapeutic efficacy of nanoparticle-encapsulated agent at cellular level is more recent and is the primary focus of the review. Recent studies in our laboratory demonstrated rapid escape of PLGA nanoparticles from the endo-lysosomal compartment into cytosol following their uptake. Based on the above mechanism, various potential applications of nanoparticles for delivery of therapeutic agents to the cells and tissue are discussed.","author":[{"dropping-particle":"","family":"Panyam","given":"Jayanth","non-dropping-particle":"","parse-names":false,"suffix":""},{"dropping-particle":"","family":"Labhasetwar","given":"Vinod","non-dropping-particle":"","parse-names":false,"suffix":""}],"container-title":"Advanced Drug Delivery Reviews","id":"ITEM-3","issue":"3","issued":{"date-parts":[["2003"]]},"page":"329-347","title":"Biodegradable nanoparticles for drug and gene delivery to cells and tissue","type":"article-journal","volume":"55"},"uris":["http://www.mendeley.com/documents/?uuid=64f91162-b62d-40df-a7be-9a7500e23df1"]}],"mendeley":{"formattedCitation":"&lt;sup&gt;2–4&lt;/sup&gt;","plainTextFormattedCitation":"2–4","previouslyFormattedCitation":"&lt;sup&gt;2–4&lt;/sup&gt;"},"properties":{"noteIndex":0},"schema":"https://github.com/citation-style-language/schema/raw/master/csl-citation.json"}</w:instrText>
      </w:r>
      <w:r w:rsidR="00CF3263" w:rsidRPr="00EB1AE4">
        <w:fldChar w:fldCharType="separate"/>
      </w:r>
      <w:r w:rsidR="00D07BAA" w:rsidRPr="00EB1AE4">
        <w:rPr>
          <w:noProof/>
          <w:vertAlign w:val="superscript"/>
        </w:rPr>
        <w:t>2–4</w:t>
      </w:r>
      <w:r w:rsidR="00CF3263" w:rsidRPr="00EB1AE4">
        <w:fldChar w:fldCharType="end"/>
      </w:r>
      <w:r w:rsidR="00593EA4" w:rsidRPr="00EB1AE4">
        <w:t xml:space="preserve">. The ability of these colloids to degrade under physiological conditions and the easiness of </w:t>
      </w:r>
      <w:r w:rsidR="00A26751" w:rsidRPr="00EB1AE4">
        <w:t xml:space="preserve">elimination </w:t>
      </w:r>
      <w:r w:rsidR="00996E3A" w:rsidRPr="00EB1AE4">
        <w:t xml:space="preserve">of their biocompatible </w:t>
      </w:r>
      <w:r w:rsidR="00A26751" w:rsidRPr="00EB1AE4">
        <w:t>degradation products</w:t>
      </w:r>
      <w:r w:rsidR="00996E3A" w:rsidRPr="00EB1AE4">
        <w:t xml:space="preserve"> make them particularly suitable for </w:t>
      </w:r>
      <w:r w:rsidR="00CF5D50" w:rsidRPr="00EB1AE4">
        <w:t>this application</w:t>
      </w:r>
      <w:r w:rsidR="00A56FA6" w:rsidRPr="00EB1AE4">
        <w:t>, ensuring</w:t>
      </w:r>
      <w:r w:rsidR="00A26751" w:rsidRPr="00EB1AE4">
        <w:t xml:space="preserve"> that no polymer accumulates in the body</w:t>
      </w:r>
      <w:r w:rsidR="00D07BAA" w:rsidRPr="00EB1AE4">
        <w:fldChar w:fldCharType="begin" w:fldLock="1"/>
      </w:r>
      <w:r w:rsidR="00BE213A">
        <w:instrText>ADDIN CSL_CITATION {"citationItems":[{"id":"ITEM-1","itemData":{"DOI":"10.1016/B978-0-08-100262-9.00012-4","ISBN":"9780081002667","abstract":"© 2017 Elsevier Ltd. All rights reserved. In the last decades, a wide variety of nanoparticles (NPs) has been developed, aiming at sensible pharmaceutical and biomedical applications such as imaging and tumor treatment. Among these nanosized systems, a relevant role is played by polymer NPs. This is mainly due to the versatility of the polymer chemistry, that allows obtaining very complex structures specifically tuned for the purpose that they are projected for. However, polymer NPs have to face many hurdles before entering the clinical phase. First of all, the biocompatibility must be granted for all the employed materials. Further, the polymer matrix should be completely biodegradable, in order to grant the bioresorbability and, at the same time, to avoid the polymer accumulation inside the cells and the bloodstream. These requirements are completely fulfilled by the polyesters. In this chapter, a detailed review of the main techniques to produce bioresorbable polyester-based NPs is presented, together with a panorama about the possible applications and the hurdles this systems have to face before entering a clinical application.","author":[{"dropping-particle":"","family":"Moscatelli","given":"D.","non-dropping-particle":"","parse-names":false,"suffix":""},{"dropping-particle":"","family":"Sponchioni","given":"M.","non-dropping-particle":"","parse-names":false,"suffix":""}],"chapter-number":"12","container-title":"Bioresorbable Polymers for Biomedical Applications","id":"ITEM-1","issued":{"date-parts":[["2017"]]},"page":"265-283","publisher":"Elsevier","title":"Bioresorbable polymer nanoparticles in the medical and pharmaceutical fields","type":"chapter"},"uris":["http://www.mendeley.com/documents/?uuid=910337df-233a-3b6b-8b42-8072a7ef2ca8"]},{"id":"ITEM-2","itemData":{"DOI":"https://doi.org/10.1016/S1359-0286(02)00117-1","ISSN":"1359-0286","abstract":"Throughout the world today, numerous researchers are exploring the potential use of polymeric nanoparticles as carriers for a wide range of drugs for therapeutic applications. Because of their versatility and wide range of properties, biodegradable polymeric nanoparticles are being used as novel drug delivery systems. In particular, this class of carrier holds tremendous promise in the areas of cancer therapy and controlled delivery of vaccines.","author":[{"dropping-particle":"","family":"Hans","given":"M L","non-dropping-particle":"","parse-names":false,"suffix":""},{"dropping-particle":"","family":"Lowman","given":"A M","non-dropping-particle":"","parse-names":false,"suffix":""}],"container-title":"Current Opinion in Solid State and Materials Science","id":"ITEM-2","issue":"4","issued":{"date-parts":[["2002"]]},"page":"319-327","title":"Biodegradable nanoparticles for drug delivery and targeting","type":"article-journal","volume":"6"},"uris":["http://www.mendeley.com/documents/?uuid=7c714c2c-794f-4c9e-bbc8-900cad42f342"]},{"id":"ITEM-3","itemData":{"DOI":"10.1021/acs.chemrev.5b00346","ISSN":"0009-2665","author":[{"dropping-particle":"","family":"Kamaly","given":"Nazila","non-dropping-particle":"","parse-names":false,"suffix":""},{"dropping-particle":"","family":"Yameen","given":"Basit","non-dropping-particle":"","parse-names":false,"suffix":""},{"dropping-particle":"","family":"Wu","given":"Jun","non-dropping-particle":"","parse-names":false,"suffix":""},{"dropping-particle":"","family":"Farokhzad","given":"Omid C","non-dropping-particle":"","parse-names":false,"suffix":""}],"container-title":"Chemical Reviews","id":"ITEM-3","issue":"4","issued":{"date-parts":[["2016","2"]]},"page":"2602-2663","publisher":"American Chemical Society","title":"Degradable Controlled-Release Polymers and Polymeric Nanoparticles: Mechanisms of Controlling Drug Release","type":"article-journal","volume":"116"},"uris":["http://www.mendeley.com/documents/?uuid=1b5641fe-a580-4da9-a73f-eec45feb072d"]}],"mendeley":{"formattedCitation":"&lt;sup&gt;5–7&lt;/sup&gt;","plainTextFormattedCitation":"5–7","previouslyFormattedCitation":"&lt;sup&gt;5–7&lt;/sup&gt;"},"properties":{"noteIndex":0},"schema":"https://github.com/citation-style-language/schema/raw/master/csl-citation.json"}</w:instrText>
      </w:r>
      <w:r w:rsidR="00D07BAA" w:rsidRPr="00EB1AE4">
        <w:fldChar w:fldCharType="separate"/>
      </w:r>
      <w:r w:rsidR="00D07BAA" w:rsidRPr="00EB1AE4">
        <w:rPr>
          <w:noProof/>
          <w:vertAlign w:val="superscript"/>
        </w:rPr>
        <w:t>5–7</w:t>
      </w:r>
      <w:r w:rsidR="00D07BAA" w:rsidRPr="00EB1AE4">
        <w:fldChar w:fldCharType="end"/>
      </w:r>
      <w:r w:rsidR="00CF5D50" w:rsidRPr="00EB1AE4">
        <w:t xml:space="preserve">. </w:t>
      </w:r>
      <w:r w:rsidR="001C547A" w:rsidRPr="00EB1AE4">
        <w:t xml:space="preserve"> </w:t>
      </w:r>
      <w:r w:rsidR="00372CEE" w:rsidRPr="00EB1AE4">
        <w:t xml:space="preserve">In particular, </w:t>
      </w:r>
      <w:r w:rsidR="00664907" w:rsidRPr="00EB1AE4">
        <w:t xml:space="preserve">the </w:t>
      </w:r>
      <w:r w:rsidR="00372CEE" w:rsidRPr="00EB1AE4">
        <w:t>recent advances in the field proposed NPs</w:t>
      </w:r>
      <w:r w:rsidR="001C547A" w:rsidRPr="00EB1AE4">
        <w:t xml:space="preserve"> </w:t>
      </w:r>
      <w:r w:rsidR="00372CEE" w:rsidRPr="00EB1AE4">
        <w:t xml:space="preserve">structurally </w:t>
      </w:r>
      <w:r w:rsidR="001C547A" w:rsidRPr="00EB1AE4">
        <w:t xml:space="preserve">composed </w:t>
      </w:r>
      <w:r w:rsidR="000408A4">
        <w:t>of</w:t>
      </w:r>
      <w:r w:rsidR="000408A4" w:rsidRPr="00EB1AE4">
        <w:t xml:space="preserve"> </w:t>
      </w:r>
      <w:r w:rsidR="001C547A" w:rsidRPr="00EB1AE4">
        <w:t xml:space="preserve">amphiphilic block-copolymers </w:t>
      </w:r>
      <w:r w:rsidR="00372CEE" w:rsidRPr="00EB1AE4">
        <w:t>as a versatile tool for the encapsulation and controlled release of therapeutic</w:t>
      </w:r>
      <w:r w:rsidR="00503E5A" w:rsidRPr="00EB1AE4">
        <w:t>s</w:t>
      </w:r>
      <w:r w:rsidR="00503E5A" w:rsidRPr="00EB1AE4">
        <w:fldChar w:fldCharType="begin" w:fldLock="1"/>
      </w:r>
      <w:r w:rsidR="00BE213A">
        <w:instrText>ADDIN CSL_CITATION {"citationItems":[{"id":"ITEM-1","itemData":{"DOI":"10.1002/macp.201700380","ISSN":"10221352","abstract":"© 2017 WILEY-VCH Verlag GmbH &amp; Co. KGaA, Weinheim The most adopted methods to produce polymer nanoparticles (NPs) for medical and pharmaceutical applications use surfactants that are toxic and physically adsorbed to the NPs, with the risk of desorption and insurgence of side effects. A valid alternative is represented by the use of surfmers, reactive surfactants that are chemically linked to the polymer chains, thus avoiding the release of toxic species. In this case, the lack of biodegradable surfmers introduces the concern of polymer accumulation into the body. In this work, biodegradable, poly(ethylene glycol) (PEG)ylated N-(2-hydroxypropyl) methacrylamide (HPMA) based surfmers are synthesized and used to stabilize lipophilic NPs. In particular, the NP core is made from a macromonomer comprising a poly(lactic acid) (PLA) chain functionalized with HPMA double bond. The NP forming polymer chains are then constituted by a uniform poly(HPMA) backbone that is biocompatible and water soluble and hydrolysable PEG and PLA pendants assuring the complete degradability of the polymer. The stability provided to these NPs by the synthesized surfmers is studied in the cases of both emulsion free radical polymerization and solution free radical polymerization followed by the flash nanoprecipitation of the obtained amphiphilic copolymers.","author":[{"dropping-particle":"","family":"Sponchioni","given":"Mattia","non-dropping-particle":"","parse-names":false,"suffix":""},{"dropping-particle":"","family":"Palmiero","given":"Umberto Capasso","non-dropping-particle":"","parse-names":false,"suffix":""},{"dropping-particle":"","family":"Moscatelli","given":"Davide","non-dropping-particle":"","parse-names":false,"suffix":""}],"container-title":"Macromolecular Chemistry and Physics","id":"ITEM-1","issue":"23","issued":{"date-parts":[["2017","12"]]},"page":"1700380","title":"HPMA-PEG Surfmers and Their Use in Stabilizing Fully Biodegradable Polymer Nanoparticles","type":"article-journal","volume":"218"},"uris":["http://www.mendeley.com/documents/?uuid=df5d3b64-5a9b-33aa-bbee-72ea99b7543d"]},{"id":"ITEM-2","itemData":{"DOI":"10.1021/bc049784m","ISSN":"1043-1802","abstract":"A star polymer composed of amphiphilic block copolymer arms has been synthesized and characterized. The core of the star polymer is polyamidoamine (PAMAM) dendrimer, the inner block in the arm is lipophilic poly(ε-caprolactone) (PCL), and the outer block in the arm is hydrophilic poly(ethylene glycol) (PEG). The star-PCL polymer was synthesized first by ring-opening polymerization of ε-caprolactone with a PAMAM-OH dendrimer as initiator. The PEG polymer was then attached to the PCL terminus by an ester-forming reaction. Characterization with SEC, 1H NMR, FTIR, TGA, and DSC confirmed the star structure of the polymers. The micelle formation of the star copolymer (star-PCL−PEG) was studied by fluorescence spectroscopy. Hydrophobic dyes and drugs can be encapsulated in the micelles. A loading capacity of up to 22% (w/w) was achieved with etoposide, a hydrophobic anticancer drug. A cytotoxicity assay demonstrated that the star-PCL−PEG copolymer is nontoxic in cell culture. This type of block copolymer can be used as a drug delivery carrier.","author":[{"dropping-particle":"","family":"Wang","given":"Fei","non-dropping-particle":"","parse-names":false,"suffix":""},{"dropping-particle":"","family":"Bronich","given":"Tatiana K","non-dropping-particle":"","parse-names":false,"suffix":""},{"dropping-particle":"V","family":"Kabanov","given":"Alexander","non-dropping-particle":"","parse-names":false,"suffix":""},{"dropping-particle":"","family":"Rauh","given":"R David","non-dropping-particle":"","parse-names":false,"suffix":""},{"dropping-particle":"","family":"Roovers","given":"Jacques","non-dropping-particle":"","parse-names":false,"suffix":""}],"container-title":"Bioconjugate Chemistry","id":"ITEM-2","issue":"2","issued":{"date-parts":[["2005","3"]]},"page":"397-405","publisher":"American Chemical Society","title":"Synthesis and Evaluation of a Star Amphiphilic Block Copolymer from Poly(ε-caprolactone) and Poly(ethylene glycol) as a Potential Drug Delivery Carrier","type":"article-journal","volume":"16"},"uris":["http://www.mendeley.com/documents/?uuid=024d437d-aa1f-4add-bbb0-9fa78783a8e6","http://www.mendeley.com/documents/?uuid=233400ad-c040-4614-9f70-e84c1cb7f392"]},{"id":"ITEM-3","itemData":{"DOI":"10.1002/jps.10397","ISSN":"0022-3549","abstract":"Abstract Amphiphilic block copolymers (ABCs) have been used extensively in pharmaceutical applications ranging from sustained-release technologies to gene delivery. The utility of ABCs for delivery of therapeutic agents results from their unique chemical composition, which is characterized by a hydrophilic block that is chemically tethered to a hydrophobic block. In aqueous solution, polymeric micelles are formed via the association of ABCs into nanoscopic core/shell structures at or above the critical micelle concentration. Upon micellization, the hydrophobic core regions serve as reservoirs for hydrophobic drugs, which may be loaded by chemical, physical, or electrostatic means, depending on the specific functionalities of the core-forming block and the solubilizate. Although the Pluronics?, composed of poly(ethylene oxide)-block-poly(propylene oxide)-block-poly(ethylene oxide), are the most widely studied ABC system, copolymers containing poly(L-amino acid) and poly(ester) hydrophobic blocks have also shown great promise in delivery applications. Because each ABC has unique advantages with respect to drug delivery, it may be possible to choose appropriate block copolymers for specific purposes, such as prolonging circulation time, introduction of targeting moieties, and modification of the drug-release profile. ABCs have been used for numerous pharmaceutical applications including drug solubilization/stabilization, alteration of the pharmacokinetic profile of encapsulated substances, and suppression of multidrug resistance. The purpose of this minireview is to provide a concise, yet detailed, introduction to the use of ABCs and polymeric micelles as delivery agents as well as to highlight current and past work in this area. ? 2003 Wiley-Liss, Inc. and the American Pharmacists Association J Pharm Sci 92:1343?1355, 2003","author":[{"dropping-particle":"","family":"Adams","given":"Monica L","non-dropping-particle":"","parse-names":false,"suffix":""},{"dropping-particle":"","family":"Lavasanifar","given":"Afsaneh","non-dropping-particle":"","parse-names":false,"suffix":""},{"dropping-particle":"","family":"Kwon","given":"Glen S","non-dropping-particle":"","parse-names":false,"suffix":""}],"container-title":"Journal of Pharmaceutical Sciences","id":"ITEM-3","issue":"7","issued":{"date-parts":[["2003","7"]]},"page":"1343-1355","publisher":"John Wiley &amp; Sons, Ltd","title":"Amphiphilic block copolymers for drug delivery","type":"article-journal","volume":"92"},"uris":["http://www.mendeley.com/documents/?uuid=0b5c5a7c-35c6-480d-9676-ccd0d629aa5d","http://www.mendeley.com/documents/?uuid=86efd501-660e-4eb6-b116-ff2cd23907b7"]}],"mendeley":{"formattedCitation":"&lt;sup&gt;8–10&lt;/sup&gt;","plainTextFormattedCitation":"8–10","previouslyFormattedCitation":"&lt;sup&gt;8–10&lt;/sup&gt;"},"properties":{"noteIndex":0},"schema":"https://github.com/citation-style-language/schema/raw/master/csl-citation.json"}</w:instrText>
      </w:r>
      <w:r w:rsidR="00503E5A" w:rsidRPr="00EB1AE4">
        <w:fldChar w:fldCharType="separate"/>
      </w:r>
      <w:r w:rsidR="00503E5A" w:rsidRPr="00EB1AE4">
        <w:rPr>
          <w:noProof/>
          <w:vertAlign w:val="superscript"/>
        </w:rPr>
        <w:t>8–10</w:t>
      </w:r>
      <w:r w:rsidR="00503E5A" w:rsidRPr="00EB1AE4">
        <w:fldChar w:fldCharType="end"/>
      </w:r>
      <w:r w:rsidR="00372CEE" w:rsidRPr="00EB1AE4">
        <w:t>. In this configuration,</w:t>
      </w:r>
      <w:r w:rsidR="001C547A" w:rsidRPr="00EB1AE4">
        <w:t xml:space="preserve"> the lipophilic </w:t>
      </w:r>
      <w:r w:rsidR="00372CEE" w:rsidRPr="00EB1AE4">
        <w:t>portion of the copolymer</w:t>
      </w:r>
      <w:r w:rsidR="00A56FA6" w:rsidRPr="00EB1AE4">
        <w:t>, usually a polyester,</w:t>
      </w:r>
      <w:r w:rsidR="00372CEE" w:rsidRPr="00EB1AE4">
        <w:t xml:space="preserve"> </w:t>
      </w:r>
      <w:r w:rsidR="001C547A" w:rsidRPr="00EB1AE4">
        <w:t xml:space="preserve">forms the biodegradable core of the </w:t>
      </w:r>
      <w:r w:rsidR="00372CEE" w:rsidRPr="00EB1AE4">
        <w:t xml:space="preserve">NPs, </w:t>
      </w:r>
      <w:r w:rsidR="001C547A" w:rsidRPr="00EB1AE4">
        <w:t>whereas the hydrophilic one act</w:t>
      </w:r>
      <w:r w:rsidR="00A26751" w:rsidRPr="00EB1AE4">
        <w:t>s</w:t>
      </w:r>
      <w:r w:rsidR="001C547A" w:rsidRPr="00EB1AE4">
        <w:t xml:space="preserve"> as shell and serves as stabilizer</w:t>
      </w:r>
      <w:r w:rsidR="001C547A" w:rsidRPr="00EB1AE4">
        <w:fldChar w:fldCharType="begin" w:fldLock="1"/>
      </w:r>
      <w:r w:rsidR="00BE213A">
        <w:instrText>ADDIN CSL_CITATION {"citationItems":[{"id":"ITEM-1","itemData":{"DOI":"https://doi.org/10.1016/B978-044482441-7/50016-5","ISBN":"978-0-444-82441-7","author":[{"dropping-particle":"V","family":"Kabanov","given":"Alexander","non-dropping-particle":"","parse-names":false,"suffix":""},{"dropping-particle":"","family":"Alakhov","given":"Valery Yu.","non-dropping-particle":"","parse-names":false,"suffix":""}],"editor":[{"dropping-particle":"","family":"Alexandridis","given":"Paschalis","non-dropping-particle":"","parse-names":false,"suffix":""},{"dropping-particle":"","family":"Lindman","given":"Björn B T - Amphiphilic Block Copolymers","non-dropping-particle":"","parse-names":false,"suffix":""}],"id":"ITEM-1","issued":{"date-parts":[["2000"]]},"page":"347-376","publisher":"Elsevier Science B.V.","publisher-place":"Amsterdam","title":"Micelles of amphiphilic block copolymers as vehicles for drug delivery","type":"chapter"},"uris":["http://www.mendeley.com/documents/?uuid=e596bc2b-3eca-40de-b8d5-a359cfc05960","http://www.mendeley.com/documents/?uuid=8b008ce5-a778-4cb1-a40e-18c9b890cbdb"]},{"id":"ITEM-2","itemData":{"DOI":"https://doi.org/10.1016/j.addr.2012.09.026","ISSN":"0169-409X","abstract":"Amphiphilic block copolymers are well established as building blocks for the preparation of micellar drug carriers. Over the past decade, the effectiveness of such self-assembled drug delivery devices has been demonstrated numerous times. This review will discuss two approaches that can be used to further improve the effectiveness of amphiphilic block copolymer-based drug delivery systems. The first approach involves the chemical modification of the block copolymer building blocks. Several examples will be discussed of amphiphilic block copolymers modified with crosslinkable groups in order to increase the stability of the micellar drug carriers, or of block copolymers containing specific ligands that could ultimately allow targeted drug delivery. The second approach to improve the performance of micellar drug carriers is the addition of auxiliary agents. To illustrate this approach, the feasibility of channel proteins and metal (nano)particles to improve temporal control over the drug release process is discussed.","author":[{"dropping-particle":"","family":"Rösler","given":"Annette","non-dropping-particle":"","parse-names":false,"suffix":""},{"dropping-particle":"","family":"Vandermeulen","given":"Guido W M","non-dropping-particle":"","parse-names":false,"suffix":""},{"dropping-particle":"","family":"Klok","given":"Harm-Anton","non-dropping-particle":"","parse-names":false,"suffix":""}],"container-title":"Advanced Drug Delivery Reviews","id":"ITEM-2","issued":{"date-parts":[["2012"]]},"page":"270-279","title":"Advanced drug delivery devices via self-assembly of amphiphilic block copolymers","type":"article-journal","volume":"64"},"uris":["http://www.mendeley.com/documents/?uuid=c0719c0a-7836-4271-8015-6f67b7eb073b","http://www.mendeley.com/documents/?uuid=e8949e47-b4a6-4f6f-88b3-454df6cb329a"]},{"id":"ITEM-3","itemData":{"DOI":"10.1002/jps.10397","ISSN":"0022-3549","abstract":"Abstract Amphiphilic block copolymers (ABCs) have been used extensively in pharmaceutical applications ranging from sustained-release technologies to gene delivery. The utility of ABCs for delivery of therapeutic agents results from their unique chemical composition, which is characterized by a hydrophilic block that is chemically tethered to a hydrophobic block. In aqueous solution, polymeric micelles are formed via the association of ABCs into nanoscopic core/shell structures at or above the critical micelle concentration. Upon micellization, the hydrophobic core regions serve as reservoirs for hydrophobic drugs, which may be loaded by chemical, physical, or electrostatic means, depending on the specific functionalities of the core-forming block and the solubilizate. Although the Pluronics?, composed of poly(ethylene oxide)-block-poly(propylene oxide)-block-poly(ethylene oxide), are the most widely studied ABC system, copolymers containing poly(L-amino acid) and poly(ester) hydrophobic blocks have also shown great promise in delivery applications. Because each ABC has unique advantages with respect to drug delivery, it may be possible to choose appropriate block copolymers for specific purposes, such as prolonging circulation time, introduction of targeting moieties, and modification of the drug-release profile. ABCs have been used for numerous pharmaceutical applications including drug solubilization/stabilization, alteration of the pharmacokinetic profile of encapsulated substances, and suppression of multidrug resistance. The purpose of this minireview is to provide a concise, yet detailed, introduction to the use of ABCs and polymeric micelles as delivery agents as well as to highlight current and past work in this area. ? 2003 Wiley-Liss, Inc. and the American Pharmacists Association J Pharm Sci 92:1343?1355, 2003","author":[{"dropping-particle":"","family":"Adams","given":"Monica L","non-dropping-particle":"","parse-names":false,"suffix":""},{"dropping-particle":"","family":"Lavasanifar","given":"Afsaneh","non-dropping-particle":"","parse-names":false,"suffix":""},{"dropping-particle":"","family":"Kwon","given":"Glen S","non-dropping-particle":"","parse-names":false,"suffix":""}],"container-title":"Journal of Pharmaceutical Sciences","id":"ITEM-3","issue":"7","issued":{"date-parts":[["2003","7"]]},"page":"1343-1355","publisher":"John Wiley &amp; Sons, Ltd","title":"Amphiphilic block copolymers for drug delivery","type":"article-journal","volume":"92"},"uris":["http://www.mendeley.com/documents/?uuid=86efd501-660e-4eb6-b116-ff2cd23907b7","http://www.mendeley.com/documents/?uuid=0b5c5a7c-35c6-480d-9676-ccd0d629aa5d"]}],"mendeley":{"formattedCitation":"&lt;sup&gt;10–12&lt;/sup&gt;","plainTextFormattedCitation":"10–12","previouslyFormattedCitation":"&lt;sup&gt;10–12&lt;/sup&gt;"},"properties":{"noteIndex":0},"schema":"https://github.com/citation-style-language/schema/raw/master/csl-citation.json"}</w:instrText>
      </w:r>
      <w:r w:rsidR="001C547A" w:rsidRPr="00EB1AE4">
        <w:fldChar w:fldCharType="separate"/>
      </w:r>
      <w:r w:rsidR="00503E5A" w:rsidRPr="00EB1AE4">
        <w:rPr>
          <w:noProof/>
          <w:vertAlign w:val="superscript"/>
        </w:rPr>
        <w:t>10–12</w:t>
      </w:r>
      <w:r w:rsidR="001C547A" w:rsidRPr="00EB1AE4">
        <w:fldChar w:fldCharType="end"/>
      </w:r>
      <w:r w:rsidR="001C547A" w:rsidRPr="00EB1AE4">
        <w:t xml:space="preserve">. </w:t>
      </w:r>
      <w:r w:rsidR="00372CEE" w:rsidRPr="00EB1AE4">
        <w:t>The versatility of such system arises from the possibility of tuning independently both parts of the copolymer, each with a specific outcome on the NP physicochemical properties</w:t>
      </w:r>
      <w:r w:rsidR="002C37C5" w:rsidRPr="00EB1AE4">
        <w:rPr>
          <w:noProof/>
          <w:vertAlign w:val="superscript"/>
        </w:rPr>
        <w:fldChar w:fldCharType="begin" w:fldLock="1"/>
      </w:r>
      <w:r w:rsidR="00BE213A">
        <w:rPr>
          <w:noProof/>
          <w:vertAlign w:val="superscript"/>
        </w:rPr>
        <w:instrText>ADDIN CSL_CITATION {"citationItems":[{"id":"ITEM-1","itemData":{"DOI":"10.1039/c8py00649k","ISSN":"17599962","abstract":"The available strategies to combine CRPs and ROP in the synthesis of highly engineered polymer nanoparticles are here critically discussed. The architecture, composition and molecular weight (MW) of polymers and copolymers made via free radical polymerization are important parameters that affect the end-use of both these polymeric materials and the nanoparticles that they compose. In order to gain control over these parameters, several controlled radical polymerizations (CRPs)—such as atom transfer radical polymerization (ATRP) and reversible addition fragmentation chain transfer (RAFT) polymerization—have been developed over the past few decades. However, the toxicity, biocompatibility and degradation profile of these materials are emerging as key features for their final disposal and for certain applications, such as the synthesis of biomaterials. In this case, polyesters made via ring opening polymerization (ROP) are preferred due to the control over the synthesis that this technique allows as well as the biodegradability of the final material. The combination of ROP with CRP techniques has allowed for the synthesis of polymeric surfactants capable of self-assembling into biodegradable nanoparticles (NPs) for biomedical applications. This review presents and critically discusses the primary strategies for the synthesis of highly engineered colloids via the combination of ROP with two CRP techniques: ATRP and RAFT polymerization. ","author":[{"dropping-particle":"","family":"Capasso Palmiero","given":"Umberto","non-dropping-particle":"","parse-names":false,"suffix":""},{"dropping-particle":"","family":"Sponchioni","given":"Mattia","non-dropping-particle":"","parse-names":false,"suffix":""},{"dropping-particle":"","family":"Manfredini","given":"Nicolò","non-dropping-particle":"","parse-names":false,"suffix":""},{"dropping-particle":"","family":"Maraldi","given":"Matteo","non-dropping-particle":"","parse-names":false,"suffix":""},{"dropping-particle":"","family":"Moscatelli","given":"Davide","non-dropping-particle":"","parse-names":false,"suffix":""}],"container-title":"Polymer Chemistry","id":"ITEM-1","issue":"30","issued":{"date-parts":[["2018"]]},"page":"4084-4099","publisher":"Royal Society of Chemistry","title":"Strategies to combine ROP with ATRP or RAFT polymerization for the synthesis of biodegradable polymeric nanoparticles for biomedical applications","type":"article-journal","volume":"9"},"uris":["http://www.mendeley.com/documents/?uuid=890014a9-873c-4a3b-b03f-ddea7c20b0bb","http://www.mendeley.com/documents/?uuid=b820a49c-3ba8-4359-ae85-3053fb7f7074"]}],"mendeley":{"formattedCitation":"&lt;sup&gt;13&lt;/sup&gt;","plainTextFormattedCitation":"13","previouslyFormattedCitation":"&lt;sup&gt;13&lt;/sup&gt;"},"properties":{"noteIndex":0},"schema":"https://github.com/citation-style-language/schema/raw/master/csl-citation.json"}</w:instrText>
      </w:r>
      <w:r w:rsidR="002C37C5" w:rsidRPr="00EB1AE4">
        <w:rPr>
          <w:noProof/>
          <w:vertAlign w:val="superscript"/>
        </w:rPr>
        <w:fldChar w:fldCharType="separate"/>
      </w:r>
      <w:r w:rsidR="00503E5A" w:rsidRPr="00EB1AE4">
        <w:rPr>
          <w:noProof/>
          <w:vertAlign w:val="superscript"/>
        </w:rPr>
        <w:t>13</w:t>
      </w:r>
      <w:r w:rsidR="002C37C5" w:rsidRPr="00EB1AE4">
        <w:rPr>
          <w:noProof/>
          <w:vertAlign w:val="superscript"/>
        </w:rPr>
        <w:fldChar w:fldCharType="end"/>
      </w:r>
      <w:r w:rsidR="00372CEE" w:rsidRPr="00EB1AE4">
        <w:t xml:space="preserve">. </w:t>
      </w:r>
      <w:r w:rsidR="001C547A" w:rsidRPr="00EB1AE4">
        <w:t>In this context, the golden standard</w:t>
      </w:r>
      <w:r w:rsidR="00372CEE" w:rsidRPr="00EB1AE4">
        <w:t xml:space="preserve"> in the realization of the hydrophilic part of the copolymer</w:t>
      </w:r>
      <w:r w:rsidR="001C547A" w:rsidRPr="00EB1AE4">
        <w:t xml:space="preserve"> is </w:t>
      </w:r>
      <w:r w:rsidR="00372CEE" w:rsidRPr="00EB1AE4">
        <w:t xml:space="preserve">represented by </w:t>
      </w:r>
      <w:r w:rsidR="001C547A" w:rsidRPr="00EB1AE4">
        <w:t xml:space="preserve">poly(ethylene glycol) (PEG) </w:t>
      </w:r>
      <w:r w:rsidR="00741249" w:rsidRPr="00EB1AE4">
        <w:t xml:space="preserve">derivatives, </w:t>
      </w:r>
      <w:r w:rsidR="001C547A" w:rsidRPr="00EB1AE4">
        <w:t>able to reduce the protein adsorption on the particle through the hydration layer formed around it</w:t>
      </w:r>
      <w:r w:rsidR="001C547A" w:rsidRPr="00EB1AE4">
        <w:fldChar w:fldCharType="begin" w:fldLock="1"/>
      </w:r>
      <w:r w:rsidR="00BE213A">
        <w:instrText>ADDIN CSL_CITATION {"citationItems":[{"id":"ITEM-1","itemData":{"DOI":"https://doi.org/10.1016/S1359-6446(05)03575-0","ISSN":"1359-6446","abstract":"PEGylation defines the modification of a protein, peptide or non-peptide molecule by the linking of one or more polyethylene glycol (PEG) chains. This polymer is non-toxic, non-immunogenic, non-antigenic, highly soluble in water and FDA approved. The PEG-drug conjugates have several advantages: a prolonged residence in body, a decreased degradation by metabolic enzymes and a reduction or elimination of protein immunogenicity. Thanks to these favorable properties, PEGylation now plays an important role in drug delivery, enhancing the potentials of peptides and proteins as therapeutic agents.","author":[{"dropping-particle":"","family":"Veronese","given":"Francesco M","non-dropping-particle":"","parse-names":false,"suffix":""},{"dropping-particle":"","family":"Pasut","given":"Gianfranco","non-dropping-particle":"","parse-names":false,"suffix":""}],"container-title":"Drug Discovery Today","id":"ITEM-1","issue":"21","issued":{"date-parts":[["2005"]]},"page":"1451-1458","title":"PEGylation, successful approach to drug delivery","type":"article-journal","volume":"10"},"uris":["http://www.mendeley.com/documents/?uuid=74c8aae9-d4e9-4b90-a3cf-743159688f29","http://www.mendeley.com/documents/?uuid=7272d007-184e-45ab-b614-b5c52b3bb708"]},{"id":"ITEM-2","itemData":{"DOI":"10.2217/nnm.11.19","ISSN":"1743-5889","abstract":"Nanoparticles are an essential component in the emerging field of nanomedical imaging and therapy. When deployed in vivo, these materials are typically protected from the immune system by polyethylene glycol (PEG). A wide variety of strategies to coat and characterize nanoparticles with PEG has established important trends on PEG size, shape, density, loading level, molecular weight, charge and purification. Strategies to incorporate targeting ligands are also prevalent. This article presents a background to investigators new to stealth nanoparticles, and suggests some key considerations needed prior to designing a nanoparticle PEGylation protocol and characterizing the performance features of the product.","author":[{"dropping-particle":"V","family":"Jokerst","given":"Jesse","non-dropping-particle":"","parse-names":false,"suffix":""},{"dropping-particle":"","family":"Lobovkina","given":"Tatsiana","non-dropping-particle":"","parse-names":false,"suffix":""},{"dropping-particle":"","family":"Zare","given":"Richard N","non-dropping-particle":"","parse-names":false,"suffix":""},{"dropping-particle":"","family":"Gambhir","given":"Sanjiv S","non-dropping-particle":"","parse-names":false,"suffix":""}],"container-title":"Nanomedicine","id":"ITEM-2","issue":"4","issued":{"date-parts":[["2011","6"]]},"page":"715-728","publisher":"Future Medicine","title":"Nanoparticle PEGylation for imaging and therapy","type":"article-journal","volume":"6"},"uris":["http://www.mendeley.com/documents/?uuid=d7b80c1f-5e7c-42d8-90a7-1a34bd2541c0","http://www.mendeley.com/documents/?uuid=1b1d43c1-e96c-4d12-b2a9-d4117d1b6e82"]}],"mendeley":{"formattedCitation":"&lt;sup&gt;14,15&lt;/sup&gt;","plainTextFormattedCitation":"14,15","previouslyFormattedCitation":"&lt;sup&gt;14,15&lt;/sup&gt;"},"properties":{"noteIndex":0},"schema":"https://github.com/citation-style-language/schema/raw/master/csl-citation.json"}</w:instrText>
      </w:r>
      <w:r w:rsidR="001C547A" w:rsidRPr="00EB1AE4">
        <w:fldChar w:fldCharType="separate"/>
      </w:r>
      <w:r w:rsidR="00503E5A" w:rsidRPr="00EB1AE4">
        <w:rPr>
          <w:noProof/>
          <w:vertAlign w:val="superscript"/>
        </w:rPr>
        <w:t>14,15</w:t>
      </w:r>
      <w:r w:rsidR="001C547A" w:rsidRPr="00EB1AE4">
        <w:fldChar w:fldCharType="end"/>
      </w:r>
      <w:r w:rsidR="001C547A" w:rsidRPr="00EB1AE4">
        <w:t xml:space="preserve">. However, </w:t>
      </w:r>
      <w:r w:rsidR="004A3798" w:rsidRPr="00EB1AE4">
        <w:t>to face the so called “</w:t>
      </w:r>
      <w:r w:rsidR="000F0340" w:rsidRPr="00EB1AE4">
        <w:t>accelera</w:t>
      </w:r>
      <w:r w:rsidR="000F0340">
        <w:t>ted</w:t>
      </w:r>
      <w:r w:rsidR="000F0340" w:rsidRPr="00EB1AE4">
        <w:t xml:space="preserve"> </w:t>
      </w:r>
      <w:r w:rsidR="004A3798" w:rsidRPr="00EB1AE4">
        <w:t xml:space="preserve">blood clearance” recently discovered for PEGylated </w:t>
      </w:r>
      <w:r w:rsidR="008F7C1C" w:rsidRPr="00EB1AE4">
        <w:t>products</w:t>
      </w:r>
      <w:r w:rsidR="00A23770" w:rsidRPr="00EB1AE4">
        <w:fldChar w:fldCharType="begin" w:fldLock="1"/>
      </w:r>
      <w:r w:rsidR="00BE213A">
        <w:instrText>ADDIN CSL_CITATION {"citationItems":[{"id":"ITEM-1","itemData":{"DOI":"https://doi.org/10.1016/j.imbio.2015.06.005","ISSN":"0171-2985","abstract":"The accelerated blood clearance (ABC) phenomenon makes it crucial to use PEGylated liposomes and micelles to deliver drugs. The ABC phenomenon is an immune response against an initial dose of PEGylated liposome, which causes subsequent doses to be rapidly cleared by macrophages in the liver. We recently found that in the early phase of the ABC phenomenon, subsequent doses of PEGylated liposomes were associated with splenic marginal zone (MZ)-B cells and were transported from the MZ to the follicle (FO). In this study, we investigated the underlying mechanisms behind the association of subsequent doses of PEGylated liposomes with MZ-B cells in the spleen. Serum factors, anti-PEG IgM and complement system, were crucial to the association of PEGylated liposomes with MZ-B cells, while the sensitization of MZ-B cells by the first dose of PEGylated liposomes was not significant. It was the complement receptors (CRs) on the MZ-B cells, rather than either the PEG-specific B-cell receptors or the IgM Fc receptors, that were the main contributors to the association between PEGylated liposomes and MZ-B cells. It appeared that anti-PEG IgM would bind to PEGylated liposomes and causes subsequent complement activation, resulting in the formation of immune complexes of PEGylated liposome-anti-PEG IgM-complement. The MZ-B cells then recognized these immune complexes via their CRs. Such an association via CRs might have triggered the transport of the immune complex by MZ-B cells to the FO in the spleen. The information obtained in this study might be useful in the development of an efficient antigen delivery system to usher PEGylated nanoparticles into FO dendritic cells.","author":[{"dropping-particle":"","family":"Shimizu","given":"Taro","non-dropping-particle":"","parse-names":false,"suffix":""},{"dropping-particle":"","family":"Mima","given":"Yu","non-dropping-particle":"","parse-names":false,"suffix":""},{"dropping-particle":"","family":"Hashimoto","given":"Yosuke","non-dropping-particle":"","parse-names":false,"suffix":""},{"dropping-particle":"","family":"Ukawa","given":"Masami","non-dropping-particle":"","parse-names":false,"suffix":""},{"dropping-particle":"","family":"Ando","given":"Hidenori","non-dropping-particle":"","parse-names":false,"suffix":""},{"dropping-particle":"","family":"Kiwada","given":"Hiroshi","non-dropping-particle":"","parse-names":false,"suffix":""},{"dropping-particle":"","family":"Ishida","given":"Tatsuhiro","non-dropping-particle":"","parse-names":false,"suffix":""}],"container-title":"Immunobiology","id":"ITEM-1","issue":"10","issued":{"date-parts":[["2015"]]},"page":"1151-1160","title":"Anti-PEG IgM and complement system are required for the association of second doses of PEGylated liposomes with splenic marginal zone B cells","type":"article-journal","volume":"220"},"uris":["http://www.mendeley.com/documents/?uuid=1a8d5dad-ae5d-45e7-b666-f3b6bf200f07","http://www.mendeley.com/documents/?uuid=096e5e21-f488-4fcc-a967-efcfd90edb00"]},{"id":"ITEM-2","itemData":{"DOI":"https://doi.org/10.1016/j.jconrel.2016.05.010","ISSN":"0168-3659","abstract":"Surface PEGylation on nanoparticles has greatly helped prolong their blood circulation half-lives. However, The injection of PEGylated nanoparticles into mice induced poly(ethylene glycol) (PEG)-specific IgM antibodies (anti-PEG IgMs), significantly changing PEG-liposomes' pharmacokinetics. In this study, we used various PEG-conjugates to conduct a mechanistic study of anti-PEG IgMs' binding behavior. The conventional belief has been that anti-PEG IgMs bind to PEG main chains; however, our findings reveal that anti-PEG IgMs did not bind to PEG main chains, whereas anti-PEG IgMs did bind to PEG-hydrophobic polymer blocks. The insertion of a hydrophilic polymer between each PEG chain and each hydrophobic polymer block suppressed anti-PEG IgMs' binding. We prove here that hydrophobic blocks are essential to anti-PEG IgMs' binding, and also that anti-PEG IgMs do not bind to intact PEGs without hydrophobic moiety. These results support our conclusion that anti-PEG IgMs exhibit specificity to PEG; however, the presence of a hydrophobic block at a proximity position from each PEG chain is essential for the binding. Also in the present study, we elucidate relations between anti-PEG IgMs and PEGylated nanoparticles. In one of our previous studies, anti-PEG IgMs scarcely affected the pharmacokinetics of PEG-b-poly(β-benzyl l-aspartate) block copolymer (PEG-PBLA) micelles, whereas anti-PEG IgMs significantly decreased PEG-liposomes' blood circulation half-life. Finally, we found that the ratio of anti-PEG IgM molecules to PEG-liposome particles is critical to these pharmacokinetic changes, and that a 10-fold increase in the number of anti-PEG IgM molecules permitted them to capture the PEG-liposome particles, thus leading to the aforementioned changes.","author":[{"dropping-particle":"","family":"Shiraishi","given":"Kouichi","non-dropping-particle":"","parse-names":false,"suffix":""},{"dropping-particle":"","family":"Kawano","given":"Kumi","non-dropping-particle":"","parse-names":false,"suffix":""},{"dropping-particle":"","family":"Maitani","given":"Yoshie","non-dropping-particle":"","parse-names":false,"suffix":""},{"dropping-particle":"","family":"Aoshi","given":"Taiki","non-dropping-particle":"","parse-names":false,"suffix":""},{"dropping-particle":"","family":"Ishii","given":"Ken J","non-dropping-particle":"","parse-names":false,"suffix":""},{"dropping-particle":"","family":"Sanada","given":"Yusuke","non-dropping-particle":"","parse-names":false,"suffix":""},{"dropping-particle":"","family":"Mochizuki","given":"Shinichi","non-dropping-particle":"","parse-names":false,"suffix":""},{"dropping-particle":"","family":"Sakurai","given":"Kazuo","non-dropping-particle":"","parse-names":false,"suffix":""},{"dropping-particle":"","family":"Yokoyama","given":"Masayuki","non-dropping-particle":"","parse-names":false,"suffix":""}],"container-title":"Journal of Controlled Release","id":"ITEM-2","issued":{"date-parts":[["2016"]]},"page":"59-67","title":"Exploring the relationship between anti-PEG IgM behaviors and PEGylated nanoparticles and its significance for accelerated blood clearance","type":"article-journal","volume":"234"},"uris":["http://www.mendeley.com/documents/?uuid=8f77201d-089b-4d87-941d-cd360b34d7d5","http://www.mendeley.com/documents/?uuid=ea62ed1a-4114-48d9-b16f-3f6cb3886b60"]},{"id":"ITEM-3","itemData":{"DOI":"10.1007/s11095-009-9943-x","ISSN":"1573-904X","abstract":"We recently developed prostaglandin E1 (PGE1)-encapsulated nanoparticles, prepared with a poly(lactide) homopolymer (PLA, Mw = 17,500) and monomethoxy poly(ethyleneglycol)-PLA block copolymer (PEG-PLA) (NP-L20). In this study, we tested whether the accelerated blood clearance (ABC) phenomenon is observed with NP-L20 and other PEG-modified PLA-nanoparticles in rats.","author":[{"dropping-particle":"","family":"Ishihara","given":"Tsutomu","non-dropping-particle":"","parse-names":false,"suffix":""},{"dropping-particle":"","family":"Takeda","given":"Miho","non-dropping-particle":"","parse-names":false,"suffix":""},{"dropping-particle":"","family":"Sakamoto","given":"Haruka","non-dropping-particle":"","parse-names":false,"suffix":""},{"dropping-particle":"","family":"Kimoto","given":"Ayumi","non-dropping-particle":"","parse-names":false,"suffix":""},{"dropping-particle":"","family":"Kobayashi","given":"Chisa","non-dropping-particle":"","parse-names":false,"suffix":""},{"dropping-particle":"","family":"Takasaki","given":"Naoko","non-dropping-particle":"","parse-names":false,"suffix":""},{"dropping-particle":"","family":"Yuki","given":"Kanae","non-dropping-particle":"","parse-names":false,"suffix":""},{"dropping-particle":"","family":"Tanaka","given":"Ken-ichiro","non-dropping-particle":"","parse-names":false,"suffix":""},{"dropping-particle":"","family":"Takenaga","given":"Mitsuko","non-dropping-particle":"","parse-names":false,"suffix":""},{"dropping-particle":"","family":"Igarashi","given":"Rie","non-dropping-particle":"","parse-names":false,"suffix":""},{"dropping-particle":"","family":"Maeda","given":"Taishi","non-dropping-particle":"","parse-names":false,"suffix":""},{"dropping-particle":"","family":"Yamakawa","given":"Naoki","non-dropping-particle":"","parse-names":false,"suffix":""},{"dropping-particle":"","family":"Okamoto","given":"Yoshinari","non-dropping-particle":"","parse-names":false,"suffix":""},{"dropping-particle":"","family":"Otsuka","given":"Masami","non-dropping-particle":"","parse-names":false,"suffix":""},{"dropping-particle":"","family":"Ishida","given":"Tatsuhiro","non-dropping-particle":"","parse-names":false,"suffix":""},{"dropping-particle":"","family":"Kiwada","given":"Hiroshi","non-dropping-particle":"","parse-names":false,"suffix":""},{"dropping-particle":"","family":"Mizushima","given":"Yutaka","non-dropping-particle":"","parse-names":false,"suffix":""},{"dropping-particle":"","family":"Mizushima","given":"Tohru","non-dropping-particle":"","parse-names":false,"suffix":""}],"container-title":"Pharmaceutical Research","id":"ITEM-3","issue":"10","issued":{"date-parts":[["2009"]]},"page":"2270-2279","title":"Accelerated Blood Clearance Phenomenon Upon Repeated Injection of PEG-modified PLA-nanoparticles","type":"article-journal","volume":"26"},"uris":["http://www.mendeley.com/documents/?uuid=60bb776a-b6d8-4223-92f2-3a1a85b3ed2c","http://www.mendeley.com/documents/?uuid=529cb484-ca5e-49d7-b06c-ac515993f99e"]},{"id":"ITEM-4","itemData":{"DOI":"https://doi.org/10.1016/j.ijpharm.2007.11.005","ISSN":"0378-5173","abstract":"We and a Dutch group reported that “empty” PEGylated liposomes (approximately 100nm) lose their long-circulating characteristic when they are administrated twice in the same animal with certain intervals (referred to as the accelerated blood clearance (ABC) phenomenon). Very recently, we showed that anti-PEG IgM, induced by the first dose of “empty” PEGylated liposomes, is responsible for inducing the phenomenon, based on the observation that IgM thus produced selectively binds to the surface of subsequently injected PEGylated liposomes, leading to substantial complement activation. It is generally believed that nanocarriers coated with a polymer, such as PEG, have no or lower immunogenicity. However, the results indicated evidence that unexpected immune responses occur even to such polymer-coated liposomes. Such immunogenicity of “empty” liposomes presents a serious concern in the development of liposomal formulations and their use in the clinic. In addition, through series of our studies, it was demonstrated that the magnitude of the ABC phenomenon depends on the physicochemical property of injected liposomes as a first dose, time interval between injection, lipid dose and drug-encapsulation.","author":[{"dropping-particle":"","family":"Ishida","given":"Tatsuhiro","non-dropping-particle":"","parse-names":false,"suffix":""},{"dropping-particle":"","family":"Kiwada","given":"Hiroshi","non-dropping-particle":"","parse-names":false,"suffix":""}],"container-title":"International Journal of Pharmaceutics","id":"ITEM-4","issue":"1","issued":{"date-parts":[["2008"]]},"page":"56-62","title":"Accelerated blood clearance (ABC) phenomenon upon repeated injection of PEGylated liposomes","type":"article-journal","volume":"354"},"uris":["http://www.mendeley.com/documents/?uuid=ef59ebb5-19c8-4bce-9ada-38edc997ea14","http://www.mendeley.com/documents/?uuid=f29a4e35-5482-4438-9dfe-b8e146568abc"]}],"mendeley":{"formattedCitation":"&lt;sup&gt;16–19&lt;/sup&gt;","plainTextFormattedCitation":"16–19","previouslyFormattedCitation":"&lt;sup&gt;16–19&lt;/sup&gt;"},"properties":{"noteIndex":0},"schema":"https://github.com/citation-style-language/schema/raw/master/csl-citation.json"}</w:instrText>
      </w:r>
      <w:r w:rsidR="00A23770" w:rsidRPr="00EB1AE4">
        <w:fldChar w:fldCharType="separate"/>
      </w:r>
      <w:r w:rsidR="00503E5A" w:rsidRPr="00EB1AE4">
        <w:rPr>
          <w:noProof/>
          <w:vertAlign w:val="superscript"/>
        </w:rPr>
        <w:t>16–19</w:t>
      </w:r>
      <w:r w:rsidR="00A23770" w:rsidRPr="00EB1AE4">
        <w:fldChar w:fldCharType="end"/>
      </w:r>
      <w:r w:rsidR="004A3798" w:rsidRPr="00EB1AE4">
        <w:t>, valuable alternatives to PEG</w:t>
      </w:r>
      <w:r w:rsidR="001C547A" w:rsidRPr="00EB1AE4">
        <w:t xml:space="preserve"> </w:t>
      </w:r>
      <w:r w:rsidR="004A3798" w:rsidRPr="00EB1AE4">
        <w:t>are nowadays under investigation</w:t>
      </w:r>
      <w:r w:rsidR="002C37C5" w:rsidRPr="00EB1AE4">
        <w:fldChar w:fldCharType="begin" w:fldLock="1"/>
      </w:r>
      <w:r w:rsidR="00BE213A">
        <w:instrText>ADDIN CSL_CITATION {"citationItems":[{"id":"ITEM-1","itemData":{"DOI":"10.1039/C7RA11179G","abstract":"N-(2-Hydroxypropyl)methacrylamide (HPMA) is a water soluble monomer used in the synthesis of biocompatible and non-immunogenic polymers. In particular, poly(HPMA) can be exploited to sterically stabilize nanoparticles (NPs) suitable for the delivery of lipophilic therapeutics without the concerns related to the use of the polyethylene glycol (PEG), such as allergic reactions and the accelerated blood clearance effect. In addition, the use of the ring opening polymerization (ROP) of a lactone in the presence of an initiator that bears a double bond and a hydroxyl group is a promising way (the so called “macromonomer method”) to produce oligoester-based monomers and, in turn, to obtain biodegradable NPs via free radical polymerization. However, HPMA cannot be used as initiator being a secondary alcohol and thus hampering the control over the polymer molecular weight (MW). For this reason, in this work, a novel class of amphiphilic block copolymers that consists of a poly(HPMA) backbone and several short oligo(ε-caprolactone) side chains were produced via the adoption of the reversible addition–fragmentation chain transfer (RAFT) polymerization and the “inversion” of the macromonomer method. The oligoester was first synthesized via the ROP of ε-caprolactone in the presence of a primary alcohol and then attached to HPMA using a succinic acid unit as spacer. The NPs obtained via the self-assembly of these novel block copolymers are designed to degrade into completely water soluble poly(HPMA) chains with a MW lower than the threshold value for the renal excretion. The cytotoxicity of these novel carriers and their ability to load trabectedin, a hydrophobic anticancer therapeutic, were assessed.","author":[{"dropping-particle":"","family":"Sponchioni","given":"Mattia","non-dropping-particle":"","parse-names":false,"suffix":""},{"dropping-particle":"","family":"Morosi","given":"Lavinia","non-dropping-particle":"","parse-names":false,"suffix":""},{"dropping-particle":"","family":"Lupi","given":"Monica","non-dropping-particle":"","parse-names":false,"suffix":""},{"dropping-particle":"","family":"Capasso Palmiero","given":"Umberto","non-dropping-particle":"","parse-names":false,"suffix":""}],"container-title":"RSC Advances","id":"ITEM-1","issue":"80","issued":{"date-parts":[["2017"]]},"page":"50981-50992","publisher":"The Royal Society of Chemistry","title":"Poly(HPMA)-based copolymers with biodegradable side chains able to self assemble into nanoparticles","type":"article-journal","volume":"7"},"uris":["http://www.mendeley.com/documents/?uuid=5d3de67f-e431-4166-a814-d143981a10f2","http://www.mendeley.com/documents/?uuid=eaaa42e4-805d-452d-b015-dacb0771bf68"]},{"id":"ITEM-2","itemData":{"DOI":"10.1039/C8NR05933K","ISSN":"2040-3364","abstract":"In this review article we discuss some of the key aspects concerning the development of a polymer-based nanoparticle formulation for intravenous drug delivery. Since numerous preparations fail before and during clinical trials, our aim is to emphasize the main issues that a nanocarrier has to face once injected into the body. These include biocompatibility and toxicity, drug loading and release, nanoparticle storage and stability, biodistribution, selectivity towards the target organs or tissues, internalization in cells and biodegradability. They represent the main checkpoints to define a polymer-based formulation as safe and effective. Indeed, this review is intended to provide guidelines to be followed in the early development of a new nanotherapeutic to hopefully increase the success rate of polymer-based formulations entering clinical trials. The corresponding requirements and characteristics are discussed in the context of some relevant case studies taken from the literature and mainly related to the delivery of lipophilic anticancer therapeutics.","author":[{"dropping-particle":"","family":"Ferrari","given":"R","non-dropping-particle":"","parse-names":false,"suffix":""},{"dropping-particle":"","family":"Sponchioni","given":"M","non-dropping-particle":"","parse-names":false,"suffix":""},{"dropping-particle":"","family":"Morbidelli","given":"M","non-dropping-particle":"","parse-names":false,"suffix":""},{"dropping-particle":"","family":"Moscatelli","given":"D","non-dropping-particle":"","parse-names":false,"suffix":""}],"container-title":"Nanoscale","id":"ITEM-2","issue":"48","issued":{"date-parts":[["2018"]]},"page":"22701-22719","publisher":"The Royal Society of Chemistry","title":"Polymer nanoparticles for the intravenous delivery of anticancer drugs: the checkpoints on the road from the synthesis to clinical translation","type":"article-journal","volume":"10"},"uris":["http://www.mendeley.com/documents/?uuid=ad5f835d-1a17-4329-a408-063b7d5df139","http://www.mendeley.com/documents/?uuid=a937f5d8-3991-49e4-a8c3-da13ea960f77"]}],"mendeley":{"formattedCitation":"&lt;sup&gt;1,20&lt;/sup&gt;","plainTextFormattedCitation":"1,20","previouslyFormattedCitation":"&lt;sup&gt;1,20&lt;/sup&gt;"},"properties":{"noteIndex":0},"schema":"https://github.com/citation-style-language/schema/raw/master/csl-citation.json"}</w:instrText>
      </w:r>
      <w:r w:rsidR="002C37C5" w:rsidRPr="00EB1AE4">
        <w:fldChar w:fldCharType="separate"/>
      </w:r>
      <w:r w:rsidR="00503E5A" w:rsidRPr="00EB1AE4">
        <w:rPr>
          <w:noProof/>
          <w:vertAlign w:val="superscript"/>
        </w:rPr>
        <w:t>1,20</w:t>
      </w:r>
      <w:r w:rsidR="002C37C5" w:rsidRPr="00EB1AE4">
        <w:fldChar w:fldCharType="end"/>
      </w:r>
      <w:r w:rsidR="001C547A" w:rsidRPr="00EB1AE4">
        <w:t>. Among all the types of polymers studied, poly</w:t>
      </w:r>
      <w:r w:rsidR="000F0340">
        <w:t>(</w:t>
      </w:r>
      <w:r w:rsidR="001C547A" w:rsidRPr="00EB1AE4">
        <w:t>zwitterions</w:t>
      </w:r>
      <w:r w:rsidR="000F0340">
        <w:t>)</w:t>
      </w:r>
      <w:r w:rsidR="001C547A" w:rsidRPr="00EB1AE4">
        <w:t xml:space="preserve"> represent a promising class of materials</w:t>
      </w:r>
      <w:r w:rsidR="002C37C5" w:rsidRPr="00EB1AE4">
        <w:fldChar w:fldCharType="begin" w:fldLock="1"/>
      </w:r>
      <w:r w:rsidR="00BE213A">
        <w:instrText>ADDIN CSL_CITATION {"citationItems":[{"id":"ITEM-1","itemData":{"DOI":"10.1039/C9NR04311J","ISSN":"2040-3364","abstract":"Thermo-responsive polymeric nanoparticles (NPs) are emerging as a powerful tool in nanomedicine for the fabrication of advanced drug delivery systems. In addition to their size and biodegradation rate, phase separation of NPs upon application of a thermal stimulus provides an additional switch to control the rate of release of active components. Among the materials currently developed for biomedical applications, NPs stabilized by zwitterionic polymers are gaining increasing interest due to their high stability and ability to escape the body immune response. Yet, biodegradable zwitterionic NPs with temperature response under physiological conditions are currently not available. Here, we develop a new class of biodegradable zwitterionic NPs that exhibit UCST phase transition in the biological temperature range (T = 30–45 °C) and in physiological solution (i.e. 0.9% w/w NaCl). We design a strategy that relies on the self-assembly of block copolymers produced via reversible addition–fragmentation chain transfer (RAFT) emulsion polymerization. These copolymers comprise a zwitterionic portion exhibiting an upper critical solution temperature (UCST) and a biodegradable hydrophobic block consisting of oligoesters functionalized with a vinyl group. This modular macromolecular architecture allows us to independently control a variety of NP properties by modifying the individual components of the copolymer. In particular, the zwitterionic block of the copolymers controls the UCST-type phase separation behavior, while the number of the oligoester repeating units governs the size of the NPs and the length of the oligoester dictates the degradation rate. After demonstrating the synthesis of highly controlled degradable NPs, we show the potential of this new class of materials in the context of drug delivery by controlling the release of a drug-mimic molecule upon temperature variations in a broad time range from few minutes to 20 hours.","author":[{"dropping-particle":"","family":"Sponchioni","given":"Mattia","non-dropping-particle":"","parse-names":false,"suffix":""},{"dropping-particle":"","family":"Rodrigues Bassam","given":"Paola","non-dropping-particle":"","parse-names":false,"suffix":""},{"dropping-particle":"","family":"Moscatelli","given":"Davide","non-dropping-particle":"","parse-names":false,"suffix":""},{"dropping-particle":"","family":"Arosio","given":"Paolo","non-dropping-particle":"","parse-names":false,"suffix":""},{"dropping-particle":"","family":"Capasso Palmiero","given":"Umberto","non-dropping-particle":"","parse-names":false,"suffix":""}],"container-title":"Nanoscale","id":"ITEM-1","issue":"35","issued":{"date-parts":[["2019"]]},"page":"16582-16591","publisher":"The Royal Society of Chemistry","title":"Biodegradable zwitterionic nanoparticles with tunable UCST-type phase separation under physiological conditions","type":"article-journal","volume":"11"},"uris":["http://www.mendeley.com/documents/?uuid=cbee2d53-a01a-4540-a9d6-737b74f8dd7b","http://www.mendeley.com/documents/?uuid=9a3bde28-5ef2-4d1f-9603-9ce51de93eac"]},{"id":"ITEM-2","itemData":{"DOI":"10.1002/anie.200907079","ISSN":"1433-7851","abstract":"In sharp contrast: Poly(carboxybetaine) (PCB)?poly(lactic-co-glycolic acid) (PLGA) block copolymers were obtained by inclusion of tBu groups onto the PCB monomers. The resulting self-assembled PLGA core/PCB shell nanoparticles have extraordinary stability and a high potential for functionalization because of the COO? groups on the PCB shell (see picture; EDC=1-ethyl-3-(3-dimethylaminopropyl)carbodiimide; NHS=N-hydroxysuccinimide).","author":[{"dropping-particle":"","family":"Cao","given":"Zhiqiang","non-dropping-particle":"","parse-names":false,"suffix":""},{"dropping-particle":"","family":"Yu","given":"Qiuming","non-dropping-particle":"","parse-names":false,"suffix":""},{"dropping-particle":"","family":"Xue","given":"Hong","non-dropping-particle":"","parse-names":false,"suffix":""},{"dropping-particle":"","family":"Cheng","given":"Gang","non-dropping-particle":"","parse-names":false,"suffix":""},{"dropping-particle":"","family":"Jiang","given":"Shaoyi","non-dropping-particle":"","parse-names":false,"suffix":""}],"container-title":"Angewandte Chemie International Edition","id":"ITEM-2","issue":"22","issued":{"date-parts":[["2010","5"]]},"page":"3771-3776","publisher":"John Wiley &amp; Sons, Ltd","title":"Nanoparticles for Drug Delivery Prepared from Amphiphilic PLGA Zwitterionic Block Copolymers with Sharp Contrast in Polarity between Two Blocks","type":"article-journal","volume":"49"},"uris":["http://www.mendeley.com/documents/?uuid=f4d7a27f-4f12-48dd-9dec-78b14c04b172","http://www.mendeley.com/documents/?uuid=8d8f6ec3-df43-4233-8242-d0fe96d43ea9"]},{"id":"ITEM-3","itemData":{"DOI":"10.1021/bm701301s","ISSN":"1525-7797","abstract":"This study examined six different polymer and self-assembled monolayer (SAM) surface modifications for their interactions with human serum and plasma. It was demonstrated that zwitterionic polymer surfaces are viable alternatives to more traditional surfaces based on poly(ethylene glycol) (PEG) as nonfouling surfaces. All polymer surfaces were formed using atom transfer radical polymerization (ATRP) and they showed an increased resistance to nonspecific protein adsorption compared to SAMs. This improvement is due to an increase in the surface packing density of nonfouling groups on the surface, as well as a steric repulsion from the flexible polymer brush surfaces. The zwitterionic polymer surface based on carboxybetaine methacrylate (CBMA) also incorporates functional groups for protein immobilization in the nonfouling background, making it a strong candidate for many applications such as in diagnostics and drug delivery.","author":[{"dropping-particle":"","family":"Ladd","given":"Jon","non-dropping-particle":"","parse-names":false,"suffix":""},{"dropping-particle":"","family":"Zhang","given":"Zheng","non-dropping-particle":"","parse-names":false,"suffix":""},{"dropping-particle":"","family":"Chen","given":"Shengfu","non-dropping-particle":"","parse-names":false,"suffix":""},{"dropping-particle":"","family":"Hower","given":"Jason C","non-dropping-particle":"","parse-names":false,"suffix":""},{"dropping-particle":"","family":"Jiang","given":"Shaoyi","non-dropping-particle":"","parse-names":false,"suffix":""}],"container-title":"Biomacromolecules","id":"ITEM-3","issue":"5","issued":{"date-parts":[["2008","5"]]},"page":"1357-1361","publisher":"American Chemical Society","title":"Zwitterionic Polymers Exhibiting High Resistance to Nonspecific Protein Adsorption from Human Serum and Plasma","type":"article-journal","volume":"9"},"uris":["http://www.mendeley.com/documents/?uuid=49989c2d-94b8-4ff1-8a1f-c5042a39d0d3","http://www.mendeley.com/documents/?uuid=9817c4f8-5077-40f3-a1ab-5e4d22c99994"]}],"mendeley":{"formattedCitation":"&lt;sup&gt;21–23&lt;/sup&gt;","plainTextFormattedCitation":"21–23","previouslyFormattedCitation":"&lt;sup&gt;21–23&lt;/sup&gt;"},"properties":{"noteIndex":0},"schema":"https://github.com/citation-style-language/schema/raw/master/csl-citation.json"}</w:instrText>
      </w:r>
      <w:r w:rsidR="002C37C5" w:rsidRPr="00EB1AE4">
        <w:fldChar w:fldCharType="separate"/>
      </w:r>
      <w:r w:rsidR="00503E5A" w:rsidRPr="00EB1AE4">
        <w:rPr>
          <w:noProof/>
          <w:vertAlign w:val="superscript"/>
        </w:rPr>
        <w:t>21–23</w:t>
      </w:r>
      <w:r w:rsidR="002C37C5" w:rsidRPr="00EB1AE4">
        <w:fldChar w:fldCharType="end"/>
      </w:r>
      <w:r w:rsidR="001C547A" w:rsidRPr="00EB1AE4">
        <w:t xml:space="preserve">. Indeed, they permit </w:t>
      </w:r>
      <w:r w:rsidR="00664907" w:rsidRPr="00EB1AE4">
        <w:t>the avoidance of</w:t>
      </w:r>
      <w:r w:rsidR="001C547A" w:rsidRPr="00EB1AE4">
        <w:t xml:space="preserve"> the protein opsonization without causing any </w:t>
      </w:r>
      <w:r w:rsidR="000F0340" w:rsidRPr="00EB1AE4">
        <w:t>polymer</w:t>
      </w:r>
      <w:r w:rsidR="000F0340">
        <w:t>-</w:t>
      </w:r>
      <w:r w:rsidR="001C547A" w:rsidRPr="00EB1AE4">
        <w:t>specific antibody production thanks to their high hydrophilicity</w:t>
      </w:r>
      <w:r w:rsidR="001C547A" w:rsidRPr="00EB1AE4">
        <w:fldChar w:fldCharType="begin" w:fldLock="1"/>
      </w:r>
      <w:r w:rsidR="00BE213A">
        <w:instrText>ADDIN CSL_CITATION {"citationItems":[{"id":"ITEM-1","itemData":{"DOI":"10.1021/acs.biomac.8b00127","ISSN":"15264602","abstract":"Biodegradable polymer nanoparticles are an important class of materials used in several applications for their unique characteristics. In particular, the ones stabilized by zwitterionic materials are gaining increased interest in medicine as alternative to the more common ones based on poly(ethylene glycol) thanks to their superior stability and ability to avoid both the accelerated blood clearance and allergic reactions. In this work, a novel class of zwitterionic based NPs has been produced, and a method to independently control the nanoparticle size, degradation time, and polymer molecular weight has been developed and demonstrated. This has been possible by the synthesis and the fine-tuning of zwitterionic amphiphilic block copolymers obtained via the combination of ring-opening polymerization and reversible addition-fragmentation chain transfer polymerization. The final results showed that when two block copolymers contain the same number of caprolactone units, the one with longer oligoester lateral chains degrades faster. This phenomenon is in sharp contrast with the one seen so far for the common linear polyester systems where longer chains result in longer degradation times, and it can be used to better tailor the degradation behavior of the nanoparticles.","author":[{"dropping-particle":"","family":"Capasso Palmiero","given":"Umberto","non-dropping-particle":"","parse-names":false,"suffix":""},{"dropping-particle":"","family":"Maraldi","given":"Matteo","non-dropping-particle":"","parse-names":false,"suffix":""},{"dropping-particle":"","family":"Manfredini","given":"Nicolò","non-dropping-particle":"","parse-names":false,"suffix":""},{"dropping-particle":"","family":"Moscatelli","given":"Davide","non-dropping-particle":"","parse-names":false,"suffix":""}],"container-title":"Biomacromolecules","id":"ITEM-1","issue":"4","issued":{"date-parts":[["2018"]]},"page":"1314-1323","title":"Zwitterionic Polyester-Based Nanoparticles with Tunable Size, Polymer Molecular Weight, and Degradation Time","type":"article-journal","volume":"19"},"uris":["http://www.mendeley.com/documents/?uuid=19fe23ee-ab03-4cae-a223-4ac8c62dd6d0","http://www.mendeley.com/documents/?uuid=db496125-7b1a-4de3-91b6-84b5aeafc0c6"]}],"mendeley":{"formattedCitation":"&lt;sup&gt;24&lt;/sup&gt;","plainTextFormattedCitation":"24","previouslyFormattedCitation":"&lt;sup&gt;24&lt;/sup&gt;"},"properties":{"noteIndex":0},"schema":"https://github.com/citation-style-language/schema/raw/master/csl-citation.json"}</w:instrText>
      </w:r>
      <w:r w:rsidR="001C547A" w:rsidRPr="00EB1AE4">
        <w:fldChar w:fldCharType="separate"/>
      </w:r>
      <w:r w:rsidR="00503E5A" w:rsidRPr="00EB1AE4">
        <w:rPr>
          <w:noProof/>
          <w:vertAlign w:val="superscript"/>
        </w:rPr>
        <w:t>24</w:t>
      </w:r>
      <w:r w:rsidR="001C547A" w:rsidRPr="00EB1AE4">
        <w:fldChar w:fldCharType="end"/>
      </w:r>
      <w:r w:rsidR="001C547A" w:rsidRPr="00EB1AE4">
        <w:t xml:space="preserve">. Specifically, since its earliest reported synthesis in the late 1970s, the methacrylate-functional monomer 2-methacryloyloxyethyl phosphorylcholine (MPC) </w:t>
      </w:r>
      <w:r w:rsidR="001C547A" w:rsidRPr="00EB1AE4">
        <w:lastRenderedPageBreak/>
        <w:t>has been the mainstay component used in the synthesis of phosphorylcholine-bearing polymers</w:t>
      </w:r>
      <w:r w:rsidR="00064E03" w:rsidRPr="00EB1AE4">
        <w:t xml:space="preserve"> and NPs</w:t>
      </w:r>
      <w:r w:rsidR="00A23770" w:rsidRPr="00EB1AE4">
        <w:fldChar w:fldCharType="begin" w:fldLock="1"/>
      </w:r>
      <w:r w:rsidR="00BE213A">
        <w:instrText>ADDIN CSL_CITATION {"citationItems":[{"id":"ITEM-1","itemData":{"author":[{"dropping-particle":"","family":"KADOMA","given":"","non-dropping-particle":"","parse-names":false,"suffix":""},{"dropping-particle":"","family":"Y.","given":"","non-dropping-particle":"","parse-names":false,"suffix":""}],"container-title":"Koubunshi Ronbunshu","id":"ITEM-1","issued":{"date-parts":[["1978"]]},"page":"423-427","title":"Synthesis and Hemolysis Test of the Polymer Containing Phosphorylcholine Groups","type":"article-journal","volume":"35"},"uris":["http://www.mendeley.com/documents/?uuid=cb8cfa7a-9d2a-3a30-9b3b-86a5f032b636","http://www.mendeley.com/documents/?uuid=10e0376d-b1cb-4ad6-abba-22a7f604b496"]},{"id":"ITEM-2","itemData":{"DOI":"https://doi.org/10.1016/S0142-9612(00)00373-2","ISSN":"0142-9612","abstract":"The poly(l-lactic acid) nanoparticles immobilized with 2-methacryloyloxyethyl phosphorylcholine (MPC) polymer, which has excellent blood compatibility, were prepared by a solvent evaporation technique using the water-soluble amphiphilic MPC polymer as an emulsifier and a surface modifier. The diameter and ζ-potential of the obtained nanoparticles strongly depended on the concentration of the MPC polymer. When the nanoparticles were prepared in 1.0mg/ml of an MPC polymer aqueous solution, the diameter was 221nm which was determined by atomic force microscopy and dynamic light scattering measurements. The X-ray photoelectron spectroscopic analysis indicated that the phosphorylcholine groups of the MPC unit were located at the surface of the nanoparticles, that is, the MPC polymer was immobilized on the PLA particles and the surface ζ-potential was −2.5mV. Various hydrophobic fluorescence probes could permeate through the MPC polymer layer and adsorb on the PLA surface. The amount of bovine serum albumin adsorbed on the nanoparticles was significantly smaller compared with that on the conventional polystyrene nanoparticles. It is suggested that the nanoparticles immobilized with the MPC polymer have the potential for use as both a novel drug carrier and diagnostic reagent which can come in contact with blood components.","author":[{"dropping-particle":"","family":"Konno","given":"Tomohiro","non-dropping-particle":"","parse-names":false,"suffix":""},{"dropping-particle":"","family":"Kurita","given":"Kimio","non-dropping-particle":"","parse-names":false,"suffix":""},{"dropping-particle":"","family":"Iwasaki","given":"Yasuhiko","non-dropping-particle":"","parse-names":false,"suffix":""},{"dropping-particle":"","family":"Nakabayashi","given":"Nobuo","non-dropping-particle":"","parse-names":false,"suffix":""},{"dropping-particle":"","family":"Ishihara","given":"Kazuhiko","non-dropping-particle":"","parse-names":false,"suffix":""}],"container-title":"Biomaterials","id":"ITEM-2","issue":"13","issued":{"date-parts":[["2001"]]},"page":"1883-1889","title":"Preparation of nanoparticles composed with bioinspired 2-methacryloyloxyethyl phosphorylcholine polymer","type":"article-journal","volume":"22"},"uris":["http://www.mendeley.com/documents/?uuid=7ac8cfd5-592d-4a6b-9cd2-89562a6b395e","http://www.mendeley.com/documents/?uuid=398b8835-e374-4927-bcd7-008ba0330a63"]},{"id":"ITEM-3","itemData":{"DOI":"10.1002/adma.200700941","ISSN":"0935-9648","abstract":"A novel gene delivery vector based on the ability of a synthetic amphiphilic block copolymer to mimic biological phospholipids by forming membrane-enclosed structures, specifically nanometer-sized vesicles, is presented. A pH-sensitive diblock copolymer forms vesicles (polymersomes) at neutral pH, and dissolves completely as unimers at endocytic pH (see figure). GFP-encoding plasmid DNA are successfully encapsulated inside the polymer vesicles, and delivered intracellularly.","author":[{"dropping-particle":"","family":"Lomas","given":"H","non-dropping-particle":"","parse-names":false,"suffix":""},{"dropping-particle":"","family":"Canton","given":"I","non-dropping-particle":"","parse-names":false,"suffix":""},{"dropping-particle":"","family":"MacNeil","given":"S","non-dropping-particle":"","parse-names":false,"suffix":""},{"dropping-particle":"","family":"Du","given":"J","non-dropping-particle":"","parse-names":false,"suffix":""},{"dropping-particle":"","family":"Armes","given":"S. P.","non-dropping-particle":"","parse-names":false,"suffix":""},{"dropping-particle":"","family":"Ryan","given":"A. J.","non-dropping-particle":"","parse-names":false,"suffix":""},{"dropping-particle":"","family":"Lewis","given":"A. L.","non-dropping-particle":"","parse-names":false,"suffix":""},{"dropping-particle":"","family":"Battaglia","given":"G","non-dropping-particle":"","parse-names":false,"suffix":""}],"container-title":"Advanced Materials","id":"ITEM-3","issue":"23","issued":{"date-parts":[["2007","12"]]},"page":"4238-4243","publisher":"John Wiley &amp; Sons, Ltd","title":"Biomimetic pH Sensitive Polymersomes for Efficient DNA Encapsulation and Delivery","type":"article-journal","volume":"19"},"uris":["http://www.mendeley.com/documents/?uuid=1646562a-5c32-4cb8-a0a3-3a8a03bdf12c","http://www.mendeley.com/documents/?uuid=4d083ff0-f38d-4861-b370-9434bd5d0560"]}],"mendeley":{"formattedCitation":"&lt;sup&gt;25–27&lt;/sup&gt;","plainTextFormattedCitation":"25–27","previouslyFormattedCitation":"&lt;sup&gt;25–27&lt;/sup&gt;"},"properties":{"noteIndex":0},"schema":"https://github.com/citation-style-language/schema/raw/master/csl-citation.json"}</w:instrText>
      </w:r>
      <w:r w:rsidR="00A23770" w:rsidRPr="00EB1AE4">
        <w:fldChar w:fldCharType="separate"/>
      </w:r>
      <w:r w:rsidR="00503E5A" w:rsidRPr="00EB1AE4">
        <w:rPr>
          <w:noProof/>
          <w:vertAlign w:val="superscript"/>
        </w:rPr>
        <w:t>25–27</w:t>
      </w:r>
      <w:r w:rsidR="00A23770" w:rsidRPr="00EB1AE4">
        <w:fldChar w:fldCharType="end"/>
      </w:r>
      <w:r w:rsidR="00503E5A" w:rsidRPr="00EB1AE4">
        <w:t>.</w:t>
      </w:r>
    </w:p>
    <w:p w14:paraId="5286DF0B" w14:textId="1FDB622D" w:rsidR="00D02707" w:rsidRPr="00EB1AE4" w:rsidRDefault="00D02707" w:rsidP="00600AA6">
      <w:pPr>
        <w:widowControl w:val="0"/>
        <w:autoSpaceDE w:val="0"/>
        <w:autoSpaceDN w:val="0"/>
        <w:adjustRightInd w:val="0"/>
      </w:pPr>
      <w:r w:rsidRPr="00EB1AE4">
        <w:t>Despite this evolution in the carrier composition and architecture</w:t>
      </w:r>
      <w:r w:rsidR="009A6817" w:rsidRPr="00EB1AE4">
        <w:t>,</w:t>
      </w:r>
      <w:r w:rsidR="00183C0A" w:rsidRPr="00EB1AE4">
        <w:t xml:space="preserve"> one </w:t>
      </w:r>
      <w:r w:rsidR="009A6817" w:rsidRPr="00EB1AE4">
        <w:t>major concern</w:t>
      </w:r>
      <w:r w:rsidRPr="00EB1AE4">
        <w:t xml:space="preserve"> in</w:t>
      </w:r>
      <w:r w:rsidR="009A6817" w:rsidRPr="00EB1AE4">
        <w:t xml:space="preserve"> </w:t>
      </w:r>
      <w:r w:rsidRPr="00EB1AE4">
        <w:t>the translation</w:t>
      </w:r>
      <w:r w:rsidR="000F0340">
        <w:t xml:space="preserve"> of polymer NPs</w:t>
      </w:r>
      <w:r w:rsidRPr="00EB1AE4">
        <w:t xml:space="preserve"> from the bench to the clinic </w:t>
      </w:r>
      <w:r w:rsidR="009A6817" w:rsidRPr="00EB1AE4">
        <w:t xml:space="preserve">is </w:t>
      </w:r>
      <w:r w:rsidRPr="00EB1AE4">
        <w:t xml:space="preserve">still </w:t>
      </w:r>
      <w:r w:rsidR="000F0340">
        <w:t>ensuring</w:t>
      </w:r>
      <w:r w:rsidRPr="00EB1AE4">
        <w:t xml:space="preserve"> a sufficiently long </w:t>
      </w:r>
      <w:r w:rsidR="009A6817" w:rsidRPr="00EB1AE4">
        <w:t xml:space="preserve">shelf-life </w:t>
      </w:r>
      <w:r w:rsidRPr="00EB1AE4">
        <w:t>to</w:t>
      </w:r>
      <w:r w:rsidR="009A6817" w:rsidRPr="00EB1AE4">
        <w:t xml:space="preserve"> the formulation. This requires</w:t>
      </w:r>
      <w:r w:rsidR="006F7FF8" w:rsidRPr="00EB1AE4">
        <w:t xml:space="preserve"> </w:t>
      </w:r>
      <w:r w:rsidRPr="00EB1AE4">
        <w:t xml:space="preserve">first of all </w:t>
      </w:r>
      <w:r w:rsidR="003D7EB8" w:rsidRPr="00EB1AE4">
        <w:t>the preservation of</w:t>
      </w:r>
      <w:r w:rsidR="00183C0A" w:rsidRPr="00EB1AE4">
        <w:t xml:space="preserve"> </w:t>
      </w:r>
      <w:r w:rsidR="006F7FF8" w:rsidRPr="00EB1AE4">
        <w:t>the colloidal stability of the system</w:t>
      </w:r>
      <w:r w:rsidR="00DA17F2" w:rsidRPr="00EB1AE4">
        <w:fldChar w:fldCharType="begin" w:fldLock="1"/>
      </w:r>
      <w:r w:rsidR="00BE213A">
        <w:instrText>ADDIN CSL_CITATION {"citationItems":[{"id":"ITEM-1","itemData":{"DOI":"https://doi.org/10.1016/S0928-0987(98)00066-9","ISSN":"0928-0987","abstract":"The present paper describes the stability of poly (d,l-lactide–glycolide) nanoparticles (PLGA NP) and microspheres (MS), either alone or loaded with cyclosporine (CyA), stored at 8°C and room temperature (RT). Freeze-drying of these formulations was evaluated as an alternative method to achieve long term stability. A significant polymer rupture was detected during PLGA MS preparation by solvent evaporation, which correlated with the stirring rates used for the formation of the primary emulsion. On the other hand, the polymer remained unchanged during NP formation. After 6 months of storage, PLGA NP of a size below 80 nm aggregated when stored at RT whereas no changes of particle size were observed for the remaining formulations and experimental conditions. Drug entrapment significantly increased by about 9.5% only during PLGA NP storage at RT. The PLGA molecular weight of NP dropped at RT being these changes related to the initial particle size and amount of CyA incorporated. The same effect was observed at 8°C but only the particle size showed a significant influence. The drop of PLGA molecular weight observed during storage of MS was not dependent on the storage temperature but it was directly related to the molecular weights obtained after MS preparation. Freeze-drying studies revealed that it was not feasible to maintain the initial PLGA NP characteristics after reconstitution. On the other hand, MS lyophilized in the absence of cryoprotectants retained the drug initially entrapped; however, the presence of at least 5% cryoprotectant was essential to keep the initial particle size. Therefore, PLGA NP and MS show a significant instability when stored as suspensions. Freeze-drying offers a good alternative to stabilize polymeric MS but the preservation of the PLGA NP characteristics by freeze-drying needs for further investigations.","author":[{"dropping-particle":"","family":"Chacón","given":"M","non-dropping-particle":"","parse-names":false,"suffix":""},{"dropping-particle":"","family":"Molpeceres","given":"J","non-dropping-particle":"","parse-names":false,"suffix":""},{"dropping-particle":"","family":"Berges","given":"L","non-dropping-particle":"","parse-names":false,"suffix":""},{"dropping-particle":"","family":"Guzmán","given":"M","non-dropping-particle":"","parse-names":false,"suffix":""},{"dropping-particle":"","family":"Aberturas","given":"M R","non-dropping-particle":"","parse-names":false,"suffix":""}],"container-title":"European Journal of Pharmaceutical Sciences","id":"ITEM-1","issue":"2","issued":{"date-parts":[["1999"]]},"page":"99-107","title":"Stability and freeze-drying of cyclosporine loaded poly(d,l lactide–glycolide) carriers","type":"article-journal","volume":"8"},"uris":["http://www.mendeley.com/documents/?uuid=05d0076b-91a0-4c2f-b792-a13ffbfa00a6","http://www.mendeley.com/documents/?uuid=ac23801b-074e-428f-96a3-e848a7c74d2d"]},{"id":"ITEM-2","itemData":{"DOI":"10.1023/A:1018826103261","ISSN":"1573-904X","abstract":"Purpose. To investigate the feasibility of producing freeze-dried poly-(ethylene oxide) (PEO)-surface modified nanoparticles and to study their ability to avoid the mononuclear phagocytic system (MPS), as a function of the PEO chain length and surface density.","author":[{"dropping-particle":"","family":"Jaeghere","given":"Fanny","non-dropping-particle":"De","parse-names":false,"suffix":""},{"dropping-particle":"","family":"Allémann","given":"Eric","non-dropping-particle":"","parse-names":false,"suffix":""},{"dropping-particle":"","family":"Leroux","given":"Jean-Christophe","non-dropping-particle":"","parse-names":false,"suffix":""},{"dropping-particle":"","family":"Stevels","given":"Wim","non-dropping-particle":"","parse-names":false,"suffix":""},{"dropping-particle":"","family":"Feijen","given":"Jan","non-dropping-particle":"","parse-names":false,"suffix":""},{"dropping-particle":"","family":"Doelker","given":"Eric","non-dropping-particle":"","parse-names":false,"suffix":""},{"dropping-particle":"","family":"Gurny","given":"Robert","non-dropping-particle":"","parse-names":false,"suffix":""}],"container-title":"Pharmaceutical Research","id":"ITEM-2","issue":"6","issued":{"date-parts":[["1999"]]},"page":"859-866","title":"Formulation and Lyoprotection of Poly(Lactic Acid-Co-Ethylene Oxide) Nanoparticles: Influence on Physical Stability and In Vitro Cell Uptake","type":"article-journal","volume":"16"},"uris":["http://www.mendeley.com/documents/?uuid=ab2ae47f-cc4e-4ae9-8bb6-cdc61a6ea398","http://www.mendeley.com/documents/?uuid=fa344d50-62cd-49dd-8880-1db00d1944e7"]}],"mendeley":{"formattedCitation":"&lt;sup&gt;28,29&lt;/sup&gt;","plainTextFormattedCitation":"28,29","previouslyFormattedCitation":"&lt;sup&gt;28,29&lt;/sup&gt;"},"properties":{"noteIndex":0},"schema":"https://github.com/citation-style-language/schema/raw/master/csl-citation.json"}</w:instrText>
      </w:r>
      <w:r w:rsidR="00DA17F2" w:rsidRPr="00EB1AE4">
        <w:fldChar w:fldCharType="separate"/>
      </w:r>
      <w:r w:rsidR="00503E5A" w:rsidRPr="00EB1AE4">
        <w:rPr>
          <w:noProof/>
          <w:vertAlign w:val="superscript"/>
        </w:rPr>
        <w:t>28,29</w:t>
      </w:r>
      <w:r w:rsidR="00DA17F2" w:rsidRPr="00EB1AE4">
        <w:fldChar w:fldCharType="end"/>
      </w:r>
      <w:r w:rsidR="006F7FF8" w:rsidRPr="00EB1AE4">
        <w:t>. In</w:t>
      </w:r>
      <w:r w:rsidR="004A3176" w:rsidRPr="00EB1AE4">
        <w:t>deed</w:t>
      </w:r>
      <w:r w:rsidR="006F7FF8" w:rsidRPr="00EB1AE4">
        <w:t>,</w:t>
      </w:r>
      <w:r w:rsidR="000D1A3E" w:rsidRPr="00EB1AE4">
        <w:t xml:space="preserve"> the storage of the NPs in aqueous suspensions for a prolonged period causes a physical </w:t>
      </w:r>
      <w:r w:rsidRPr="00EB1AE4">
        <w:t xml:space="preserve">destabilization </w:t>
      </w:r>
      <w:r w:rsidR="000D1A3E" w:rsidRPr="00EB1AE4">
        <w:t>of the system which consists in the particle fusion or aggregation</w:t>
      </w:r>
      <w:r w:rsidR="00DA17F2" w:rsidRPr="00EB1AE4">
        <w:fldChar w:fldCharType="begin" w:fldLock="1"/>
      </w:r>
      <w:r w:rsidR="00BE213A">
        <w:instrText>ADDIN CSL_CITATION {"citationItems":[{"id":"ITEM-1","itemData":{"DOI":"https://doi.org/10.1016/0142-9612(96)00049-X","ISSN":"0142-9612","abstract":"The objective was to evaluate the stability of nanoparticles prepared with poly(ɛ-caprolactone), poly(d,l-lactide) and poly(d,l-lactide-co-glycolide) polymers and stored at different temperatures and in different media. The stability parameters studied were molecular weight and crystallinity of the polymer, nanoparticle size and pH. The results show that the stability of polymeric nanoparticles depends on (i) the type of polymers with the following increasing order of polymer stability: PLA25GA50 &lt; PLA37.5GA25 &lt; PLA50 = PCL, (ii) the storage temperature: PCL and PLA50 nanoparticles can be kept at 4 °C and RT during one year, while PLA37.5GA25 and PLA25GA50 nanoparticles have to be stored at 4 °C, and (iii) the storage conditions: buffering or freeze-drying nanoparticles improves stability.","author":[{"dropping-particle":"","family":"Lemoine","given":"D","non-dropping-particle":"","parse-names":false,"suffix":""},{"dropping-particle":"","family":"Francois","given":"C","non-dropping-particle":"","parse-names":false,"suffix":""},{"dropping-particle":"","family":"Kedzierewicz","given":"F","non-dropping-particle":"","parse-names":false,"suffix":""},{"dropping-particle":"","family":"Preat","given":"V","non-dropping-particle":"","parse-names":false,"suffix":""},{"dropping-particle":"","family":"Hoffman","given":"M","non-dropping-particle":"","parse-names":false,"suffix":""},{"dropping-particle":"","family":"Maincent","given":"P","non-dropping-particle":"","parse-names":false,"suffix":""}],"container-title":"Biomaterials","id":"ITEM-1","issue":"22","issued":{"date-parts":[["1996"]]},"page":"2191-2197","title":"Stability study of nanoparticles of poly(ɛ-caprolactone), poly(d,l-lactide) and poly(d,l-lactide-co-glycolide)","type":"article-journal","volume":"17"},"uris":["http://www.mendeley.com/documents/?uuid=a01951f4-4071-47a4-bf71-b22221f58c11","http://www.mendeley.com/documents/?uuid=e7b7193e-9bb4-42a5-a3fd-52c8d33aecf8"]}],"mendeley":{"formattedCitation":"&lt;sup&gt;30&lt;/sup&gt;","plainTextFormattedCitation":"30","previouslyFormattedCitation":"&lt;sup&gt;30&lt;/sup&gt;"},"properties":{"noteIndex":0},"schema":"https://github.com/citation-style-language/schema/raw/master/csl-citation.json"}</w:instrText>
      </w:r>
      <w:r w:rsidR="00DA17F2" w:rsidRPr="00EB1AE4">
        <w:fldChar w:fldCharType="separate"/>
      </w:r>
      <w:r w:rsidR="00503E5A" w:rsidRPr="00EB1AE4">
        <w:rPr>
          <w:noProof/>
          <w:vertAlign w:val="superscript"/>
        </w:rPr>
        <w:t>30</w:t>
      </w:r>
      <w:r w:rsidR="00DA17F2" w:rsidRPr="00EB1AE4">
        <w:fldChar w:fldCharType="end"/>
      </w:r>
      <w:r w:rsidR="000D1A3E" w:rsidRPr="00EB1AE4">
        <w:t xml:space="preserve">. Furthermore, an additional </w:t>
      </w:r>
      <w:r w:rsidR="00BD21F2" w:rsidRPr="00EB1AE4">
        <w:t>drawback that occurs to the system in a</w:t>
      </w:r>
      <w:r w:rsidR="00E137E3" w:rsidRPr="00EB1AE4">
        <w:t xml:space="preserve">n aqueous </w:t>
      </w:r>
      <w:r w:rsidR="00BD21F2" w:rsidRPr="00EB1AE4">
        <w:t xml:space="preserve">environment is represented by the chemical instability, consisting in the hydrolysis </w:t>
      </w:r>
      <w:r w:rsidR="007B32D7" w:rsidRPr="00EB1AE4">
        <w:t>of the</w:t>
      </w:r>
      <w:r w:rsidR="00AA31CB" w:rsidRPr="00EB1AE4">
        <w:rPr>
          <w:rFonts w:cs="Times New Roman"/>
          <w:szCs w:val="24"/>
        </w:rPr>
        <w:t xml:space="preserve"> </w:t>
      </w:r>
      <w:r w:rsidR="007B32D7" w:rsidRPr="00EB1AE4">
        <w:t>p</w:t>
      </w:r>
      <w:r w:rsidR="00BD21F2" w:rsidRPr="00EB1AE4">
        <w:t>olymer</w:t>
      </w:r>
      <w:r w:rsidR="007B32D7" w:rsidRPr="00EB1AE4">
        <w:t xml:space="preserve"> </w:t>
      </w:r>
      <w:r w:rsidR="00BD21F2" w:rsidRPr="00EB1AE4">
        <w:t>that composes the particle</w:t>
      </w:r>
      <w:r w:rsidR="009E3C3E" w:rsidRPr="00EB1AE4">
        <w:t>. This is</w:t>
      </w:r>
      <w:r w:rsidRPr="00EB1AE4">
        <w:t xml:space="preserve"> particularly relevant for biodegradable polyesters</w:t>
      </w:r>
      <w:r w:rsidR="00150F9D">
        <w:t xml:space="preserve">, among which the most typical for the synthesis of polymer NPs include </w:t>
      </w:r>
      <w:r w:rsidR="00150F9D" w:rsidRPr="00E103CD">
        <w:rPr>
          <w:i/>
        </w:rPr>
        <w:t>e.g.</w:t>
      </w:r>
      <w:r w:rsidR="00150F9D">
        <w:t xml:space="preserve"> polycaprolactone, polylactic acid, and poly(lactic acid-</w:t>
      </w:r>
      <w:r w:rsidR="00150F9D">
        <w:rPr>
          <w:i/>
        </w:rPr>
        <w:t>co</w:t>
      </w:r>
      <w:r w:rsidR="00150F9D">
        <w:t>-glycolic acid))</w:t>
      </w:r>
      <w:r w:rsidR="00A87BD9">
        <w:fldChar w:fldCharType="begin" w:fldLock="1"/>
      </w:r>
      <w:r w:rsidR="00475714">
        <w:instrText>ADDIN CSL_CITATION {"citationItems":[{"id":"ITEM-1","itemData":{"DOI":"10.3390/polym10080851","ISBN":"2073-4360","ISSN":"2073-4360","abstract":"In the last decades bioresorbable and biodegradable polymers have gained a very good reputation both in research and in industry thanks to their unique characteristics. They are able to ensure high performance and biocompatibility, at the same time avoiding post-healing surgical interventions for device removal. In the medical device industry, it is widely known that product formulation and manufacturing need to follow specific procedures in order to ensure both the proper mechanical properties and desired degradation profile. Moreover, the sterilization method is crucial and its impact on physical properties is generally underestimated. In this work we focused our attention on the effect of different terminal sterilization methods on two commercially available poly(l-lactide-co-ε-caprolactone) with equivalent chemical composition (70% PLA and 30% PCL) and relatively similar initial molecular weights, but different chain arrangements and crystallinity. Results obtained show that crystallinity plays a key role in helping preserve the narrow distribution of chains and, as a consequence, defined physical properties. These statements can be used as guidelines for a better choice of the most adequate biodegradable polymers in the production of resorbable medical devices.","author":[{"dropping-particle":"","family":"Cingolani","given":"Alberto","non-dropping-particle":"","parse-names":false,"suffix":""},{"dropping-particle":"","family":"Casalini","given":"Tommaso","non-dropping-particle":"","parse-names":false,"suffix":""},{"dropping-particle":"","family":"Caimi","given":"Stefano","non-dropping-particle":"","parse-names":false,"suffix":""},{"dropping-particle":"","family":"Klaue","given":"Antoine","non-dropping-particle":"","parse-names":false,"suffix":""},{"dropping-particle":"","family":"Sponchioni","given":"Mattia","non-dropping-particle":"","parse-names":false,"suffix":""},{"dropping-particle":"","family":"Rossi","given":"Filippo","non-dropping-particle":"","parse-names":false,"suffix":""},{"dropping-particle":"","family":"Perale","given":"Giuseppe","non-dropping-particle":"","parse-names":false,"suffix":""}],"container-title":"Polymers","id":"ITEM-1","issue":"8","issued":{"date-parts":[["2018","8","1"]]},"page":"851","title":"A Methodologic Approach for the Selection of Bio-Resorbable Polymers in the Development of Medical Devices: The Case of Poly(l-lactide-co-ε-caprolactone)","type":"article-journal","volume":"10"},"uris":["http://www.mendeley.com/documents/?uuid=ff6dd7a2-7a34-4963-8bed-5d42dcbc70a5","http://www.mendeley.com/documents/?uuid=c45a2c03-74f6-466d-b545-f29db286d473"]}],"mendeley":{"formattedCitation":"&lt;sup&gt;31&lt;/sup&gt;","plainTextFormattedCitation":"31","previouslyFormattedCitation":"&lt;sup&gt;31&lt;/sup&gt;"},"properties":{"noteIndex":0},"schema":"https://github.com/citation-style-language/schema/raw/master/csl-citation.json"}</w:instrText>
      </w:r>
      <w:r w:rsidR="00A87BD9">
        <w:fldChar w:fldCharType="separate"/>
      </w:r>
      <w:r w:rsidR="00A87BD9" w:rsidRPr="00A87BD9">
        <w:rPr>
          <w:noProof/>
          <w:vertAlign w:val="superscript"/>
        </w:rPr>
        <w:t>31</w:t>
      </w:r>
      <w:r w:rsidR="00A87BD9">
        <w:fldChar w:fldCharType="end"/>
      </w:r>
      <w:r w:rsidR="009A6817" w:rsidRPr="00EB1AE4">
        <w:t>.</w:t>
      </w:r>
      <w:r w:rsidR="00BD21F2" w:rsidRPr="00EB1AE4">
        <w:t xml:space="preserve"> </w:t>
      </w:r>
      <w:r w:rsidR="009A6817" w:rsidRPr="00EB1AE4">
        <w:t xml:space="preserve">Finally, an additional issue is </w:t>
      </w:r>
      <w:r w:rsidR="00BD21F2" w:rsidRPr="00EB1AE4">
        <w:t xml:space="preserve">the </w:t>
      </w:r>
      <w:r w:rsidR="009A6817" w:rsidRPr="00EB1AE4">
        <w:t xml:space="preserve">premature </w:t>
      </w:r>
      <w:r w:rsidR="00BD21F2" w:rsidRPr="00EB1AE4">
        <w:t xml:space="preserve">drug leakage from the </w:t>
      </w:r>
      <w:r w:rsidRPr="00EB1AE4">
        <w:t>NPs, which compromises the therapeutic index</w:t>
      </w:r>
      <w:r w:rsidR="009E3C3E" w:rsidRPr="00EB1AE4">
        <w:t xml:space="preserve"> of the formulation</w:t>
      </w:r>
      <w:r w:rsidRPr="00EB1AE4">
        <w:fldChar w:fldCharType="begin" w:fldLock="1"/>
      </w:r>
      <w:r w:rsidR="00BE213A">
        <w:instrText>ADDIN CSL_CITATION {"citationItems":[{"id":"ITEM-1","itemData":{"DOI":"10.1023/A:1018981222092","ISSN":"1573-904X","abstract":"Pseudolatexes of the biodegradable polyesters poly(D,L-lactide) (PLA) and poly(ε-caprolactone) (PCL) have been developed as potential aqueous coatings for sustained release. Since PLA and PCL are known to hydrolyze, the influence of the surfactant system, temperature, pH, and particle size on the chemical stability of the polymers as aqueous colloidal dispersions was investigated. Pseudolatexes of PLA and PCL formulated with a nonionic surfactant system were the most stable. When these dispersions were stored in unbuffered media for 350 days at 5°C, only small changes in the weight-average molecular weights (Mw) of the polymers were observed. At 37°C there was rapid degradation of both polymers in the dispersions. Arrhenius plots for the degradation of PLA and PCL resulted in a linear relationship for PCL. The nonlinear relationship for PLA was attributed to the polymer being in two different physical states within the 5 to 37°C range which was used for the Arrhenius plots. PCL was in the rubbery state at all temperatures studied. Storage of the pseudolatexes in pH 1.65 buffer at 37°C catalyzed the rates of degradation of both PLA and PCL. However, refrigeration of the pseudolatexes stabilized the polymers even at pH 1.65 for up to 4 months. Particle size had an insignificant effect on PLA and PCL stability in pseudolatexes prepared with either a nonionic or an anionic surfactant system.","author":[{"dropping-particle":"","family":"Coffin","given":"Mark D","non-dropping-particle":"","parse-names":false,"suffix":""},{"dropping-particle":"","family":"McGinity","given":"James W","non-dropping-particle":"","parse-names":false,"suffix":""}],"container-title":"Pharmaceutical Research","id":"ITEM-1","issue":"2","issued":{"date-parts":[["1992"]]},"page":"200-205","title":"Biodegradable Pseudolatexes: The Chemical Stability of Poly(D,L-Lactide) and Poly (ε-Caprolactone) Nanoparticles in Aqueous Media","type":"article-journal","volume":"9"},"uris":["http://www.mendeley.com/documents/?uuid=6f14fd96-585e-408e-83e5-743574b9d336","http://www.mendeley.com/documents/?uuid=43aed2cf-9624-4396-85ed-a3fcefe0bb94"]}],"mendeley":{"formattedCitation":"&lt;sup&gt;32&lt;/sup&gt;","plainTextFormattedCitation":"32","previouslyFormattedCitation":"&lt;sup&gt;32&lt;/sup&gt;"},"properties":{"noteIndex":0},"schema":"https://github.com/citation-style-language/schema/raw/master/csl-citation.json"}</w:instrText>
      </w:r>
      <w:r w:rsidRPr="00EB1AE4">
        <w:fldChar w:fldCharType="separate"/>
      </w:r>
      <w:r w:rsidR="00A87BD9" w:rsidRPr="00A87BD9">
        <w:rPr>
          <w:noProof/>
          <w:vertAlign w:val="superscript"/>
        </w:rPr>
        <w:t>32</w:t>
      </w:r>
      <w:r w:rsidRPr="00EB1AE4">
        <w:fldChar w:fldCharType="end"/>
      </w:r>
      <w:r w:rsidR="00BD21F2" w:rsidRPr="00EB1AE4">
        <w:t>.</w:t>
      </w:r>
    </w:p>
    <w:p w14:paraId="032852BD" w14:textId="2D7D91C5" w:rsidR="002F38B5" w:rsidRPr="00EB1AE4" w:rsidRDefault="003D7EB8" w:rsidP="00600AA6">
      <w:pPr>
        <w:widowControl w:val="0"/>
        <w:autoSpaceDE w:val="0"/>
        <w:autoSpaceDN w:val="0"/>
        <w:adjustRightInd w:val="0"/>
      </w:pPr>
      <w:r w:rsidRPr="00EB1AE4">
        <w:t>T</w:t>
      </w:r>
      <w:r w:rsidR="007B32D7" w:rsidRPr="00EB1AE4">
        <w:t xml:space="preserve">o overcome these problems, </w:t>
      </w:r>
      <w:r w:rsidR="009A6817" w:rsidRPr="00EB1AE4">
        <w:t xml:space="preserve">the best option, when feasible, is the removal of </w:t>
      </w:r>
      <w:r w:rsidR="007B32D7" w:rsidRPr="00EB1AE4">
        <w:t>water from the system.</w:t>
      </w:r>
      <w:r w:rsidR="009A6817" w:rsidRPr="00EB1AE4">
        <w:t xml:space="preserve"> In fact, this would avoid the hydrolysis of the polymer matrix as well as the drug diffusion outside the carrier.</w:t>
      </w:r>
      <w:r w:rsidR="007B32D7" w:rsidRPr="00EB1AE4">
        <w:t xml:space="preserve"> There are many methods in literature to concentrate the </w:t>
      </w:r>
      <w:r w:rsidR="00E137E3" w:rsidRPr="00EB1AE4">
        <w:t xml:space="preserve">NP </w:t>
      </w:r>
      <w:r w:rsidR="007B32D7" w:rsidRPr="00EB1AE4">
        <w:t>suspension</w:t>
      </w:r>
      <w:r w:rsidR="00292146" w:rsidRPr="00EB1AE4">
        <w:t>s or to remove completely the water</w:t>
      </w:r>
      <w:r w:rsidR="009A6817" w:rsidRPr="00EB1AE4">
        <w:t>. Among these methods it is worth mentioning</w:t>
      </w:r>
      <w:r w:rsidR="0020792C" w:rsidRPr="00EB1AE4">
        <w:t xml:space="preserve"> evaporation,</w:t>
      </w:r>
      <w:r w:rsidR="002F57F9" w:rsidRPr="00EB1AE4">
        <w:t xml:space="preserve"> </w:t>
      </w:r>
      <w:r w:rsidR="0020792C" w:rsidRPr="00EB1AE4">
        <w:t>dialysis and lyophilization</w:t>
      </w:r>
      <w:r w:rsidR="00CC7CD7" w:rsidRPr="00EB1AE4">
        <w:fldChar w:fldCharType="begin" w:fldLock="1"/>
      </w:r>
      <w:r w:rsidR="00BE213A">
        <w:instrText>ADDIN CSL_CITATION {"citationItems":[{"id":"ITEM-1","itemData":{"DOI":"10.2147/IJN.S78935","ISSN":"11782013","abstract":"© 2015 Tagalakis et al.Nonviral gene and small interfering RNA (siRNA) delivery formulations are extensively used for biological and therapeutic research in cell culture experiments, but less so in in vivo and clinical research. Difficulties with formulating the nanoparticles for uniformity and stability at concentrations required for in vivo and clinical use are limiting their progression in these areas. Here, we report a simple but effective method of formulating monodisperse nanocomplexes from a ternary formulation of lipids, targeting peptides, and nucleic acids at a low starting concentration of 0.2 mg/mL of DNA, and we then increase their concentration up to 4.5 mg/mL by reverse dialysis against a concentrated polymer solution at room temperature. The nanocomplexes did not aggregate and they had maintained their biophysical properties, but, importantly, they also mediated DNA transfection and siRNA silencing in cultured cells. Moreover, concentrated anionic nanocomplexes administered by convection-enhanced delivery in the striatum showed efficient silencing of the ß-secretase gene BACE1. This method of preparing nanocomplexes could probably be used to concentrate other nonviral formulations and may enable more widespread use of nanoparticles in vivo.","author":[{"dropping-particle":"","family":"Tagalakis","given":"Aristides D.","non-dropping-particle":"","parse-names":false,"suffix":""},{"dropping-particle":"","family":"Castellaro","given":"Sara","non-dropping-particle":"","parse-names":false,"suffix":""},{"dropping-particle":"","family":"Zhou","given":"Haiyan","non-dropping-particle":"","parse-names":false,"suffix":""},{"dropping-particle":"","family":"Bienemann","given":"Alison","non-dropping-particle":"","parse-names":false,"suffix":""},{"dropping-particle":"","family":"Munye","given":"Mustafa M.","non-dropping-particle":"","parse-names":false,"suffix":""},{"dropping-particle":"","family":"McCarthy","given":"David","non-dropping-particle":"","parse-names":false,"suffix":""},{"dropping-particle":"","family":"White","given":"Edward A.","non-dropping-particle":"","parse-names":false,"suffix":""},{"dropping-particle":"","family":"Hart","given":"Stephen L.","non-dropping-particle":"","parse-names":false,"suffix":""}],"container-title":"International Journal of Nanomedicine","id":"ITEM-1","issued":{"date-parts":[["2015"]]},"page":"2673-2683","title":"A method for concentrating lipid peptide DNA and siRNA nanocomplexes that retains their structure and transfection efficiency","type":"article-journal","volume":"10"},"uris":["http://www.mendeley.com/documents/?uuid=fceaf2cb-ba8b-4219-a075-719d80e45ed0","http://www.mendeley.com/documents/?uuid=47d7a60d-fda0-43ae-9f35-9569ee351d6c"]},{"id":"ITEM-2","itemData":{"DOI":"10.1007/s11095-005-7781-z","ISSN":"1573-904X","abstract":"The study reports evaluation of different purification processes for removing surplus surfactant and formulating stable nanoparticle dispersions.","author":[{"dropping-particle":"","family":"Dalwadi","given":"Gautam","non-dropping-particle":"","parse-names":false,"suffix":""},{"dropping-particle":"","family":"Benson","given":"Heather A E","non-dropping-particle":"","parse-names":false,"suffix":""},{"dropping-particle":"","family":"Chen","given":"Yan","non-dropping-particle":"","parse-names":false,"suffix":""}],"container-title":"Pharmaceutical Research","id":"ITEM-2","issue":"12","issued":{"date-parts":[["2005"]]},"page":"2152-2162","title":"Comparison of Diafiltration and Tangential Flow Filtration for Purification of Nanoparticle Suspensions","type":"article-journal","volume":"22"},"uris":["http://www.mendeley.com/documents/?uuid=811c7bb3-6a21-4c47-a93b-2e255046260b","http://www.mendeley.com/documents/?uuid=adefa7e6-dbeb-4f9b-b74c-cc2d7ebad57f"]},{"id":"ITEM-3","itemData":{"DOI":"https://doi.org/10.1016/j.addr.2006.09.017","ISSN":"0169-409X","abstract":"Freeze-drying has been considered as a good technique to improve the long-term stability of colloidal nanoparticles. The poor stability in an aqueous medium of these systems forms a real barrier against the clinical use of nanoparticles. This article reviews the state of the art of freeze-drying nanoparticles. It discusses the most important parameters that influence the success of freeze-drying of these fragile systems, and provides an overview of nanoparticles freeze-drying process and formulation strategies with a focus on the impact of formulation and process on particle stability.","author":[{"dropping-particle":"","family":"Abdelwahed","given":"Wassim","non-dropping-particle":"","parse-names":false,"suffix":""},{"dropping-particle":"","family":"Degobert","given":"Ghania","non-dropping-particle":"","parse-names":false,"suffix":""},{"dropping-particle":"","family":"Stainmesse","given":"Serge","non-dropping-particle":"","parse-names":false,"suffix":""},{"dropping-particle":"","family":"Fessi","given":"Hatem","non-dropping-particle":"","parse-names":false,"suffix":""}],"container-title":"Advanced Drug Delivery Reviews","id":"ITEM-3","issue":"15","issued":{"date-parts":[["2006"]]},"page":"1688-1713","title":"Freeze-drying of nanoparticles: Formulation, process and storage considerations","type":"article-journal","volume":"58"},"uris":["http://www.mendeley.com/documents/?uuid=814d6409-092a-4ba5-8ffa-a5f9a852c054","http://www.mendeley.com/documents/?uuid=5c33b796-e5b3-43cc-bf8a-9f79d65a7c10"]}],"mendeley":{"formattedCitation":"&lt;sup&gt;33–35&lt;/sup&gt;","plainTextFormattedCitation":"33–35","previouslyFormattedCitation":"&lt;sup&gt;33–35&lt;/sup&gt;"},"properties":{"noteIndex":0},"schema":"https://github.com/citation-style-language/schema/raw/master/csl-citation.json"}</w:instrText>
      </w:r>
      <w:r w:rsidR="00CC7CD7" w:rsidRPr="00EB1AE4">
        <w:fldChar w:fldCharType="separate"/>
      </w:r>
      <w:r w:rsidR="00A87BD9" w:rsidRPr="00A87BD9">
        <w:rPr>
          <w:noProof/>
          <w:vertAlign w:val="superscript"/>
        </w:rPr>
        <w:t>33–35</w:t>
      </w:r>
      <w:r w:rsidR="00CC7CD7" w:rsidRPr="00EB1AE4">
        <w:fldChar w:fldCharType="end"/>
      </w:r>
      <w:r w:rsidR="0020792C" w:rsidRPr="00EB1AE4">
        <w:t>. The former is the most industrially</w:t>
      </w:r>
      <w:r w:rsidR="00637DC1" w:rsidRPr="00EB1AE4">
        <w:t xml:space="preserve"> used </w:t>
      </w:r>
      <w:r w:rsidR="0020792C" w:rsidRPr="00EB1AE4">
        <w:t>due to its high efficiency in the removal of both</w:t>
      </w:r>
      <w:r w:rsidR="002B745A" w:rsidRPr="00EB1AE4">
        <w:t xml:space="preserve"> organic solvent</w:t>
      </w:r>
      <w:r w:rsidR="00D02707" w:rsidRPr="00EB1AE4">
        <w:t>s</w:t>
      </w:r>
      <w:r w:rsidR="00637DC1" w:rsidRPr="00EB1AE4">
        <w:t xml:space="preserve"> and water</w:t>
      </w:r>
      <w:r w:rsidR="00E137E3" w:rsidRPr="00EB1AE4">
        <w:t>. However,</w:t>
      </w:r>
      <w:r w:rsidR="009A6817" w:rsidRPr="00EB1AE4">
        <w:t xml:space="preserve"> it</w:t>
      </w:r>
      <w:r w:rsidR="002B745A" w:rsidRPr="00EB1AE4">
        <w:t xml:space="preserve"> is not </w:t>
      </w:r>
      <w:r w:rsidR="009A6817" w:rsidRPr="00EB1AE4">
        <w:t>suitable</w:t>
      </w:r>
      <w:r w:rsidR="002B745A" w:rsidRPr="00EB1AE4">
        <w:t xml:space="preserve"> for drug delivery </w:t>
      </w:r>
      <w:r w:rsidRPr="00EB1AE4">
        <w:t>applications</w:t>
      </w:r>
      <w:r w:rsidR="002F38B5" w:rsidRPr="00EB1AE4">
        <w:t>, because of the presence of thermo-labile compounds that may undergo degradation at high temperatures</w:t>
      </w:r>
      <w:r w:rsidR="00600DC6" w:rsidRPr="00EB1AE4">
        <w:fldChar w:fldCharType="begin" w:fldLock="1"/>
      </w:r>
      <w:r w:rsidR="00BE213A">
        <w:instrText>ADDIN CSL_CITATION {"citationItems":[{"id":"ITEM-1","itemData":{"DOI":"10.1080/10837450600561265","ISSN":"1083-7450","author":[{"dropping-particle":"","family":"Harivardhan Reddy","given":"L","non-dropping-particle":"","parse-names":false,"suffix":""},{"dropping-particle":"","family":"Vivek","given":"K","non-dropping-particle":"","parse-names":false,"suffix":""},{"dropping-particle":"","family":"Bakshi","given":"Nishant","non-dropping-particle":"","parse-names":false,"suffix":""},{"dropping-particle":"","family":"Murthy","given":"R S R","non-dropping-particle":"","parse-names":false,"suffix":""}],"container-title":"Pharmaceutical Development and Technology","id":"ITEM-1","issue":"2","issued":{"date-parts":[["2006","1"]]},"page":"167-177","publisher":"Taylor &amp; Francis","title":"Tamoxifen Citrate Loaded Solid Lipid Nanoparticles (SLN™): Preparation, Characterization, In Vitro Drug Release, and Pharmacokinetic Evaluation","type":"article-journal","volume":"11"},"uris":["http://www.mendeley.com/documents/?uuid=acff8f75-5270-4d3a-b426-521c975aa843","http://www.mendeley.com/documents/?uuid=adf2efaf-94bd-49ed-8c6d-49e3c23c0c0b"]},{"id":"ITEM-2","itemData":{"DOI":"https://doi.org/10.1016/S0928-0987(98)00066-9","ISSN":"0928-0987","abstract":"The present paper describes the stability of poly (d,l-lactide–glycolide) nanoparticles (PLGA NP) and microspheres (MS), either alone or loaded with cyclosporine (CyA), stored at 8°C and room temperature (RT). Freeze-drying of these formulations was evaluated as an alternative method to achieve long term stability. A significant polymer rupture was detected during PLGA MS preparation by solvent evaporation, which correlated with the stirring rates used for the formation of the primary emulsion. On the other hand, the polymer remained unchanged during NP formation. After 6 months of storage, PLGA NP of a size below 80 nm aggregated when stored at RT whereas no changes of particle size were observed for the remaining formulations and experimental conditions. Drug entrapment significantly increased by about 9.5% only during PLGA NP storage at RT. The PLGA molecular weight of NP dropped at RT being these changes related to the initial particle size and amount of CyA incorporated. The same effect was observed at 8°C but only the particle size showed a significant influence. The drop of PLGA molecular weight observed during storage of MS was not dependent on the storage temperature but it was directly related to the molecular weights obtained after MS preparation. Freeze-drying studies revealed that it was not feasible to maintain the initial PLGA NP characteristics after reconstitution. On the other hand, MS lyophilized in the absence of cryoprotectants retained the drug initially entrapped; however, the presence of at least 5% cryoprotectant was essential to keep the initial particle size. Therefore, PLGA NP and MS show a significant instability when stored as suspensions. Freeze-drying offers a good alternative to stabilize polymeric MS but the preservation of the PLGA NP characteristics by freeze-drying needs for further investigations.","author":[{"dropping-particle":"","family":"Chacón","given":"M","non-dropping-particle":"","parse-names":false,"suffix":""},{"dropping-particle":"","family":"Molpeceres","given":"J","non-dropping-particle":"","parse-names":false,"suffix":""},{"dropping-particle":"","family":"Berges","given":"L","non-dropping-particle":"","parse-names":false,"suffix":""},{"dropping-particle":"","family":"Guzmán","given":"M","non-dropping-particle":"","parse-names":false,"suffix":""},{"dropping-particle":"","family":"Aberturas","given":"M R","non-dropping-particle":"","parse-names":false,"suffix":""}],"container-title":"European Journal of Pharmaceutical Sciences","id":"ITEM-2","issue":"2","issued":{"date-parts":[["1999"]]},"page":"99-107","title":"Stability and freeze-drying of cyclosporine loaded poly(d,l lactide–glycolide) carriers","type":"article-journal","volume":"8"},"uris":["http://www.mendeley.com/documents/?uuid=ac23801b-074e-428f-96a3-e848a7c74d2d","http://www.mendeley.com/documents/?uuid=05d0076b-91a0-4c2f-b792-a13ffbfa00a6"]}],"mendeley":{"formattedCitation":"&lt;sup&gt;28,36&lt;/sup&gt;","plainTextFormattedCitation":"28,36","previouslyFormattedCitation":"&lt;sup&gt;28,36&lt;/sup&gt;"},"properties":{"noteIndex":0},"schema":"https://github.com/citation-style-language/schema/raw/master/csl-citation.json"}</w:instrText>
      </w:r>
      <w:r w:rsidR="00600DC6" w:rsidRPr="00EB1AE4">
        <w:fldChar w:fldCharType="separate"/>
      </w:r>
      <w:r w:rsidR="00A87BD9" w:rsidRPr="00A87BD9">
        <w:rPr>
          <w:noProof/>
          <w:vertAlign w:val="superscript"/>
        </w:rPr>
        <w:t>28,36</w:t>
      </w:r>
      <w:r w:rsidR="00600DC6" w:rsidRPr="00EB1AE4">
        <w:fldChar w:fldCharType="end"/>
      </w:r>
      <w:r w:rsidR="002F38B5" w:rsidRPr="00EB1AE4">
        <w:t>.</w:t>
      </w:r>
      <w:r w:rsidR="00637DC1" w:rsidRPr="00EB1AE4">
        <w:t xml:space="preserve"> </w:t>
      </w:r>
      <w:r w:rsidR="00855BAA" w:rsidRPr="00EB1AE4">
        <w:t>Another appealing process for drying polymer NPs is</w:t>
      </w:r>
      <w:r w:rsidR="00252BE5" w:rsidRPr="00EB1AE4">
        <w:t xml:space="preserve"> t</w:t>
      </w:r>
      <w:r w:rsidRPr="00EB1AE4">
        <w:t xml:space="preserve">he lyophilization, or </w:t>
      </w:r>
      <w:r w:rsidR="001600C5" w:rsidRPr="00EB1AE4">
        <w:t>freeze-</w:t>
      </w:r>
      <w:r w:rsidRPr="00EB1AE4">
        <w:t>drying</w:t>
      </w:r>
      <w:r w:rsidR="00C3697E" w:rsidRPr="00EB1AE4">
        <w:t xml:space="preserve">. </w:t>
      </w:r>
      <w:r w:rsidR="00855BAA" w:rsidRPr="00EB1AE4">
        <w:t>In fact, it enables drying the NPs</w:t>
      </w:r>
      <w:r w:rsidR="0013234E" w:rsidRPr="00EB1AE4">
        <w:t xml:space="preserve"> </w:t>
      </w:r>
      <w:r w:rsidR="00855BAA" w:rsidRPr="00EB1AE4">
        <w:t xml:space="preserve">in an industrially </w:t>
      </w:r>
      <w:r w:rsidR="008F7C1C" w:rsidRPr="00EB1AE4">
        <w:t>relevant</w:t>
      </w:r>
      <w:r w:rsidR="00855BAA" w:rsidRPr="00EB1AE4">
        <w:t xml:space="preserve"> time</w:t>
      </w:r>
      <w:r w:rsidR="008F7C1C" w:rsidRPr="00EB1AE4">
        <w:t>scale</w:t>
      </w:r>
      <w:r w:rsidR="00855BAA" w:rsidRPr="00EB1AE4">
        <w:t xml:space="preserve"> and with reasonable consumption of energy</w:t>
      </w:r>
      <w:r w:rsidR="00811A32" w:rsidRPr="00EB1AE4">
        <w:fldChar w:fldCharType="begin" w:fldLock="1"/>
      </w:r>
      <w:r w:rsidR="00BE213A">
        <w:instrText>ADDIN CSL_CITATION {"citationItems":[{"id":"ITEM-1","itemData":{"DOI":"https://doi.org/10.1016/S0939-6411(98)00004-6","ISSN":"0939-6411","abstract":"The product and process parameters that determine successful freeze-drying are described and their interrelationships are explored. It is shown that the thermochemical and thermomechanical properties of water-soluble, amorphous materials form the basis of effective formulation design and that coordinated approaches to formulation and process development achieve optimum results with a minimum of trial-and-error experimentation.","author":[{"dropping-particle":"","family":"Franks","given":"Felix","non-dropping-particle":"","parse-names":false,"suffix":""}],"container-title":"European Journal of Pharmaceutics and Biopharmaceutics","id":"ITEM-1","issue":"3","issued":{"date-parts":[["1998"]]},"page":"221-229","title":"Freeze-drying of bioproducts: putting principles into practice","type":"article-journal","volume":"45"},"uris":["http://www.mendeley.com/documents/?uuid=bfbde93d-2d78-4ae6-b6fd-7841eba65ea8","http://www.mendeley.com/documents/?uuid=cdf8e11d-bd6c-48e0-ac62-18679b0badab"]}],"mendeley":{"formattedCitation":"&lt;sup&gt;37&lt;/sup&gt;","plainTextFormattedCitation":"37","previouslyFormattedCitation":"&lt;sup&gt;37&lt;/sup&gt;"},"properties":{"noteIndex":0},"schema":"https://github.com/citation-style-language/schema/raw/master/csl-citation.json"}</w:instrText>
      </w:r>
      <w:r w:rsidR="00811A32" w:rsidRPr="00EB1AE4">
        <w:fldChar w:fldCharType="separate"/>
      </w:r>
      <w:r w:rsidR="00A87BD9" w:rsidRPr="00A87BD9">
        <w:rPr>
          <w:noProof/>
          <w:vertAlign w:val="superscript"/>
        </w:rPr>
        <w:t>37</w:t>
      </w:r>
      <w:r w:rsidR="00811A32" w:rsidRPr="00EB1AE4">
        <w:fldChar w:fldCharType="end"/>
      </w:r>
      <w:r w:rsidR="00B95E51" w:rsidRPr="00EB1AE4">
        <w:t>.</w:t>
      </w:r>
      <w:r w:rsidR="00D01894" w:rsidRPr="00EB1AE4">
        <w:t xml:space="preserve"> </w:t>
      </w:r>
      <w:r w:rsidR="00855BAA" w:rsidRPr="00EB1AE4">
        <w:t>However, t</w:t>
      </w:r>
      <w:r w:rsidR="00D01894" w:rsidRPr="00EB1AE4">
        <w:t xml:space="preserve">he </w:t>
      </w:r>
      <w:r w:rsidR="00E47E8A" w:rsidRPr="00EB1AE4">
        <w:t xml:space="preserve">main </w:t>
      </w:r>
      <w:r w:rsidR="00D01894" w:rsidRPr="00EB1AE4">
        <w:t xml:space="preserve">drawback of this process is the </w:t>
      </w:r>
      <w:r w:rsidR="002F38B5" w:rsidRPr="00EB1AE4">
        <w:t xml:space="preserve">dispersibility of the NPs after drying and the </w:t>
      </w:r>
      <w:r w:rsidR="00D01894" w:rsidRPr="00EB1AE4">
        <w:t xml:space="preserve">preservation of the </w:t>
      </w:r>
      <w:r w:rsidR="002F38B5" w:rsidRPr="00EB1AE4">
        <w:t>colloidal stability</w:t>
      </w:r>
      <w:r w:rsidR="00D01894" w:rsidRPr="00EB1AE4">
        <w:t xml:space="preserve"> once the formulation is re-suspended</w:t>
      </w:r>
      <w:r w:rsidR="00801A5B" w:rsidRPr="00EB1AE4">
        <w:t>,</w:t>
      </w:r>
      <w:r w:rsidR="004D5C44" w:rsidRPr="00EB1AE4">
        <w:t xml:space="preserve"> due to the</w:t>
      </w:r>
      <w:r w:rsidR="00D01894" w:rsidRPr="00EB1AE4">
        <w:t xml:space="preserve"> </w:t>
      </w:r>
      <w:r w:rsidR="00A05DB2" w:rsidRPr="00EB1AE4">
        <w:t xml:space="preserve">several stresses </w:t>
      </w:r>
      <w:r w:rsidR="004D5C44" w:rsidRPr="00EB1AE4">
        <w:t>that a</w:t>
      </w:r>
      <w:r w:rsidR="001174B4" w:rsidRPr="00EB1AE4">
        <w:t>re produced during the process</w:t>
      </w:r>
      <w:r w:rsidR="00CD2E3F" w:rsidRPr="00EB1AE4">
        <w:fldChar w:fldCharType="begin" w:fldLock="1"/>
      </w:r>
      <w:r w:rsidR="00BE213A">
        <w:instrText>ADDIN CSL_CITATION {"citationItems":[{"id":"ITEM-1","itemData":{"DOI":"10.1081/DRT-120028238","ISSN":"0737-3937","author":[{"dropping-particle":"","family":"Choi","given":"M J","non-dropping-particle":"","parse-names":false,"suffix":""},{"dropping-particle":"","family":"Briançon","given":"S","non-dropping-particle":"","parse-names":false,"suffix":""},{"dropping-particle":"","family":"Andrieu","given":"J","non-dropping-particle":"","parse-names":false,"suffix":""},{"dropping-particle":"","family":"Min","given":"S G","non-dropping-particle":"","parse-names":false,"suffix":""},{"dropping-particle":"","family":"Fessi","given":"H","non-dropping-particle":"","parse-names":false,"suffix":""}],"container-title":"Drying Technology","id":"ITEM-1","issue":"1-2","issued":{"date-parts":[["2004","12"]]},"page":"335-346","publisher":"Taylor &amp; Francis","title":"Effect of Freeze-Drying Process Conditions on the Stability of Nanoparticles","type":"article-journal","volume":"22"},"uris":["http://www.mendeley.com/documents/?uuid=00a89b8d-a5a9-4e7a-a7cb-9cc00cd25d47","http://www.mendeley.com/documents/?uuid=f37d694c-17ef-4532-b91b-d5b0ff57f40f"]}],"mendeley":{"formattedCitation":"&lt;sup&gt;38&lt;/sup&gt;","plainTextFormattedCitation":"38","previouslyFormattedCitation":"&lt;sup&gt;38&lt;/sup&gt;"},"properties":{"noteIndex":0},"schema":"https://github.com/citation-style-language/schema/raw/master/csl-citation.json"}</w:instrText>
      </w:r>
      <w:r w:rsidR="00CD2E3F" w:rsidRPr="00EB1AE4">
        <w:fldChar w:fldCharType="separate"/>
      </w:r>
      <w:r w:rsidR="00A87BD9" w:rsidRPr="00A87BD9">
        <w:rPr>
          <w:noProof/>
          <w:vertAlign w:val="superscript"/>
        </w:rPr>
        <w:t>38</w:t>
      </w:r>
      <w:r w:rsidR="00CD2E3F" w:rsidRPr="00EB1AE4">
        <w:fldChar w:fldCharType="end"/>
      </w:r>
      <w:r w:rsidR="001174B4" w:rsidRPr="00EB1AE4">
        <w:t>.</w:t>
      </w:r>
      <w:r w:rsidR="00150F9D">
        <w:t xml:space="preserve"> These include the </w:t>
      </w:r>
      <w:r w:rsidR="002B53C9">
        <w:t xml:space="preserve">mechanical stresses that the crystallization of ice exerts on the NPs and the phase separation during freezing </w:t>
      </w:r>
      <w:r w:rsidR="007A1672">
        <w:t>leading</w:t>
      </w:r>
      <w:r w:rsidR="002B53C9">
        <w:t xml:space="preserve"> to</w:t>
      </w:r>
      <w:r w:rsidR="00150F9D">
        <w:t xml:space="preserve"> a concentrated particulate phase that may </w:t>
      </w:r>
      <w:r w:rsidR="002B53C9">
        <w:t>induce</w:t>
      </w:r>
      <w:r w:rsidR="00150F9D">
        <w:t xml:space="preserve"> </w:t>
      </w:r>
      <w:r w:rsidR="002B53C9">
        <w:t>the</w:t>
      </w:r>
      <w:r w:rsidR="00150F9D">
        <w:t xml:space="preserve"> NP </w:t>
      </w:r>
      <w:r w:rsidR="002B53C9">
        <w:t>fusion</w:t>
      </w:r>
      <w:r w:rsidR="00A87BD9">
        <w:fldChar w:fldCharType="begin" w:fldLock="1"/>
      </w:r>
      <w:r w:rsidR="00BE213A">
        <w:instrText>ADDIN CSL_CITATION {"citationItems":[{"id":"ITEM-1","itemData":{"DOI":"https://doi.org/10.1016/j.ijpharm.2005.10.003","ISSN":"0378-5173","abstract":"A common limitation of using polymeric nanoparticles in aqueous suspension is due to their poor chemical and physical stability when conserved for a long time. Therefore, freeze drying of these colloidal systems is an alternative method to achieve long-term stability. Nanocapsules have thin and fragile shell structure, which may not resist to the stress of such process. The aim of this study is to investigate the formulation and process parameters in order to ensure the stability of polycaprolactone nanocapsules (PCL NC) by freeze drying. In this paper, we studied the freeze drying of PCL NC prepared by the emulsion–diffusion method and stabilized by poly(vinyl alcohol) (PVA). Different parameters have been tested throughout the freeze–thawing study including PVA and PCL concentration, cooling rate, cryoprotectant concentrations, nature of encapsulated oil and NC purification. On the other hand, nanocapsules have been freeze dried both before and after purification. Freeze dried purified PCL NC were characterized by particle size measurement, collapse temperature, T′g determination, scanning electron microscope observation, environmental scanning electron microscope imaging and residual humidity quantification. Finally, the effect of annealing on the NC stability and the sublimation rate has been well explored. The results suggest that PCL NC could be freeze dried without a cryoprotectant if the concentration of PVA stabilizer is sufficient (5%), while for the purified NC the addition of 5% of cryoprotectant seems to be necessary to ensure the stability of NC. The type of cryoprotectants had practically negligible effects on the size and the rehydration of freeze dried nanocapsules. The annealing process could accelerate the sublimation with the conservation of nanocapsules size.","author":[{"dropping-particle":"","family":"Abdelwahed","given":"Wassim","non-dropping-particle":"","parse-names":false,"suffix":""},{"dropping-particle":"","family":"Degobert","given":"Ghania","non-dropping-particle":"","parse-names":false,"suffix":""},{"dropping-particle":"","family":"Fessi","given":"Hatem","non-dropping-particle":"","parse-names":false,"suffix":""}],"container-title":"International Journal of Pharmaceutics","id":"ITEM-1","issue":"1","issued":{"date-parts":[["2006"]]},"page":"178-188","title":"A pilot study of freeze drying of poly(epsilon-caprolactone) nanocapsules stabilized by poly(vinyl alcohol): Formulation and process optimization","type":"article-journal","volume":"309"},"uris":["http://www.mendeley.com/documents/?uuid=bccad11e-a33b-4e28-bb43-43abc6d23554","http://www.mendeley.com/documents/?uuid=9e5a1d18-223b-4722-a466-197021659f76"]}],"mendeley":{"formattedCitation":"&lt;sup&gt;39&lt;/sup&gt;","plainTextFormattedCitation":"39","previouslyFormattedCitation":"&lt;sup&gt;39&lt;/sup&gt;"},"properties":{"noteIndex":0},"schema":"https://github.com/citation-style-language/schema/raw/master/csl-citation.json"}</w:instrText>
      </w:r>
      <w:r w:rsidR="00A87BD9">
        <w:fldChar w:fldCharType="separate"/>
      </w:r>
      <w:r w:rsidR="00A87BD9" w:rsidRPr="00A87BD9">
        <w:rPr>
          <w:noProof/>
          <w:vertAlign w:val="superscript"/>
        </w:rPr>
        <w:t>39</w:t>
      </w:r>
      <w:r w:rsidR="00A87BD9">
        <w:fldChar w:fldCharType="end"/>
      </w:r>
      <w:r w:rsidR="002B53C9">
        <w:t>.</w:t>
      </w:r>
      <w:r w:rsidR="001174B4" w:rsidRPr="00EB1AE4">
        <w:t xml:space="preserve"> </w:t>
      </w:r>
      <w:r w:rsidR="002F38B5" w:rsidRPr="00EB1AE4">
        <w:t>To overcome these limitations</w:t>
      </w:r>
      <w:r w:rsidR="006A31B8" w:rsidRPr="00EB1AE4">
        <w:t>,</w:t>
      </w:r>
      <w:r w:rsidR="004D5C44" w:rsidRPr="00EB1AE4">
        <w:t xml:space="preserve"> cryoprotectants are often added to the suspension in order to </w:t>
      </w:r>
      <w:r w:rsidR="006F661A" w:rsidRPr="00EB1AE4">
        <w:t>protect</w:t>
      </w:r>
      <w:r w:rsidR="004D5C44" w:rsidRPr="00EB1AE4">
        <w:t xml:space="preserve"> the </w:t>
      </w:r>
      <w:r w:rsidR="006F661A" w:rsidRPr="00EB1AE4">
        <w:t>colloids</w:t>
      </w:r>
      <w:r w:rsidR="004D5C44" w:rsidRPr="00EB1AE4">
        <w:t xml:space="preserve"> during the freezing and </w:t>
      </w:r>
      <w:r w:rsidR="00B77500" w:rsidRPr="00EB1AE4">
        <w:t>desiccation steps</w:t>
      </w:r>
      <w:r w:rsidR="00E767A8" w:rsidRPr="00EB1AE4">
        <w:fldChar w:fldCharType="begin" w:fldLock="1"/>
      </w:r>
      <w:r w:rsidR="00BE213A">
        <w:instrText xml:space="preserve">ADDIN CSL_CITATION {"citationItems":[{"id":"ITEM-1","itemData":{"DOI":"10.1021/bm5010383","ISSN":"1525-7797","author":[{"dropping-particle":"","family":"Fonte","given":"Pedro","non-dropping-particle":"","parse-names":false,"suffix":""},{"dropping-particle":"","family":"Soares","given":"Sandra","non-dropping-particle":"","parse-names":false,"suffix":""},{"dropping-particle":"","family":"Sousa","given":"Flávia","non-dropping-particle":"","parse-names":false,"suffix":""},{"dropping-particle":"","family":"Costa","given":"Ana","non-dropping-particle":"","parse-names":false,"suffix":""},{"dropping-particle":"","family":"Seabra","given":"Vítor","non-dropping-particle":"","parse-names":false,"suffix":""},{"dropping-particle":"","family":"Reis","given":"Salette","non-dropping-particle":"","parse-names":false,"suffix":""},{"dropping-particle":"","family":"Sarmento","given":"Bruno","non-dropping-particle":"","parse-names":false,"suffix":""}],"container-title":"Biomacromolecules","id":"ITEM-1","issue":"10","issued":{"date-parts":[["2014","10"]]},"page":"3753-3765","publisher":"American Chemical Society","title":"Stability Study Perspective of the Effect of Freeze-Drying Using Cryoprotectants on the Structure of Insulin Loaded into PLGA Nanoparticles","type":"article-journal","volume":"15"},"uris":["http://www.mendeley.com/documents/?uuid=8b71e772-2713-4c79-b5f6-191a93eddb14","http://www.mendeley.com/documents/?uuid=2f8f3b17-6cb8-4bef-b0ca-5c168093795f"]},{"id":"ITEM-2","itemData":{"DOI":"10.1208/s12249-010-9382-3","ISSN":"1530-9932","abstract":"The present study evaluates freeze thaw as a simple approach for screening the most appropriate cryoprotectant. Freeze–thaw study is based on the principle that an excipient, which protects nanoparticles during the first step of freezing, is likely to be an effective cryoprotectant. Nanoparticles of rifampicin with high entrapment efficiency were prepared by the emulsion-solvent diffusion method using dioctyl sodium sulfosuccinate (AOT) as complexing agent and Gantrez AN-119 as polymer. Freeze–thaw study was carried out using trehalose and fructose as cryoprotectants. The concentration of cryoprotectant, concentration of nanoparticles in the dispersion, and the freezing temperature were varied during the freeze–thaw study. Cryoprotection increased with increase in cryoprotectant concentration. Further, trehalose was superior to fructose at equivalent concentrations and moreover permitted use of more concentrated nanosuspensions for freeze drying. Freezing temperature did not influence the freeze–thaw study. Freeze-dried nanoparticles revealed good redispersibility with a size increase that correlated well with the freeze–thaw study at 20% w/v trehalose and fructose. Transmission electron microscopy revealed round particles with a size </w:instrText>
      </w:r>
      <w:r w:rsidR="00BE213A">
        <w:rPr>
          <w:rFonts w:ascii="Cambria Math" w:hAnsi="Cambria Math" w:cs="Cambria Math"/>
        </w:rPr>
        <w:instrText>∼</w:instrText>
      </w:r>
      <w:r w:rsidR="00BE213A">
        <w:instrText>400</w:instrText>
      </w:r>
      <w:r w:rsidR="00BE213A">
        <w:rPr>
          <w:rFonts w:cs="Times New Roman"/>
        </w:rPr>
        <w:instrText> </w:instrText>
      </w:r>
      <w:r w:rsidR="00BE213A">
        <w:instrText>nm, which correlated with photon correlation spectroscopic measurements. Differential scanning calorimetry and X-ray diffraction suggested amorphization of rifampicin. Fourier transfer infrared spectroscopy could not confirm interaction of drug with AOT. Nanoparticles exhibited sustained release of rifampicin, which followed diffusion kinetics. Nanoparticles of rifampicin were found to be stable for 12 months. The good correlation between freeze thaw and freeze drying suggests freeze–thaw study as a simple and quick approach for screening optimal cryoprotectant for freeze drying.","author":[{"dropping-particle":"V","family":"Date","given":"Praveen","non-dropping-particle":"","parse-names":false,"suffix":""},{"dropping-particle":"","family":"Samad","given":"Abdul","non-dropping-particle":"","parse-names":false,"suffix":""},{"dropping-particle":"V","family":"Devarajan","given":"Padma","non-dropping-particle":"","parse-names":false,"suffix":""}],"container-title":"AAPS PharmSciTech","id":"ITEM-2","issue":"1","issued":{"date-parts":[["2010"]]},"page":"304-313","title":"Freeze Thaw: A Simple Approach for Prediction of Optimal Cryoprotectant for Freeze Drying","type":"article-journal","volume":"11"},"uris":["http://www.mendeley.com/documents/?uuid=67abd650-c8ef-4ca9-9bd2-6f04aabbee71","http://www.mendeley.com/documents/?uuid=f888bd71-83b2-4da2-8a6e-199b3ada8c7f"]},{"id":"ITEM-3","itemData":{"DOI":"10.1211/0022357056145","ISSN":"0022-3573","abstract":"Abstract In the present study, the influence of freeze-drying with several cryoprotective agents and gamma (?)-irradiation sterilization on the physicochemical characteristics of ciprofloxacin HCl-loaded poly(D,L-lactide-co-glycolide) (PLGA) nanoparticles was evaluated. Nanoparticles were prepared by W/O/W emulsification solvent evaporation followed by high-pressure homogenization. They were freeze-dried in the presence of 5.0% (w/v) mannitol, trehalose or glucose, with 5.0% (w/v) or 15.0% (w/v) dextran as cryoprotectants. The nanoparticles were irradiated at a dose of 25 kGy using a 60Co source. The following physicochemical properties of the formulations were investigated: the ratio of particle size before (initial) and after freeze-drying, the ease of reconstitution of the nanoparticle suspensions and the drug-release profiles of irradiated and non-irradiated nanoparticles. The anti-bacterial activity against Pseudomonas aeruginosa was measured. The freeze-drying process induced a significant increase in particle size when no cryoprotectant was employed. Similar results were observed when cryoprotectants were added to the formulation. Only when mannitol was used was no significant size increase measured. Moreover, for formulations with dextran, reconstitution after freeze-drying was difficult by manual agitation and particle size could not be determined because of aggregation. After ?-sterilization no significant difference in mean particle size was observed, but reconstitution was more difficult and drug release was influenced negatively. Ciprofloxacin HCl incorporated in the nanoparticles was still effective against the micro-organism selected after freeze-drying and ?-sterilization.","author":[{"dropping-particle":"","family":"Bozdag","given":"S","non-dropping-particle":"","parse-names":false,"suffix":""},{"dropping-particle":"","family":"Dillen","given":"K","non-dropping-particle":"","parse-names":false,"suffix":""},{"dropping-particle":"","family":"Vandervoort","given":"J","non-dropping-particle":"","parse-names":false,"suffix":""},{"dropping-particle":"","family":"Ludwig","given":"A","non-dropping-particle":"","parse-names":false,"suffix":""}],"container-title":"Journal of Pharmacy and Pharmacology","id":"ITEM-3","issue":"6","issued":{"date-parts":[["2005","6"]]},"page":"699-707","publisher":"John Wiley &amp; Sons, Ltd (10.1111)","title":"The effect of freeze-drying with different cryoprotectants and gamma-irradiation sterilization on the characteristics of ciprofloxacin HCl-loaded poly(D,L-lactide-glycolide) nanoparticles","type":"article-journal","volume":"57"},"uris":["http://www.mendeley.com/documents/?uuid=08c7a71e-36c4-4a53-b0d6-0d53ee133d81","http://www.mendeley.com/documents/?uuid=d9aa0865-3e85-40d7-913a-c9f4faa1a055"]},{"id":"ITEM-4","itemData":{"DOI":"https://doi.org/10.1002/jps.20353","ISSN":"0022-3549","abstract":"ABSTRACT: Stabilization of nonviral vectors during freezing and drying requires formulation with protective excipients such that transfection rates and physical characteristics are maintained upon reconstitution. While many studies have demonstrated the ability of disaccharides (e.g., sucrose) to effectively protect nonviral vectors during lyophilization, the sucrose/DNA weight ratios required to achieve stability result in formulations that are not osmotically compatible with the subcutaneous (SC) or intramuscular (IM) injection of a typical dose of plasmid DNA. In an effort to reduce the formulation osmolality, dextrans possessing a range of molecular weights were investigated for their ability to serve as protectants. Dextran 3000 proved to be the most effective of the dextrans tested, and offered similar protection to sucrose on a weight basis. However, the advantage of employing this excipient is that the resulting osmolality is reduced by approximately 40% as compared to an equivalent weight of sucrose. Moreover, the use of dextran allows lyophilized vector preparations to be rehydrated to reduced volumes, essentially concentrating vectors prior to administration. Utilizing a combination of dextran 3000 and sucrose, we demonstrate that complexes of polyethylenimine (PEI) and DNA lyophilized at 0.1mg/mL can be concentrated tenfold upon rehydration, resulting in an isotonic formulation containing 1mg/mL DNA that can provide more realistic injection volumes for animal studies, and is compatible with clinical trials involving SC and IM injection. © 2005 Wiley-Liss, Inc. and the American Pharmacists Association","author":[{"dropping-particle":"","family":"Anchordoquy","given":"Thomas J","non-dropping-particle":"","parse-names":false,"suffix":""},{"dropping-particle":"","family":"Armstrong","given":"Taylor K","non-dropping-particle":"","parse-names":false,"suffix":""},{"dropping-particle":"","family":"Molina","given":"Marion d.C.","non-dropping-particle":"","parse-names":false,"suffix":""}],"container-title":"Journal of Pharmaceutical Sciences","id":"ITEM-4","issue":"6","issued":{"date-parts":[["2005"]]},"page":"1226-1236","title":"Low Molecular Weight Dextrans Stabilize Nonviral Vectors During Lyophilization at Low Osmolalities: Concentrating Suspensions by Rehydration to Reduced Volumes","type":"article-journal","volume":"94"},"uris":["http://www.mendeley.com/documents/?uuid=5d9f3f97-ee1c-4269-b802-dd490ab91d39","http://www.mendeley.com/documents/?uuid=2c390038-db5b-4e2e-ac73-b2aa4613929f"]}],"mendeley":{"formattedCitation":"&lt;sup&gt;40–43&lt;/sup&gt;","plainTextFormattedCitation":"40–43","previouslyFormattedCitation":"&lt;sup&gt;40–43&lt;/sup&gt;"},"properties":{"noteIndex":0},"schema":"https://github.com/citation-style-language/schema/raw/master/csl-citation.json"}</w:instrText>
      </w:r>
      <w:r w:rsidR="00E767A8" w:rsidRPr="00EB1AE4">
        <w:fldChar w:fldCharType="separate"/>
      </w:r>
      <w:r w:rsidR="00A87BD9" w:rsidRPr="00A87BD9">
        <w:rPr>
          <w:noProof/>
          <w:vertAlign w:val="superscript"/>
        </w:rPr>
        <w:t>40–43</w:t>
      </w:r>
      <w:r w:rsidR="00E767A8" w:rsidRPr="00EB1AE4">
        <w:fldChar w:fldCharType="end"/>
      </w:r>
      <w:r w:rsidR="008F7C1C" w:rsidRPr="00EB1AE4">
        <w:t>. However, even in this scenario,</w:t>
      </w:r>
      <w:r w:rsidR="00855BAA" w:rsidRPr="00EB1AE4">
        <w:t xml:space="preserve"> certain products do not survive coalescence </w:t>
      </w:r>
      <w:r w:rsidR="00855BAA" w:rsidRPr="00EB1AE4">
        <w:lastRenderedPageBreak/>
        <w:t>during the process</w:t>
      </w:r>
      <w:r w:rsidR="006C2AFB" w:rsidRPr="00EB1AE4">
        <w:t>.</w:t>
      </w:r>
    </w:p>
    <w:p w14:paraId="6C7AEA54" w14:textId="77FC79CB" w:rsidR="001600C5" w:rsidRPr="00EB1AE4" w:rsidRDefault="00855BAA" w:rsidP="00600AA6">
      <w:pPr>
        <w:widowControl w:val="0"/>
        <w:autoSpaceDE w:val="0"/>
        <w:autoSpaceDN w:val="0"/>
        <w:adjustRightInd w:val="0"/>
      </w:pPr>
      <w:r w:rsidRPr="00EB1AE4">
        <w:t xml:space="preserve">Therefore, a strategy that could be industrially appealing for drying polymer NPs preserving their stability after resuspension is urgently needed </w:t>
      </w:r>
      <w:r w:rsidR="000A1D4C" w:rsidRPr="00EB1AE4">
        <w:t>to improve their shelf-life</w:t>
      </w:r>
      <w:r w:rsidR="003E6871">
        <w:t>. This is in fact a fundamental requisite for a new formulation in order to enter</w:t>
      </w:r>
      <w:r w:rsidR="000A1D4C" w:rsidRPr="00EB1AE4">
        <w:t xml:space="preserve"> the clinical trials.</w:t>
      </w:r>
    </w:p>
    <w:p w14:paraId="67D59EEE" w14:textId="74F55CEF" w:rsidR="00855BAA" w:rsidRPr="00EB1AE4" w:rsidRDefault="007369D3" w:rsidP="00600AA6">
      <w:pPr>
        <w:widowControl w:val="0"/>
        <w:autoSpaceDE w:val="0"/>
        <w:autoSpaceDN w:val="0"/>
        <w:adjustRightInd w:val="0"/>
      </w:pPr>
      <w:r w:rsidRPr="00EB1AE4">
        <w:t xml:space="preserve">In this work, </w:t>
      </w:r>
      <w:r w:rsidR="00447DCD" w:rsidRPr="00EB1AE4">
        <w:t xml:space="preserve">we </w:t>
      </w:r>
      <w:r w:rsidR="001600C5" w:rsidRPr="00EB1AE4">
        <w:t>study the possibility of removing water without inducing aggregation from two types of biodegradable NPs already tested as drug delivery carriers</w:t>
      </w:r>
      <w:r w:rsidR="007861F2">
        <w:fldChar w:fldCharType="begin" w:fldLock="1"/>
      </w:r>
      <w:r w:rsidR="00BE213A">
        <w:instrText>ADDIN CSL_CITATION {"citationItems":[{"id":"ITEM-1","itemData":{"DOI":"10.1021/acs.langmuir.8b03693","ISSN":"0743-7463","abstract":"Tumor-targeting nano-drug-delivery systems hold great potential to improve the therapeutic efficacy and alleviate the side effects of cancer treatments. Herein, folic acid (FA)-decorated amphiphilic copolymer of FA-P(MPC-co-MaPCL) (MPC: 2-methacryloxoethyl phosphorylcholine, MaPCL: poly(ε-caprolactone) macromonomer) is synthesized and its micelles are fabricated for doxorubicin (DOX) delivery. And non-FA-decorated P(MPC-co-MaPCL) micelles are used as the control. Dynamic light scattering and scanning electron microscopy measurements reveal that FA-P(MPC-co-MaPCL) and P(MPC-co-MaPCL) micelles are spherical with average diameters of 140 and 90 nm, respectively. The evaluation in vitro demonstrates that the blank micelles are nontoxic, while DOX-loaded FA-P(MPC-co-MaPCL) micelles show significant cytotoxicity to HeLa cells and slight cytotoxicity to L929 cells. Moreover, the cellular uptake of DOX-loaded FA-P(MPC-co-MaPCL) micelles in HeLa cells are 4.3-fold and 1.7-fold higher than that of DOX-loaded P(MPC-co-MaPCL) micelles and free DOX after 6 h of incubation, respectively. These results indicate the great potential of this system in anticancer target drug-delivery applications.","author":[{"dropping-particle":"","family":"Lu","given":"Qian","non-dropping-particle":"","parse-names":false,"suffix":""},{"dropping-particle":"","family":"Yi","given":"Meijun","non-dropping-particle":"","parse-names":false,"suffix":""},{"dropping-particle":"","family":"Zhang","given":"Mengchen","non-dropping-particle":"","parse-names":false,"suffix":""},{"dropping-particle":"","family":"Shi","given":"Zhangyu","non-dropping-particle":"","parse-names":false,"suffix":""},{"dropping-particle":"","family":"Zhang","given":"Shiping","non-dropping-particle":"","parse-names":false,"suffix":""}],"container-title":"Langmuir","id":"ITEM-1","issue":"2","issued":{"date-parts":[["2019","1"]]},"page":"504-512","publisher":"American Chemical Society","title":"Folate-Conjugated Cell Membrane Mimetic Polymer Micelles for Tumor-Cell-Targeted Delivery of Doxorubicin","type":"article-journal","volume":"35"},"uris":["http://www.mendeley.com/documents/?uuid=90bc8da3-b09b-49d8-939d-17dabaa09fdf","http://www.mendeley.com/documents/?uuid=c1909f70-485f-4a7c-9326-094f2e0022e5"]},{"id":"ITEM-2","itemData":{"DOI":"10.1021/acs.molpharmaceut.6b00753","ISSN":"1543-8384","abstract":"© 2016 American Chemical Society. Fluorescent poly(ϵ-caprolactone)-based nanoparticles (NPs) have been synthesized and successfully loaded with a titanium organometallic compound as a mimic of a water-insoluble drug. The nature of this nanovector enabled us to combine the quantification of the metal in tissues after systemic administration in healthy immunocompetent mice by inductively coupled plasma mass spectroscopy (ICP-MS) followed by the visualization of NPs in organ sections by confocal microscopy. This innovative method of nanodrug screening has enabled us to elucidate the crucial parameters of their kinetics. The organometallic compound is a good mimic of most anticancer drugs, and this approach is an interesting starting point to design the relevance of a broad range of nanoformulations in terms of safety and targeted delivery of the cargoes.","author":[{"dropping-particle":"","family":"Ferrari","given":"Raffaele","non-dropping-particle":"","parse-names":false,"suffix":""},{"dropping-particle":"","family":"Talamini","given":"Laura","non-dropping-particle":"","parse-names":false,"suffix":""},{"dropping-particle":"","family":"Violatto","given":"Martina Bruna","non-dropping-particle":"","parse-names":false,"suffix":""},{"dropping-particle":"","family":"Giangregorio","given":"Paola","non-dropping-particle":"","parse-names":false,"suffix":""},{"dropping-particle":"","family":"Sponchioni","given":"Mattia","non-dropping-particle":"","parse-names":false,"suffix":""},{"dropping-particle":"","family":"Morbidelli","given":"Massimo","non-dropping-particle":"","parse-names":false,"suffix":""},{"dropping-particle":"","family":"Salmona","given":"Mario","non-dropping-particle":"","parse-names":false,"suffix":""},{"dropping-particle":"","family":"Bigini","given":"Paolo","non-dropping-particle":"","parse-names":false,"suffix":""},{"dropping-particle":"","family":"Moscatelli","given":"Davide","non-dropping-particle":"","parse-names":false,"suffix":""}],"container-title":"Molecular Pharmaceutics","id":"ITEM-2","issue":"1","issued":{"date-parts":[["2017","1","3"]]},"page":"124-134","title":"Biocompatible Polymer Nanoformulation To Improve the Release and Safety of a Drug Mimic Molecule Detectable via ICP-MS","type":"article-journal","volume":"14"},"uris":["http://www.mendeley.com/documents/?uuid=63201745-726c-3e57-9d45-b53eceee78db"]},{"id":"ITEM-3","itemData":{"DOI":"10.1021/acs.biomac.8b00127","ISSN":"15264602","abstract":"Biodegradable polymer nanoparticles are an important class of materials used in several applications for their unique characteristics. In particular, the ones stabilized by zwitterionic materials are gaining increased interest in medicine as alternative to the more common ones based on poly(ethylene glycol) thanks to their superior stability and ability to avoid both the accelerated blood clearance and allergic reactions. In this work, a novel class of zwitterionic based NPs has been produced, and a method to independently control the nanoparticle size, degradation time, and polymer molecular weight has been developed and demonstrated. This has been possible by the synthesis and the fine-tuning of zwitterionic amphiphilic block copolymers obtained via the combination of ring-opening polymerization and reversible addition-fragmentation chain transfer polymerization. The final results showed that when two block copolymers contain the same number of caprolactone units, the one with longer oligoester lateral chains degrades faster. This phenomenon is in sharp contrast with the one seen so far for the common linear polyester systems where longer chains result in longer degradation times, and it can be used to better tailor the degradation behavior of the nanoparticles.","author":[{"dropping-particle":"","family":"Capasso Palmiero","given":"Umberto","non-dropping-particle":"","parse-names":false,"suffix":""},{"dropping-particle":"","family":"Maraldi","given":"Matteo","non-dropping-particle":"","parse-names":false,"suffix":""},{"dropping-particle":"","family":"Manfredini","given":"Nicolò","non-dropping-particle":"","parse-names":false,"suffix":""},{"dropping-particle":"","family":"Moscatelli","given":"Davide","non-dropping-particle":"","parse-names":false,"suffix":""}],"container-title":"Biomacromolecules","id":"ITEM-3","issue":"4","issued":{"date-parts":[["2018"]]},"page":"1314-1323","title":"Zwitterionic Polyester-Based Nanoparticles with Tunable Size, Polymer Molecular Weight, and Degradation Time","type":"article-journal","volume":"19"},"uris":["http://www.mendeley.com/documents/?uuid=db496125-7b1a-4de3-91b6-84b5aeafc0c6","http://www.mendeley.com/documents/?uuid=19fe23ee-ab03-4cae-a223-4ac8c62dd6d0"]}],"mendeley":{"formattedCitation":"&lt;sup&gt;24,44,45&lt;/sup&gt;","plainTextFormattedCitation":"24,44,45","previouslyFormattedCitation":"&lt;sup&gt;24,44,45&lt;/sup&gt;"},"properties":{"noteIndex":0},"schema":"https://github.com/citation-style-language/schema/raw/master/csl-citation.json"}</w:instrText>
      </w:r>
      <w:r w:rsidR="007861F2">
        <w:fldChar w:fldCharType="separate"/>
      </w:r>
      <w:r w:rsidR="004808BE" w:rsidRPr="004808BE">
        <w:rPr>
          <w:noProof/>
          <w:vertAlign w:val="superscript"/>
        </w:rPr>
        <w:t>24,44,45</w:t>
      </w:r>
      <w:r w:rsidR="007861F2">
        <w:fldChar w:fldCharType="end"/>
      </w:r>
      <w:r w:rsidR="001600C5" w:rsidRPr="00EB1AE4">
        <w:t>.</w:t>
      </w:r>
      <w:r w:rsidR="00855BAA" w:rsidRPr="00EB1AE4">
        <w:t xml:space="preserve"> Both of them are obtained from the self-assembly of amphiphilic block copolymers synthesized </w:t>
      </w:r>
      <w:r w:rsidR="00855BAA" w:rsidRPr="00EB1AE4">
        <w:rPr>
          <w:i/>
        </w:rPr>
        <w:t>via</w:t>
      </w:r>
      <w:r w:rsidR="00855BAA" w:rsidRPr="00EB1AE4">
        <w:t xml:space="preserve"> </w:t>
      </w:r>
      <w:r w:rsidR="001600C5" w:rsidRPr="00EB1AE4">
        <w:t xml:space="preserve">reversible addition-fragmentation chain transfer (RAFT) polymerization </w:t>
      </w:r>
      <w:r w:rsidR="000A1D4C" w:rsidRPr="00EB1AE4">
        <w:t>and sharing</w:t>
      </w:r>
      <w:r w:rsidR="00855BAA" w:rsidRPr="00EB1AE4">
        <w:t xml:space="preserve"> the same biodegradable hydrophobic block</w:t>
      </w:r>
      <w:r w:rsidR="000A1D4C" w:rsidRPr="00EB1AE4">
        <w:t>. This is obtained</w:t>
      </w:r>
      <w:r w:rsidR="00855BAA" w:rsidRPr="00EB1AE4">
        <w:t xml:space="preserve"> from macromonomers </w:t>
      </w:r>
      <w:r w:rsidR="000A1D4C" w:rsidRPr="00EB1AE4">
        <w:t>produced</w:t>
      </w:r>
      <w:r w:rsidR="00855BAA" w:rsidRPr="00EB1AE4">
        <w:t xml:space="preserve"> </w:t>
      </w:r>
      <w:r w:rsidR="00855BAA" w:rsidRPr="00EB1AE4">
        <w:rPr>
          <w:i/>
        </w:rPr>
        <w:t>via</w:t>
      </w:r>
      <w:r w:rsidR="00855BAA" w:rsidRPr="00EB1AE4">
        <w:t xml:space="preserve"> the ring opening polymerization</w:t>
      </w:r>
      <w:r w:rsidR="000A1D4C" w:rsidRPr="00EB1AE4">
        <w:t xml:space="preserve"> (ROP)</w:t>
      </w:r>
      <w:r w:rsidR="00855BAA" w:rsidRPr="00EB1AE4">
        <w:t xml:space="preserve"> of </w:t>
      </w:r>
      <w:r w:rsidR="00855BAA" w:rsidRPr="00EB1AE4">
        <w:rPr>
          <w:rFonts w:cs="Times New Roman"/>
        </w:rPr>
        <w:t>ε</w:t>
      </w:r>
      <w:r w:rsidR="00855BAA" w:rsidRPr="00EB1AE4">
        <w:t xml:space="preserve">-caprolactone. </w:t>
      </w:r>
      <w:r w:rsidR="000A1D4C" w:rsidRPr="00EB1AE4">
        <w:t>On the other hand, the</w:t>
      </w:r>
      <w:r w:rsidR="00855BAA" w:rsidRPr="00EB1AE4">
        <w:t xml:space="preserve"> hydrophilic part </w:t>
      </w:r>
      <w:r w:rsidR="000A1D4C" w:rsidRPr="00EB1AE4">
        <w:t xml:space="preserve">of the copolymer </w:t>
      </w:r>
      <w:r w:rsidR="00855BAA" w:rsidRPr="00EB1AE4">
        <w:t>is made</w:t>
      </w:r>
      <w:r w:rsidR="000A1D4C" w:rsidRPr="00EB1AE4">
        <w:t xml:space="preserve"> </w:t>
      </w:r>
      <w:r w:rsidR="00855BAA" w:rsidRPr="00EB1AE4">
        <w:t>of PEG</w:t>
      </w:r>
      <w:r w:rsidR="00C57115" w:rsidRPr="00EB1AE4">
        <w:t xml:space="preserve"> methacrylate</w:t>
      </w:r>
      <w:r w:rsidR="000A1D4C" w:rsidRPr="00EB1AE4">
        <w:t>-based units</w:t>
      </w:r>
      <w:r w:rsidR="00855BAA" w:rsidRPr="00EB1AE4">
        <w:t xml:space="preserve"> in one case and polyMPC in the o</w:t>
      </w:r>
      <w:r w:rsidR="000A1D4C" w:rsidRPr="00EB1AE4">
        <w:t>ther, with the aim of comparing the most diffuse NPs for drug delivery with the more recent zwitterionic NPs. Since the former are not able to preserve their stability after lyophilization, we propose and optimize a concentration method based on the dialysis against a concentrated solutio</w:t>
      </w:r>
      <w:r w:rsidR="00C57115" w:rsidRPr="00EB1AE4">
        <w:t>n of PEG. The performance of this method</w:t>
      </w:r>
      <w:r w:rsidR="000A1D4C" w:rsidRPr="00EB1AE4">
        <w:t>, expressed in terms of concentration factor</w:t>
      </w:r>
      <w:r w:rsidR="00C57115" w:rsidRPr="00EB1AE4">
        <w:t xml:space="preserve"> (Fc)</w:t>
      </w:r>
      <w:r w:rsidR="000A1D4C" w:rsidRPr="00EB1AE4">
        <w:t>, is discussed with respect to the different operational conditions of the process (</w:t>
      </w:r>
      <w:r w:rsidR="000A1D4C" w:rsidRPr="00EB1AE4">
        <w:rPr>
          <w:i/>
        </w:rPr>
        <w:t xml:space="preserve">i.e. </w:t>
      </w:r>
      <w:r w:rsidR="000A1D4C" w:rsidRPr="00EB1AE4">
        <w:t>buffer volume, PEG concentration and</w:t>
      </w:r>
      <w:r w:rsidR="00C57115" w:rsidRPr="00EB1AE4">
        <w:t xml:space="preserve"> initial</w:t>
      </w:r>
      <w:r w:rsidR="000A1D4C" w:rsidRPr="00EB1AE4">
        <w:t xml:space="preserve"> NP concentration). In particular</w:t>
      </w:r>
      <w:r w:rsidR="003E6871">
        <w:t>,</w:t>
      </w:r>
      <w:r w:rsidR="000A1D4C" w:rsidRPr="00EB1AE4">
        <w:t xml:space="preserve"> we show that </w:t>
      </w:r>
      <w:r w:rsidR="008F7C1C" w:rsidRPr="00EB1AE4">
        <w:t>with this method</w:t>
      </w:r>
      <w:r w:rsidR="003E6871">
        <w:t xml:space="preserve"> </w:t>
      </w:r>
      <w:r w:rsidR="000A1D4C" w:rsidRPr="00EB1AE4">
        <w:t>we can obtain the removal of up to 97% of water in an industrially relevant timescale.</w:t>
      </w:r>
    </w:p>
    <w:p w14:paraId="0305AA3F" w14:textId="6D082741" w:rsidR="00F9413A" w:rsidRPr="00EB1AE4" w:rsidRDefault="00F9413A" w:rsidP="00600AA6">
      <w:pPr>
        <w:widowControl w:val="0"/>
        <w:autoSpaceDE w:val="0"/>
        <w:autoSpaceDN w:val="0"/>
        <w:adjustRightInd w:val="0"/>
      </w:pPr>
    </w:p>
    <w:p w14:paraId="70396E89" w14:textId="1B7D34A1" w:rsidR="00F9413A" w:rsidRPr="00EB1AE4" w:rsidRDefault="00F9413A" w:rsidP="00DB24EC">
      <w:pPr>
        <w:pStyle w:val="Titolo1"/>
      </w:pPr>
      <w:r w:rsidRPr="00EB1AE4">
        <w:t>Materials and Method</w:t>
      </w:r>
      <w:r w:rsidR="00DB24EC" w:rsidRPr="00EB1AE4">
        <w:t>s</w:t>
      </w:r>
    </w:p>
    <w:p w14:paraId="1F7CED94" w14:textId="78524B69" w:rsidR="00F9413A" w:rsidRPr="00EB1AE4" w:rsidRDefault="00F9413A" w:rsidP="00DB24EC">
      <w:pPr>
        <w:pStyle w:val="Titolo2"/>
        <w:rPr>
          <w:b w:val="0"/>
          <w:i/>
        </w:rPr>
      </w:pPr>
      <w:r w:rsidRPr="00EB1AE4">
        <w:rPr>
          <w:b w:val="0"/>
          <w:i/>
        </w:rPr>
        <w:t>Materials</w:t>
      </w:r>
    </w:p>
    <w:p w14:paraId="0823FCED" w14:textId="2E3BBE69" w:rsidR="00F9413A" w:rsidRPr="00EB1AE4" w:rsidRDefault="084A173F" w:rsidP="084A173F">
      <w:pPr>
        <w:widowControl w:val="0"/>
        <w:autoSpaceDE w:val="0"/>
        <w:autoSpaceDN w:val="0"/>
        <w:adjustRightInd w:val="0"/>
        <w:rPr>
          <w:szCs w:val="24"/>
        </w:rPr>
      </w:pPr>
      <w:r w:rsidRPr="00EB1AE4">
        <w:t>ε-Caprolactone (</w:t>
      </w:r>
      <w:r w:rsidRPr="00EB1AE4">
        <w:rPr>
          <w:rFonts w:eastAsia="Calibri" w:cs="Times New Roman"/>
          <w:color w:val="000000" w:themeColor="text1"/>
          <w:szCs w:val="24"/>
        </w:rPr>
        <w:t>ε-CL</w:t>
      </w:r>
      <w:r w:rsidR="0031301E" w:rsidRPr="00EB1AE4">
        <w:rPr>
          <w:rFonts w:ascii="Calibri" w:eastAsia="Calibri" w:hAnsi="Calibri" w:cs="Calibri"/>
          <w:color w:val="000000" w:themeColor="text1"/>
          <w:szCs w:val="24"/>
        </w:rPr>
        <w:t xml:space="preserve">, </w:t>
      </w:r>
      <w:r w:rsidRPr="00EB1AE4">
        <w:t>97%</w:t>
      </w:r>
      <w:r w:rsidR="00307100" w:rsidRPr="00EB1AE4">
        <w:t>,</w:t>
      </w:r>
      <w:r w:rsidRPr="00EB1AE4">
        <w:t xml:space="preserve"> MW=114.14 g/mol), 2-hydroxyethyl methacrylate (HEMA</w:t>
      </w:r>
      <w:r w:rsidR="0031301E" w:rsidRPr="00EB1AE4">
        <w:t xml:space="preserve">, </w:t>
      </w:r>
      <w:r w:rsidRPr="00EB1AE4">
        <w:t>97%</w:t>
      </w:r>
      <w:r w:rsidR="00307100" w:rsidRPr="00EB1AE4">
        <w:t>,</w:t>
      </w:r>
      <w:r w:rsidRPr="00EB1AE4">
        <w:t xml:space="preserve"> MW=130.14 g/mol), Ethanol absolute</w:t>
      </w:r>
      <w:r w:rsidR="00307100" w:rsidRPr="00EB1AE4">
        <w:t xml:space="preserve"> (EtO</w:t>
      </w:r>
      <w:r w:rsidR="0031301E" w:rsidRPr="00EB1AE4">
        <w:t xml:space="preserve">H, </w:t>
      </w:r>
      <w:r w:rsidRPr="00EB1AE4">
        <w:t>≥99</w:t>
      </w:r>
      <w:r w:rsidR="00307100" w:rsidRPr="00EB1AE4">
        <w:t>.</w:t>
      </w:r>
      <w:r w:rsidRPr="00EB1AE4">
        <w:t>8%</w:t>
      </w:r>
      <w:r w:rsidR="00307100" w:rsidRPr="00EB1AE4">
        <w:t>,</w:t>
      </w:r>
      <w:r w:rsidRPr="00EB1AE4">
        <w:t xml:space="preserve"> MW=46 g/mol), 4,4’-Azobis(4-cyanovaleric acid) (ACVA</w:t>
      </w:r>
      <w:r w:rsidR="0031301E" w:rsidRPr="00EB1AE4">
        <w:t xml:space="preserve">, </w:t>
      </w:r>
      <w:r w:rsidRPr="00EB1AE4">
        <w:t>≥98%</w:t>
      </w:r>
      <w:r w:rsidR="00307100" w:rsidRPr="00EB1AE4">
        <w:t>,</w:t>
      </w:r>
      <w:r w:rsidRPr="00EB1AE4">
        <w:t xml:space="preserve"> MW=280.28 g/mol), 4-Cyano-4-(phenyl-carbothioylthio) pentanoic acid (CPA</w:t>
      </w:r>
      <w:r w:rsidR="0031301E" w:rsidRPr="00EB1AE4">
        <w:t xml:space="preserve">, </w:t>
      </w:r>
      <w:r w:rsidRPr="00EB1AE4">
        <w:t>≥97%</w:t>
      </w:r>
      <w:r w:rsidR="00307100" w:rsidRPr="00EB1AE4">
        <w:t>,</w:t>
      </w:r>
      <w:r w:rsidRPr="00EB1AE4">
        <w:t xml:space="preserve"> MW=279.38 g/mol), toluene (≥99.5%</w:t>
      </w:r>
      <w:r w:rsidR="00307100" w:rsidRPr="00EB1AE4">
        <w:t>,</w:t>
      </w:r>
      <w:r w:rsidRPr="00EB1AE4">
        <w:t xml:space="preserve"> MW=92.14 g/mol), N,N-Dimethylformamide (DMF</w:t>
      </w:r>
      <w:r w:rsidR="0031301E" w:rsidRPr="00EB1AE4">
        <w:t xml:space="preserve">, </w:t>
      </w:r>
      <w:r w:rsidRPr="00EB1AE4">
        <w:t>99%</w:t>
      </w:r>
      <w:r w:rsidR="00307100" w:rsidRPr="00EB1AE4">
        <w:t>,</w:t>
      </w:r>
      <w:r w:rsidRPr="00EB1AE4">
        <w:t xml:space="preserve"> MW=73.09 g/mol), Potassium peroxodisulfate (KPS</w:t>
      </w:r>
      <w:r w:rsidR="0031301E" w:rsidRPr="00EB1AE4">
        <w:t xml:space="preserve">, </w:t>
      </w:r>
      <w:r w:rsidRPr="00EB1AE4">
        <w:t>≥99%</w:t>
      </w:r>
      <w:r w:rsidR="00307100" w:rsidRPr="00EB1AE4">
        <w:t>,</w:t>
      </w:r>
      <w:r w:rsidRPr="00EB1AE4">
        <w:t xml:space="preserve"> MW=270,33g/mol), Sodium sulfate, poly(ethylene glycol) methyl ether methacrylate solution (</w:t>
      </w:r>
      <w:r w:rsidR="0031301E" w:rsidRPr="00EB1AE4">
        <w:t>PEGMA</w:t>
      </w:r>
      <w:r w:rsidR="0031301E" w:rsidRPr="00EB1AE4">
        <w:rPr>
          <w:vertAlign w:val="subscript"/>
        </w:rPr>
        <w:t>2000</w:t>
      </w:r>
      <w:r w:rsidR="0031301E" w:rsidRPr="00EB1AE4">
        <w:t xml:space="preserve">, </w:t>
      </w:r>
      <w:r w:rsidRPr="00EB1AE4">
        <w:t>50%</w:t>
      </w:r>
      <w:r w:rsidR="0031301E" w:rsidRPr="00EB1AE4">
        <w:t xml:space="preserve"> </w:t>
      </w:r>
      <w:r w:rsidRPr="00EB1AE4">
        <w:t>w/w Mn=2000</w:t>
      </w:r>
      <w:r w:rsidR="0031301E" w:rsidRPr="00EB1AE4">
        <w:t xml:space="preserve"> </w:t>
      </w:r>
      <w:r w:rsidRPr="00EB1AE4">
        <w:t>Da),</w:t>
      </w:r>
      <w:r w:rsidR="00A926A3" w:rsidRPr="00EB1AE4">
        <w:t xml:space="preserve"> </w:t>
      </w:r>
      <w:r w:rsidRPr="00EB1AE4">
        <w:t>Tin(II) 2-ethylhexanoate (&gt;92.5-100.0%)</w:t>
      </w:r>
      <w:r w:rsidR="0031301E" w:rsidRPr="00EB1AE4">
        <w:t xml:space="preserve"> and polyethylene glycol </w:t>
      </w:r>
      <w:r w:rsidR="0031301E" w:rsidRPr="00EB1AE4">
        <w:lastRenderedPageBreak/>
        <w:t>(PEG</w:t>
      </w:r>
      <w:r w:rsidR="0031301E" w:rsidRPr="00EB1AE4">
        <w:rPr>
          <w:vertAlign w:val="subscript"/>
        </w:rPr>
        <w:t>8000</w:t>
      </w:r>
      <w:r w:rsidR="0031301E" w:rsidRPr="00EB1AE4">
        <w:t>, Mn=8000 Da)</w:t>
      </w:r>
      <w:r w:rsidRPr="00EB1AE4">
        <w:t xml:space="preserve"> were purchased from Sigma-Aldrich</w:t>
      </w:r>
      <w:r w:rsidR="00D62104">
        <w:t>, Steinheim, Germany</w:t>
      </w:r>
      <w:r w:rsidRPr="00EB1AE4">
        <w:t xml:space="preserve">. Cellulose ester </w:t>
      </w:r>
      <w:r w:rsidR="009722B0" w:rsidRPr="00EB1AE4">
        <w:t>membrane (</w:t>
      </w:r>
      <w:r w:rsidR="00D62104">
        <w:t>Spectra/Por, Molecular weight cut-off (</w:t>
      </w:r>
      <w:r w:rsidR="00D62104" w:rsidRPr="00EB1AE4">
        <w:t>M</w:t>
      </w:r>
      <w:r w:rsidR="00D62104">
        <w:t>W</w:t>
      </w:r>
      <w:r w:rsidR="00D62104" w:rsidRPr="00EB1AE4">
        <w:t>C</w:t>
      </w:r>
      <w:r w:rsidR="00D62104">
        <w:t>O)</w:t>
      </w:r>
      <w:r w:rsidR="00D62104" w:rsidRPr="00EB1AE4">
        <w:t xml:space="preserve"> </w:t>
      </w:r>
      <w:r w:rsidR="009722B0" w:rsidRPr="00EB1AE4">
        <w:t>100-500</w:t>
      </w:r>
      <w:r w:rsidR="00D62104">
        <w:t xml:space="preserve"> </w:t>
      </w:r>
      <w:r w:rsidR="009722B0" w:rsidRPr="00EB1AE4">
        <w:t>Da, wet 0.</w:t>
      </w:r>
      <w:r w:rsidRPr="00EB1AE4">
        <w:t>05% NaN</w:t>
      </w:r>
      <w:r w:rsidRPr="00056ACE">
        <w:rPr>
          <w:vertAlign w:val="subscript"/>
        </w:rPr>
        <w:t>3</w:t>
      </w:r>
      <w:r w:rsidRPr="00EB1AE4">
        <w:t>)</w:t>
      </w:r>
      <w:r w:rsidR="00D62104">
        <w:t>,</w:t>
      </w:r>
      <w:r w:rsidR="00307100" w:rsidRPr="00EB1AE4">
        <w:t xml:space="preserve"> SnakeSkin Dialysi</w:t>
      </w:r>
      <w:r w:rsidRPr="00EB1AE4">
        <w:t>s Tubing (3.5</w:t>
      </w:r>
      <w:r w:rsidR="00D62104">
        <w:t xml:space="preserve"> kDa</w:t>
      </w:r>
      <w:r w:rsidR="00D62104" w:rsidRPr="00EB1AE4">
        <w:t xml:space="preserve"> M</w:t>
      </w:r>
      <w:r w:rsidR="00D62104">
        <w:t>W</w:t>
      </w:r>
      <w:r w:rsidR="00D62104" w:rsidRPr="00EB1AE4">
        <w:t>CO</w:t>
      </w:r>
      <w:r w:rsidRPr="00EB1AE4">
        <w:t>, 35</w:t>
      </w:r>
      <w:r w:rsidR="0031301E" w:rsidRPr="00EB1AE4">
        <w:t xml:space="preserve"> </w:t>
      </w:r>
      <w:r w:rsidRPr="00EB1AE4">
        <w:t xml:space="preserve">mm dry) </w:t>
      </w:r>
      <w:r w:rsidR="007943E1" w:rsidRPr="00EB1AE4">
        <w:t xml:space="preserve">and </w:t>
      </w:r>
      <w:r w:rsidRPr="00EB1AE4">
        <w:t xml:space="preserve">Slide-A-Lyzer Dialysis </w:t>
      </w:r>
      <w:r w:rsidR="007943E1" w:rsidRPr="00EB1AE4">
        <w:t xml:space="preserve">cassettes </w:t>
      </w:r>
      <w:r w:rsidRPr="00EB1AE4">
        <w:t>(3.</w:t>
      </w:r>
      <w:r w:rsidR="00D62104" w:rsidRPr="00EB1AE4">
        <w:t>5</w:t>
      </w:r>
      <w:r w:rsidR="00D62104">
        <w:t xml:space="preserve"> kDa</w:t>
      </w:r>
      <w:r w:rsidR="00D62104" w:rsidRPr="00EB1AE4">
        <w:t xml:space="preserve"> M</w:t>
      </w:r>
      <w:r w:rsidR="00D62104">
        <w:t>W</w:t>
      </w:r>
      <w:r w:rsidR="00D62104" w:rsidRPr="00EB1AE4">
        <w:t>CO</w:t>
      </w:r>
      <w:r w:rsidRPr="00EB1AE4">
        <w:t xml:space="preserve">, 0.5-3mL capacity) were purchased from </w:t>
      </w:r>
      <w:r w:rsidR="00D62104">
        <w:t>Fisher</w:t>
      </w:r>
      <w:r w:rsidRPr="00EB1AE4">
        <w:t>-Scientific</w:t>
      </w:r>
      <w:r w:rsidR="00D62104">
        <w:t>, Rodano, Italy</w:t>
      </w:r>
      <w:r w:rsidRPr="00EB1AE4">
        <w:t xml:space="preserve">. </w:t>
      </w:r>
    </w:p>
    <w:p w14:paraId="67784A75" w14:textId="77777777" w:rsidR="003C625C" w:rsidRPr="00EB1AE4" w:rsidRDefault="003C625C" w:rsidP="00AA31CB">
      <w:pPr>
        <w:widowControl w:val="0"/>
        <w:autoSpaceDE w:val="0"/>
        <w:autoSpaceDN w:val="0"/>
        <w:adjustRightInd w:val="0"/>
        <w:rPr>
          <w:szCs w:val="24"/>
        </w:rPr>
      </w:pPr>
    </w:p>
    <w:p w14:paraId="6259D742" w14:textId="77777777" w:rsidR="009722B0" w:rsidRPr="00EB1AE4" w:rsidRDefault="009722B0" w:rsidP="009722B0">
      <w:pPr>
        <w:pStyle w:val="Titolo2"/>
        <w:rPr>
          <w:b w:val="0"/>
          <w:i/>
        </w:rPr>
      </w:pPr>
      <w:r w:rsidRPr="00EB1AE4">
        <w:rPr>
          <w:b w:val="0"/>
          <w:i/>
        </w:rPr>
        <w:t>Synthesis of the hydrophilic Macro-RAFT agent</w:t>
      </w:r>
    </w:p>
    <w:p w14:paraId="64AC2C18" w14:textId="54528F6B" w:rsidR="0011618B" w:rsidRPr="00EB1AE4" w:rsidRDefault="009722B0" w:rsidP="0011618B">
      <w:pPr>
        <w:rPr>
          <w:rFonts w:cs="Times New Roman"/>
          <w:szCs w:val="24"/>
        </w:rPr>
      </w:pPr>
      <w:r w:rsidRPr="00EB1AE4">
        <w:rPr>
          <w:rFonts w:cs="Times New Roman"/>
          <w:szCs w:val="24"/>
        </w:rPr>
        <w:t xml:space="preserve">Two different hydrophilic </w:t>
      </w:r>
      <w:r w:rsidR="007943E1" w:rsidRPr="00EB1AE4">
        <w:rPr>
          <w:rFonts w:cs="Times New Roman"/>
          <w:szCs w:val="24"/>
        </w:rPr>
        <w:t>macromolecular chain transfer agent</w:t>
      </w:r>
      <w:r w:rsidR="00201A23" w:rsidRPr="00EB1AE4">
        <w:rPr>
          <w:rFonts w:cs="Times New Roman"/>
          <w:szCs w:val="24"/>
        </w:rPr>
        <w:t>s</w:t>
      </w:r>
      <w:r w:rsidR="007943E1" w:rsidRPr="00EB1AE4">
        <w:rPr>
          <w:rFonts w:cs="Times New Roman"/>
          <w:szCs w:val="24"/>
        </w:rPr>
        <w:t xml:space="preserve"> (</w:t>
      </w:r>
      <w:r w:rsidRPr="00EB1AE4">
        <w:rPr>
          <w:rFonts w:cs="Times New Roman"/>
          <w:szCs w:val="24"/>
        </w:rPr>
        <w:t>macro</w:t>
      </w:r>
      <w:r w:rsidR="0011618B" w:rsidRPr="00EB1AE4">
        <w:rPr>
          <w:rFonts w:cs="Times New Roman"/>
          <w:szCs w:val="24"/>
        </w:rPr>
        <w:t xml:space="preserve"> CTA</w:t>
      </w:r>
      <w:r w:rsidR="007943E1" w:rsidRPr="00EB1AE4">
        <w:rPr>
          <w:rFonts w:cs="Times New Roman"/>
          <w:szCs w:val="24"/>
        </w:rPr>
        <w:t>)</w:t>
      </w:r>
      <w:r w:rsidRPr="00EB1AE4">
        <w:rPr>
          <w:rFonts w:cs="Times New Roman"/>
          <w:szCs w:val="24"/>
        </w:rPr>
        <w:t>, which constitute the hydrophilic block of the final copolymer were synthesized</w:t>
      </w:r>
      <w:r w:rsidR="00201A23" w:rsidRPr="00EB1AE4">
        <w:rPr>
          <w:rFonts w:cs="Times New Roman"/>
          <w:szCs w:val="24"/>
        </w:rPr>
        <w:t xml:space="preserve"> </w:t>
      </w:r>
      <w:r w:rsidR="00201A23" w:rsidRPr="00EB1AE4">
        <w:rPr>
          <w:rFonts w:cs="Times New Roman"/>
          <w:i/>
          <w:szCs w:val="24"/>
        </w:rPr>
        <w:t xml:space="preserve">via </w:t>
      </w:r>
      <w:r w:rsidR="00201A23" w:rsidRPr="00EB1AE4">
        <w:rPr>
          <w:rFonts w:cs="Times New Roman"/>
          <w:szCs w:val="24"/>
        </w:rPr>
        <w:t>RAFT polymerizatio</w:t>
      </w:r>
      <w:r w:rsidR="003E6871">
        <w:rPr>
          <w:rFonts w:cs="Times New Roman"/>
          <w:szCs w:val="24"/>
        </w:rPr>
        <w:t>n.</w:t>
      </w:r>
      <w:r w:rsidRPr="00EB1AE4">
        <w:rPr>
          <w:rFonts w:cs="Times New Roman"/>
          <w:szCs w:val="24"/>
        </w:rPr>
        <w:t xml:space="preserve"> </w:t>
      </w:r>
      <w:r w:rsidR="003E6871">
        <w:rPr>
          <w:rFonts w:cs="Times New Roman"/>
          <w:szCs w:val="24"/>
        </w:rPr>
        <w:t>O</w:t>
      </w:r>
      <w:r w:rsidR="003E6871" w:rsidRPr="00EB1AE4">
        <w:rPr>
          <w:rFonts w:cs="Times New Roman"/>
          <w:szCs w:val="24"/>
        </w:rPr>
        <w:t>ne</w:t>
      </w:r>
      <w:r w:rsidR="003E6871">
        <w:rPr>
          <w:rFonts w:cs="Times New Roman"/>
          <w:szCs w:val="24"/>
        </w:rPr>
        <w:t xml:space="preserve"> was</w:t>
      </w:r>
      <w:r w:rsidR="003E6871" w:rsidRPr="00EB1AE4">
        <w:rPr>
          <w:rFonts w:cs="Times New Roman"/>
          <w:szCs w:val="24"/>
        </w:rPr>
        <w:t xml:space="preserve"> </w:t>
      </w:r>
      <w:r w:rsidR="00201A23" w:rsidRPr="00EB1AE4">
        <w:rPr>
          <w:rFonts w:cs="Times New Roman"/>
          <w:szCs w:val="24"/>
        </w:rPr>
        <w:t>obtained from PEGMA and one from</w:t>
      </w:r>
      <w:r w:rsidRPr="00EB1AE4">
        <w:rPr>
          <w:rFonts w:cs="Times New Roman"/>
          <w:szCs w:val="24"/>
        </w:rPr>
        <w:t xml:space="preserve"> </w:t>
      </w:r>
      <w:r w:rsidR="0011618B" w:rsidRPr="00EB1AE4">
        <w:rPr>
          <w:rFonts w:cs="Times New Roman"/>
          <w:szCs w:val="24"/>
        </w:rPr>
        <w:t>MPC</w:t>
      </w:r>
      <w:r w:rsidRPr="00EB1AE4">
        <w:rPr>
          <w:rFonts w:cs="Times New Roman"/>
          <w:szCs w:val="24"/>
        </w:rPr>
        <w:t>. They were synthesized using CPA as RAFT agent, ACVA as initiator and ethanol or a mixture of ethanol/Acetic buffer as solvent. The degree of polymerization of the macro-RAFT agent (</w:t>
      </w:r>
      <w:r w:rsidRPr="00EB1AE4">
        <w:rPr>
          <w:rFonts w:cs="Times New Roman"/>
          <w:i/>
          <w:szCs w:val="24"/>
        </w:rPr>
        <w:t>n</w:t>
      </w:r>
      <w:r w:rsidRPr="00EB1AE4">
        <w:rPr>
          <w:rFonts w:cs="Times New Roman"/>
          <w:szCs w:val="24"/>
        </w:rPr>
        <w:t xml:space="preserve">) was set as the ratio between the monomer and the RAFT agent. </w:t>
      </w:r>
      <w:r w:rsidR="0011618B" w:rsidRPr="00EB1AE4">
        <w:rPr>
          <w:rFonts w:cs="Times New Roman"/>
          <w:szCs w:val="24"/>
        </w:rPr>
        <w:t>F</w:t>
      </w:r>
      <w:r w:rsidRPr="00EB1AE4">
        <w:rPr>
          <w:rFonts w:cs="Times New Roman"/>
          <w:szCs w:val="24"/>
        </w:rPr>
        <w:t>or the PEG-based macro</w:t>
      </w:r>
      <w:r w:rsidR="0011618B" w:rsidRPr="00EB1AE4">
        <w:rPr>
          <w:rFonts w:cs="Times New Roman"/>
          <w:szCs w:val="24"/>
        </w:rPr>
        <w:t xml:space="preserve"> CTA</w:t>
      </w:r>
      <w:r w:rsidRPr="00EB1AE4">
        <w:rPr>
          <w:rFonts w:cs="Times New Roman"/>
          <w:szCs w:val="24"/>
        </w:rPr>
        <w:t xml:space="preserve">, 1 g of </w:t>
      </w:r>
      <w:r w:rsidRPr="00EB1AE4">
        <w:rPr>
          <w:rFonts w:cs="Times New Roman"/>
          <w:color w:val="231F20"/>
          <w:szCs w:val="24"/>
        </w:rPr>
        <w:t>PEGMA</w:t>
      </w:r>
      <w:r w:rsidRPr="00EB1AE4">
        <w:rPr>
          <w:rFonts w:cs="Times New Roman"/>
          <w:color w:val="231F20"/>
          <w:szCs w:val="24"/>
          <w:vertAlign w:val="subscript"/>
        </w:rPr>
        <w:t>2000</w:t>
      </w:r>
      <w:r w:rsidRPr="00EB1AE4">
        <w:rPr>
          <w:rFonts w:cs="Times New Roman"/>
          <w:szCs w:val="24"/>
        </w:rPr>
        <w:t xml:space="preserve"> (0.5 mmol), 0.028 g of CPA (0.1 mmol) and 7 mg of ACVA (0.025 mmol) were dissolved in 4</w:t>
      </w:r>
      <w:r w:rsidR="0011618B" w:rsidRPr="00EB1AE4">
        <w:rPr>
          <w:rFonts w:cs="Times New Roman"/>
          <w:szCs w:val="24"/>
        </w:rPr>
        <w:t xml:space="preserve"> </w:t>
      </w:r>
      <w:r w:rsidRPr="00EB1AE4">
        <w:rPr>
          <w:rFonts w:cs="Times New Roman"/>
          <w:szCs w:val="24"/>
        </w:rPr>
        <w:t xml:space="preserve">ml of ethanol </w:t>
      </w:r>
      <w:r w:rsidR="0011618B" w:rsidRPr="00EB1AE4">
        <w:rPr>
          <w:rFonts w:cs="Times New Roman"/>
          <w:szCs w:val="24"/>
        </w:rPr>
        <w:t xml:space="preserve">in </w:t>
      </w:r>
      <w:r w:rsidRPr="00EB1AE4">
        <w:rPr>
          <w:rFonts w:cs="Times New Roman"/>
          <w:szCs w:val="24"/>
        </w:rPr>
        <w:t xml:space="preserve">a round bottom flask equipped with a magnetic stirrer. The solution was purged by bubbling nitrogen for 15 minutes at room temperature and then heated </w:t>
      </w:r>
      <w:r w:rsidR="0041324A" w:rsidRPr="00EB1AE4">
        <w:rPr>
          <w:rFonts w:cs="Times New Roman"/>
          <w:szCs w:val="24"/>
        </w:rPr>
        <w:t xml:space="preserve">up </w:t>
      </w:r>
      <w:r w:rsidRPr="00EB1AE4">
        <w:rPr>
          <w:rFonts w:cs="Times New Roman"/>
          <w:szCs w:val="24"/>
        </w:rPr>
        <w:t xml:space="preserve">to 65 °C in an oil bath under magnetic stirring. After 24 h, 22 mg of ACVA in 100 µl of Ethanol were added to the system to re-initiate the polymerization. After </w:t>
      </w:r>
      <w:r w:rsidR="0011618B" w:rsidRPr="00EB1AE4">
        <w:rPr>
          <w:rFonts w:cs="Times New Roman"/>
          <w:szCs w:val="24"/>
        </w:rPr>
        <w:t xml:space="preserve">further </w:t>
      </w:r>
      <w:r w:rsidRPr="00EB1AE4">
        <w:rPr>
          <w:rFonts w:cs="Times New Roman"/>
          <w:szCs w:val="24"/>
        </w:rPr>
        <w:t xml:space="preserve">24 h, the product obtained was </w:t>
      </w:r>
      <w:r w:rsidR="0011618B" w:rsidRPr="00EB1AE4">
        <w:rPr>
          <w:rFonts w:cs="Times New Roman"/>
          <w:szCs w:val="24"/>
        </w:rPr>
        <w:t>precipitated twice in a 10-fold excess of</w:t>
      </w:r>
      <w:r w:rsidRPr="00EB1AE4">
        <w:rPr>
          <w:rFonts w:cs="Times New Roman"/>
          <w:szCs w:val="24"/>
        </w:rPr>
        <w:t xml:space="preserve"> diethyl ether and centrifuged at 3500 rpm in order to remove </w:t>
      </w:r>
      <w:r w:rsidR="0011618B" w:rsidRPr="00EB1AE4">
        <w:rPr>
          <w:rFonts w:cs="Times New Roman"/>
          <w:szCs w:val="24"/>
        </w:rPr>
        <w:t xml:space="preserve">the </w:t>
      </w:r>
      <w:r w:rsidRPr="00EB1AE4">
        <w:rPr>
          <w:rFonts w:cs="Times New Roman"/>
          <w:szCs w:val="24"/>
        </w:rPr>
        <w:t>unreacted monomer.</w:t>
      </w:r>
      <w:r w:rsidR="0011618B" w:rsidRPr="00EB1AE4">
        <w:rPr>
          <w:rFonts w:cs="Times New Roman"/>
          <w:szCs w:val="24"/>
        </w:rPr>
        <w:t xml:space="preserve"> The precipitate was dried in a vacuum oven at 35 °C overnight and recovered as a pink powder.</w:t>
      </w:r>
    </w:p>
    <w:p w14:paraId="4B7BF0A9" w14:textId="1FCD82B7" w:rsidR="009722B0" w:rsidRPr="00EB1AE4" w:rsidRDefault="009722B0" w:rsidP="009722B0">
      <w:pPr>
        <w:rPr>
          <w:rFonts w:cs="Times New Roman"/>
          <w:szCs w:val="24"/>
        </w:rPr>
      </w:pPr>
      <w:r w:rsidRPr="00EB1AE4">
        <w:rPr>
          <w:rFonts w:cs="Times New Roman"/>
          <w:szCs w:val="24"/>
        </w:rPr>
        <w:t>For the MPC-based macro-RAFT agent, 2.</w:t>
      </w:r>
      <w:r w:rsidR="00201A23" w:rsidRPr="00EB1AE4">
        <w:rPr>
          <w:rFonts w:cs="Times New Roman"/>
          <w:szCs w:val="24"/>
        </w:rPr>
        <w:t xml:space="preserve">24 </w:t>
      </w:r>
      <w:r w:rsidRPr="00EB1AE4">
        <w:rPr>
          <w:rFonts w:cs="Times New Roman"/>
          <w:szCs w:val="24"/>
        </w:rPr>
        <w:t>g of MPC (0.0256mmol), 8</w:t>
      </w:r>
      <w:r w:rsidR="00201A23" w:rsidRPr="00EB1AE4">
        <w:rPr>
          <w:rFonts w:cs="Times New Roman"/>
          <w:szCs w:val="24"/>
        </w:rPr>
        <w:t>5 m</w:t>
      </w:r>
      <w:r w:rsidRPr="00EB1AE4">
        <w:rPr>
          <w:rFonts w:cs="Times New Roman"/>
          <w:szCs w:val="24"/>
        </w:rPr>
        <w:t>g of CPA (0.302</w:t>
      </w:r>
      <w:r w:rsidR="00201A23" w:rsidRPr="00EB1AE4">
        <w:rPr>
          <w:rFonts w:cs="Times New Roman"/>
          <w:szCs w:val="24"/>
        </w:rPr>
        <w:t xml:space="preserve"> </w:t>
      </w:r>
      <w:r w:rsidRPr="00EB1AE4">
        <w:rPr>
          <w:rFonts w:cs="Times New Roman"/>
          <w:szCs w:val="24"/>
        </w:rPr>
        <w:t>mmol) and 0.0283 g of ACVA (0.1</w:t>
      </w:r>
      <w:r w:rsidR="00201A23" w:rsidRPr="00EB1AE4">
        <w:rPr>
          <w:rFonts w:cs="Times New Roman"/>
          <w:szCs w:val="24"/>
        </w:rPr>
        <w:t xml:space="preserve"> </w:t>
      </w:r>
      <w:r w:rsidRPr="00EB1AE4">
        <w:rPr>
          <w:rFonts w:cs="Times New Roman"/>
          <w:szCs w:val="24"/>
        </w:rPr>
        <w:t xml:space="preserve">mmol) were dissolved in 10 ml of a </w:t>
      </w:r>
      <w:r w:rsidRPr="00EB1AE4">
        <w:rPr>
          <w:szCs w:val="24"/>
        </w:rPr>
        <w:t>solution of ethanol/acetic buffer (10 mM, pH = 4.5) 50/50 v/v</w:t>
      </w:r>
      <w:r w:rsidRPr="00EB1AE4">
        <w:rPr>
          <w:rFonts w:cs="Times New Roman"/>
          <w:szCs w:val="24"/>
        </w:rPr>
        <w:t xml:space="preserve">. The solution was purged by bubbling nitrogen for 15 minutes at room temperature and then heated </w:t>
      </w:r>
      <w:r w:rsidR="0041324A" w:rsidRPr="00EB1AE4">
        <w:rPr>
          <w:rFonts w:cs="Times New Roman"/>
          <w:szCs w:val="24"/>
        </w:rPr>
        <w:t xml:space="preserve">up </w:t>
      </w:r>
      <w:r w:rsidRPr="00EB1AE4">
        <w:rPr>
          <w:rFonts w:cs="Times New Roman"/>
          <w:szCs w:val="24"/>
        </w:rPr>
        <w:t xml:space="preserve">to 65 °C in an oil bath under magnetic stirring. After 24 h, the product obtained was </w:t>
      </w:r>
      <w:r w:rsidR="0011618B" w:rsidRPr="00EB1AE4">
        <w:rPr>
          <w:rFonts w:cs="Times New Roman"/>
          <w:szCs w:val="24"/>
        </w:rPr>
        <w:t>precipitated twice in a 10-fold excess of</w:t>
      </w:r>
      <w:r w:rsidRPr="00EB1AE4">
        <w:rPr>
          <w:rFonts w:cs="Times New Roman"/>
          <w:szCs w:val="24"/>
        </w:rPr>
        <w:t xml:space="preserve"> acetone and centrifuged at 5000 rpm to remove the unreacted monomer.</w:t>
      </w:r>
      <w:r w:rsidR="0011618B" w:rsidRPr="00EB1AE4">
        <w:rPr>
          <w:rFonts w:cs="Times New Roman"/>
          <w:szCs w:val="24"/>
        </w:rPr>
        <w:t xml:space="preserve"> The precipitate was dried in a vacuum oven at 35 °C overnight and recovered as a pink powder.</w:t>
      </w:r>
    </w:p>
    <w:p w14:paraId="6CCC69AB" w14:textId="0CD2E7AE" w:rsidR="009722B0" w:rsidRPr="00EB1AE4" w:rsidRDefault="00201A23" w:rsidP="009722B0">
      <w:pPr>
        <w:rPr>
          <w:rFonts w:cs="Times New Roman"/>
          <w:szCs w:val="24"/>
        </w:rPr>
      </w:pPr>
      <w:r w:rsidRPr="00EB1AE4">
        <w:rPr>
          <w:rFonts w:cs="Times New Roman"/>
          <w:szCs w:val="24"/>
        </w:rPr>
        <w:lastRenderedPageBreak/>
        <w:t>The products were analyzed by gel permeation chromatography (GPC) and proton nuclear magnetic resonance (</w:t>
      </w:r>
      <w:r w:rsidRPr="00EB1AE4">
        <w:rPr>
          <w:rFonts w:cs="Times New Roman"/>
          <w:szCs w:val="24"/>
          <w:vertAlign w:val="superscript"/>
        </w:rPr>
        <w:t>1</w:t>
      </w:r>
      <w:r w:rsidRPr="00EB1AE4">
        <w:rPr>
          <w:rFonts w:cs="Times New Roman"/>
          <w:szCs w:val="24"/>
        </w:rPr>
        <w:t>H NMR</w:t>
      </w:r>
      <w:r w:rsidR="000902E2" w:rsidRPr="00EB1AE4">
        <w:rPr>
          <w:rFonts w:cs="Times New Roman"/>
          <w:szCs w:val="24"/>
        </w:rPr>
        <w:t>,</w:t>
      </w:r>
      <w:r w:rsidRPr="00EB1AE4">
        <w:rPr>
          <w:rFonts w:cs="Times New Roman"/>
          <w:szCs w:val="24"/>
        </w:rPr>
        <w:t xml:space="preserve"> </w:t>
      </w:r>
      <w:r w:rsidR="000902E2" w:rsidRPr="00EB1AE4">
        <w:rPr>
          <w:rFonts w:cs="Times New Roman"/>
          <w:szCs w:val="24"/>
        </w:rPr>
        <w:t>in CDCl</w:t>
      </w:r>
      <w:r w:rsidR="000902E2" w:rsidRPr="00EB1AE4">
        <w:rPr>
          <w:rFonts w:cs="Times New Roman"/>
          <w:szCs w:val="24"/>
          <w:vertAlign w:val="subscript"/>
        </w:rPr>
        <w:t>3</w:t>
      </w:r>
      <w:r w:rsidR="000902E2" w:rsidRPr="00EB1AE4">
        <w:rPr>
          <w:rFonts w:cs="Times New Roman"/>
          <w:szCs w:val="24"/>
        </w:rPr>
        <w:t xml:space="preserve"> for the PEG-based macro CTA and in deuterium oxide for the polyMPC macro CTA) </w:t>
      </w:r>
      <w:r w:rsidRPr="00EB1AE4">
        <w:rPr>
          <w:rFonts w:cs="Times New Roman"/>
          <w:szCs w:val="24"/>
        </w:rPr>
        <w:t>to assess the molecular weight distribution, degree of polymerization and monomer conversion</w:t>
      </w:r>
      <w:r w:rsidR="0041324A" w:rsidRPr="00EB1AE4">
        <w:rPr>
          <w:rFonts w:cs="Times New Roman"/>
          <w:szCs w:val="24"/>
        </w:rPr>
        <w:t xml:space="preserve"> (see Section 2.8)</w:t>
      </w:r>
      <w:r w:rsidRPr="00EB1AE4">
        <w:rPr>
          <w:rFonts w:cs="Times New Roman"/>
          <w:szCs w:val="24"/>
        </w:rPr>
        <w:t>.</w:t>
      </w:r>
    </w:p>
    <w:p w14:paraId="608BB6D5" w14:textId="77777777" w:rsidR="009722B0" w:rsidRPr="00EB1AE4" w:rsidRDefault="009722B0" w:rsidP="009722B0">
      <w:pPr>
        <w:pStyle w:val="Titolo2"/>
        <w:rPr>
          <w:b w:val="0"/>
          <w:i/>
        </w:rPr>
      </w:pPr>
      <w:r w:rsidRPr="00EB1AE4">
        <w:rPr>
          <w:b w:val="0"/>
          <w:i/>
        </w:rPr>
        <w:t>Synthesis of the oligo-ester macromonomer</w:t>
      </w:r>
    </w:p>
    <w:p w14:paraId="05622DB9" w14:textId="153231D1" w:rsidR="004D7474" w:rsidRPr="00EB1AE4" w:rsidRDefault="009722B0" w:rsidP="00194D33">
      <w:pPr>
        <w:pStyle w:val="Titolo2"/>
        <w:numPr>
          <w:ilvl w:val="0"/>
          <w:numId w:val="0"/>
        </w:numPr>
        <w:rPr>
          <w:rFonts w:cs="Times New Roman"/>
          <w:b w:val="0"/>
          <w:sz w:val="24"/>
          <w:szCs w:val="24"/>
        </w:rPr>
      </w:pPr>
      <w:r w:rsidRPr="00EB1AE4">
        <w:rPr>
          <w:rFonts w:cs="Times New Roman"/>
          <w:b w:val="0"/>
          <w:sz w:val="24"/>
          <w:szCs w:val="24"/>
        </w:rPr>
        <w:t xml:space="preserve">HEMA-CL macromonomers constitute the hydrophobic block of the final copolymer. </w:t>
      </w:r>
      <w:r w:rsidR="00201A23" w:rsidRPr="00EB1AE4">
        <w:rPr>
          <w:rFonts w:cs="Times New Roman"/>
          <w:b w:val="0"/>
          <w:sz w:val="24"/>
          <w:szCs w:val="24"/>
        </w:rPr>
        <w:t xml:space="preserve">HEMA-CL </w:t>
      </w:r>
      <w:r w:rsidRPr="00EB1AE4">
        <w:rPr>
          <w:rFonts w:cs="Times New Roman"/>
          <w:b w:val="0"/>
          <w:sz w:val="24"/>
          <w:szCs w:val="24"/>
        </w:rPr>
        <w:t xml:space="preserve">was synthesized </w:t>
      </w:r>
      <w:r w:rsidRPr="00EB1AE4">
        <w:rPr>
          <w:rFonts w:cs="Times New Roman"/>
          <w:b w:val="0"/>
          <w:i/>
          <w:sz w:val="24"/>
          <w:szCs w:val="24"/>
        </w:rPr>
        <w:t>via</w:t>
      </w:r>
      <w:r w:rsidRPr="00EB1AE4">
        <w:rPr>
          <w:rFonts w:cs="Times New Roman"/>
          <w:b w:val="0"/>
          <w:sz w:val="24"/>
          <w:szCs w:val="24"/>
        </w:rPr>
        <w:t xml:space="preserve"> ROP using HEMA as initiator and </w:t>
      </w:r>
      <w:r w:rsidR="0011618B" w:rsidRPr="00EB1AE4">
        <w:rPr>
          <w:rFonts w:cs="Times New Roman"/>
          <w:b w:val="0"/>
          <w:sz w:val="24"/>
          <w:szCs w:val="24"/>
        </w:rPr>
        <w:t xml:space="preserve">tin octanoate </w:t>
      </w:r>
      <w:r w:rsidRPr="00EB1AE4">
        <w:rPr>
          <w:rFonts w:cs="Times New Roman"/>
          <w:b w:val="0"/>
          <w:sz w:val="24"/>
          <w:szCs w:val="24"/>
        </w:rPr>
        <w:t>as catalyst. The molar ratio between the monomer and the initiator provides the degree of polymerization of the macromonomer (</w:t>
      </w:r>
      <w:r w:rsidRPr="00EB1AE4">
        <w:rPr>
          <w:rFonts w:cs="Times New Roman"/>
          <w:b w:val="0"/>
          <w:i/>
          <w:sz w:val="24"/>
          <w:szCs w:val="24"/>
        </w:rPr>
        <w:t>q</w:t>
      </w:r>
      <w:r w:rsidRPr="00EB1AE4">
        <w:rPr>
          <w:rFonts w:cs="Times New Roman"/>
          <w:b w:val="0"/>
          <w:sz w:val="24"/>
          <w:szCs w:val="24"/>
        </w:rPr>
        <w:t>).</w:t>
      </w:r>
      <w:r w:rsidR="0011618B" w:rsidRPr="00EB1AE4">
        <w:rPr>
          <w:rFonts w:cs="Times New Roman"/>
          <w:b w:val="0"/>
          <w:sz w:val="24"/>
          <w:szCs w:val="24"/>
        </w:rPr>
        <w:t xml:space="preserve"> I</w:t>
      </w:r>
      <w:r w:rsidRPr="00EB1AE4">
        <w:rPr>
          <w:rFonts w:cs="Times New Roman"/>
          <w:b w:val="0"/>
          <w:sz w:val="24"/>
          <w:szCs w:val="24"/>
        </w:rPr>
        <w:t>n order to obtain a</w:t>
      </w:r>
      <w:r w:rsidR="0011618B" w:rsidRPr="00EB1AE4">
        <w:rPr>
          <w:rFonts w:cs="Times New Roman"/>
          <w:b w:val="0"/>
          <w:sz w:val="24"/>
          <w:szCs w:val="24"/>
        </w:rPr>
        <w:t xml:space="preserve"> macromonomer with </w:t>
      </w:r>
      <w:r w:rsidR="0011618B" w:rsidRPr="00EB1AE4">
        <w:rPr>
          <w:rFonts w:cs="Times New Roman"/>
          <w:b w:val="0"/>
          <w:i/>
          <w:sz w:val="24"/>
          <w:szCs w:val="24"/>
        </w:rPr>
        <w:t>q</w:t>
      </w:r>
      <w:r w:rsidR="0011618B" w:rsidRPr="00EB1AE4">
        <w:rPr>
          <w:rFonts w:cs="Times New Roman"/>
          <w:b w:val="0"/>
          <w:sz w:val="24"/>
          <w:szCs w:val="24"/>
        </w:rPr>
        <w:t>=5, hereinafter</w:t>
      </w:r>
      <w:r w:rsidRPr="00EB1AE4">
        <w:rPr>
          <w:rFonts w:cs="Times New Roman"/>
          <w:b w:val="0"/>
          <w:sz w:val="24"/>
          <w:szCs w:val="24"/>
        </w:rPr>
        <w:t xml:space="preserve"> HEMA-CL</w:t>
      </w:r>
      <w:r w:rsidRPr="00EB1AE4">
        <w:rPr>
          <w:rFonts w:cs="Times New Roman"/>
          <w:b w:val="0"/>
          <w:sz w:val="24"/>
          <w:szCs w:val="24"/>
          <w:vertAlign w:val="subscript"/>
        </w:rPr>
        <w:t>5</w:t>
      </w:r>
      <w:r w:rsidR="0011618B" w:rsidRPr="00EB1AE4">
        <w:rPr>
          <w:rFonts w:cs="Times New Roman"/>
          <w:b w:val="0"/>
          <w:sz w:val="24"/>
          <w:szCs w:val="24"/>
        </w:rPr>
        <w:t>,</w:t>
      </w:r>
      <w:r w:rsidR="0011618B" w:rsidRPr="00EB1AE4">
        <w:rPr>
          <w:rFonts w:cs="Times New Roman"/>
          <w:b w:val="0"/>
          <w:sz w:val="24"/>
          <w:szCs w:val="24"/>
          <w:vertAlign w:val="subscript"/>
        </w:rPr>
        <w:t xml:space="preserve"> </w:t>
      </w:r>
      <w:r w:rsidRPr="00EB1AE4">
        <w:rPr>
          <w:rFonts w:cs="Times New Roman"/>
          <w:b w:val="0"/>
          <w:sz w:val="24"/>
          <w:szCs w:val="24"/>
        </w:rPr>
        <w:t xml:space="preserve">25.4 g of </w:t>
      </w:r>
      <w:r w:rsidRPr="00EB1AE4">
        <w:rPr>
          <w:rFonts w:cs="Times New Roman"/>
          <w:b w:val="0"/>
          <w:bCs/>
          <w:sz w:val="24"/>
          <w:szCs w:val="24"/>
        </w:rPr>
        <w:t>CL (0.222</w:t>
      </w:r>
      <w:r w:rsidR="0011618B" w:rsidRPr="00EB1AE4">
        <w:rPr>
          <w:rFonts w:cs="Times New Roman"/>
          <w:b w:val="0"/>
          <w:bCs/>
          <w:sz w:val="24"/>
          <w:szCs w:val="24"/>
        </w:rPr>
        <w:t xml:space="preserve"> </w:t>
      </w:r>
      <w:r w:rsidRPr="00EB1AE4">
        <w:rPr>
          <w:rFonts w:cs="Times New Roman"/>
          <w:b w:val="0"/>
          <w:bCs/>
          <w:sz w:val="24"/>
          <w:szCs w:val="24"/>
        </w:rPr>
        <w:t xml:space="preserve">mmol) </w:t>
      </w:r>
      <w:r w:rsidRPr="00EB1AE4">
        <w:rPr>
          <w:rFonts w:cs="Times New Roman"/>
          <w:b w:val="0"/>
          <w:sz w:val="24"/>
          <w:szCs w:val="24"/>
        </w:rPr>
        <w:t xml:space="preserve">and 15 mg of </w:t>
      </w:r>
      <w:r w:rsidRPr="00EB1AE4">
        <w:rPr>
          <w:rFonts w:cs="Times New Roman"/>
          <w:b w:val="0"/>
          <w:bCs/>
          <w:sz w:val="24"/>
          <w:szCs w:val="24"/>
        </w:rPr>
        <w:t>Na</w:t>
      </w:r>
      <w:r w:rsidRPr="00EB1AE4">
        <w:rPr>
          <w:rFonts w:cs="Times New Roman"/>
          <w:b w:val="0"/>
          <w:bCs/>
          <w:sz w:val="24"/>
          <w:szCs w:val="24"/>
          <w:vertAlign w:val="subscript"/>
        </w:rPr>
        <w:t>2</w:t>
      </w:r>
      <w:r w:rsidRPr="00EB1AE4">
        <w:rPr>
          <w:rFonts w:cs="Times New Roman"/>
          <w:b w:val="0"/>
          <w:bCs/>
          <w:sz w:val="24"/>
          <w:szCs w:val="24"/>
        </w:rPr>
        <w:t>SO</w:t>
      </w:r>
      <w:r w:rsidRPr="00EB1AE4">
        <w:rPr>
          <w:rFonts w:cs="Times New Roman"/>
          <w:b w:val="0"/>
          <w:bCs/>
          <w:sz w:val="24"/>
          <w:szCs w:val="24"/>
          <w:vertAlign w:val="subscript"/>
        </w:rPr>
        <w:t>4</w:t>
      </w:r>
      <w:r w:rsidRPr="00EB1AE4">
        <w:rPr>
          <w:rFonts w:cs="Times New Roman"/>
          <w:b w:val="0"/>
          <w:bCs/>
          <w:sz w:val="24"/>
          <w:szCs w:val="24"/>
        </w:rPr>
        <w:t xml:space="preserve"> </w:t>
      </w:r>
      <w:r w:rsidR="0011618B" w:rsidRPr="00EB1AE4">
        <w:rPr>
          <w:rFonts w:cs="Times New Roman"/>
          <w:b w:val="0"/>
          <w:sz w:val="24"/>
          <w:szCs w:val="24"/>
        </w:rPr>
        <w:t xml:space="preserve">were </w:t>
      </w:r>
      <w:r w:rsidRPr="00EB1AE4">
        <w:rPr>
          <w:rFonts w:cs="Times New Roman"/>
          <w:b w:val="0"/>
          <w:sz w:val="24"/>
          <w:szCs w:val="24"/>
        </w:rPr>
        <w:t xml:space="preserve">added to a round bottom flask equipped with a magnetic stirrer. The flask was closed with a </w:t>
      </w:r>
      <w:r w:rsidR="0011618B" w:rsidRPr="00EB1AE4">
        <w:rPr>
          <w:rFonts w:cs="Times New Roman"/>
          <w:b w:val="0"/>
          <w:sz w:val="24"/>
          <w:szCs w:val="24"/>
        </w:rPr>
        <w:t xml:space="preserve">rubber </w:t>
      </w:r>
      <w:r w:rsidRPr="00EB1AE4">
        <w:rPr>
          <w:rFonts w:cs="Times New Roman"/>
          <w:b w:val="0"/>
          <w:sz w:val="24"/>
          <w:szCs w:val="24"/>
        </w:rPr>
        <w:t xml:space="preserve">stopper and heated </w:t>
      </w:r>
      <w:r w:rsidR="0011618B" w:rsidRPr="00EB1AE4">
        <w:rPr>
          <w:rFonts w:cs="Times New Roman"/>
          <w:b w:val="0"/>
          <w:sz w:val="24"/>
          <w:szCs w:val="24"/>
        </w:rPr>
        <w:t xml:space="preserve">to </w:t>
      </w:r>
      <w:r w:rsidRPr="00EB1AE4">
        <w:rPr>
          <w:rFonts w:cs="Times New Roman"/>
          <w:b w:val="0"/>
          <w:sz w:val="24"/>
          <w:szCs w:val="24"/>
        </w:rPr>
        <w:t>125</w:t>
      </w:r>
      <w:r w:rsidR="0011618B" w:rsidRPr="00EB1AE4">
        <w:rPr>
          <w:rFonts w:cs="Times New Roman"/>
          <w:b w:val="0"/>
          <w:sz w:val="24"/>
          <w:szCs w:val="24"/>
        </w:rPr>
        <w:t xml:space="preserve"> </w:t>
      </w:r>
      <w:r w:rsidRPr="00EB1AE4">
        <w:rPr>
          <w:rFonts w:cs="Times New Roman"/>
          <w:b w:val="0"/>
          <w:sz w:val="24"/>
          <w:szCs w:val="24"/>
        </w:rPr>
        <w:t>°C in an oil bath. After that, a solution of 5.85 g of HEMA (45</w:t>
      </w:r>
      <w:r w:rsidR="0011618B" w:rsidRPr="00EB1AE4">
        <w:rPr>
          <w:rFonts w:cs="Times New Roman"/>
          <w:b w:val="0"/>
          <w:sz w:val="24"/>
          <w:szCs w:val="24"/>
        </w:rPr>
        <w:t xml:space="preserve"> μ</w:t>
      </w:r>
      <w:r w:rsidRPr="00EB1AE4">
        <w:rPr>
          <w:rFonts w:cs="Times New Roman"/>
          <w:b w:val="0"/>
          <w:sz w:val="24"/>
          <w:szCs w:val="24"/>
        </w:rPr>
        <w:t xml:space="preserve">mol) and 90 mg of </w:t>
      </w:r>
      <w:r w:rsidRPr="00EB1AE4">
        <w:rPr>
          <w:rFonts w:cs="Times New Roman"/>
          <w:b w:val="0"/>
          <w:bCs/>
          <w:sz w:val="24"/>
          <w:szCs w:val="24"/>
        </w:rPr>
        <w:t>Tin(II) 2-ethylhexanoate (0</w:t>
      </w:r>
      <w:r w:rsidR="0011618B" w:rsidRPr="00EB1AE4">
        <w:rPr>
          <w:rFonts w:cs="Times New Roman"/>
          <w:b w:val="0"/>
          <w:bCs/>
          <w:sz w:val="24"/>
          <w:szCs w:val="24"/>
        </w:rPr>
        <w:t>.</w:t>
      </w:r>
      <w:r w:rsidRPr="00EB1AE4">
        <w:rPr>
          <w:rFonts w:cs="Times New Roman"/>
          <w:b w:val="0"/>
          <w:bCs/>
          <w:sz w:val="24"/>
          <w:szCs w:val="24"/>
        </w:rPr>
        <w:t>225</w:t>
      </w:r>
      <w:r w:rsidR="0011618B" w:rsidRPr="00EB1AE4">
        <w:rPr>
          <w:rFonts w:cs="Times New Roman"/>
          <w:b w:val="0"/>
          <w:bCs/>
          <w:sz w:val="24"/>
          <w:szCs w:val="24"/>
        </w:rPr>
        <w:t xml:space="preserve"> μ</w:t>
      </w:r>
      <w:r w:rsidR="00EB1AE4">
        <w:rPr>
          <w:rFonts w:cs="Times New Roman"/>
          <w:b w:val="0"/>
          <w:bCs/>
          <w:sz w:val="24"/>
          <w:szCs w:val="24"/>
        </w:rPr>
        <w:t>mol)</w:t>
      </w:r>
      <w:r w:rsidRPr="00EB1AE4">
        <w:rPr>
          <w:rFonts w:cs="Times New Roman"/>
          <w:b w:val="0"/>
          <w:bCs/>
          <w:sz w:val="24"/>
          <w:szCs w:val="24"/>
        </w:rPr>
        <w:t xml:space="preserve"> was added to the flask under stirring</w:t>
      </w:r>
      <w:r w:rsidRPr="00EB1AE4">
        <w:rPr>
          <w:rFonts w:cs="Times New Roman"/>
          <w:b w:val="0"/>
          <w:sz w:val="24"/>
          <w:szCs w:val="24"/>
        </w:rPr>
        <w:t>. The polymerization proceeded for 2.5 h. The resulting HEMA-CL</w:t>
      </w:r>
      <w:r w:rsidRPr="00EB1AE4">
        <w:rPr>
          <w:rFonts w:cs="Times New Roman"/>
          <w:b w:val="0"/>
          <w:sz w:val="24"/>
          <w:szCs w:val="24"/>
          <w:vertAlign w:val="subscript"/>
        </w:rPr>
        <w:t>5</w:t>
      </w:r>
      <w:r w:rsidRPr="00EB1AE4">
        <w:rPr>
          <w:rFonts w:cs="Times New Roman"/>
          <w:b w:val="0"/>
          <w:sz w:val="24"/>
          <w:szCs w:val="24"/>
        </w:rPr>
        <w:t xml:space="preserve"> was characterized by</w:t>
      </w:r>
      <w:r w:rsidR="00201A23" w:rsidRPr="00EB1AE4">
        <w:rPr>
          <w:rFonts w:cs="Times New Roman"/>
          <w:b w:val="0"/>
          <w:sz w:val="24"/>
          <w:szCs w:val="24"/>
        </w:rPr>
        <w:t xml:space="preserve"> </w:t>
      </w:r>
      <w:r w:rsidRPr="00EB1AE4">
        <w:rPr>
          <w:rFonts w:cs="Times New Roman"/>
          <w:b w:val="0"/>
          <w:sz w:val="24"/>
          <w:szCs w:val="24"/>
        </w:rPr>
        <w:t>GPC</w:t>
      </w:r>
      <w:r w:rsidR="00201A23" w:rsidRPr="00EB1AE4">
        <w:rPr>
          <w:rFonts w:cs="Times New Roman"/>
          <w:b w:val="0"/>
          <w:sz w:val="24"/>
          <w:szCs w:val="24"/>
        </w:rPr>
        <w:t xml:space="preserve"> and NMR </w:t>
      </w:r>
      <w:r w:rsidR="000902E2" w:rsidRPr="00EB1AE4">
        <w:rPr>
          <w:rFonts w:cs="Times New Roman"/>
          <w:b w:val="0"/>
          <w:sz w:val="24"/>
          <w:szCs w:val="24"/>
        </w:rPr>
        <w:t>in CDCl</w:t>
      </w:r>
      <w:r w:rsidR="000902E2" w:rsidRPr="005318AE">
        <w:rPr>
          <w:rFonts w:cs="Times New Roman"/>
          <w:b w:val="0"/>
          <w:sz w:val="24"/>
          <w:szCs w:val="24"/>
          <w:vertAlign w:val="subscript"/>
        </w:rPr>
        <w:t>3</w:t>
      </w:r>
      <w:r w:rsidR="000902E2" w:rsidRPr="00EB1AE4">
        <w:rPr>
          <w:rFonts w:cs="Times New Roman"/>
          <w:b w:val="0"/>
          <w:sz w:val="24"/>
          <w:szCs w:val="24"/>
        </w:rPr>
        <w:t xml:space="preserve"> </w:t>
      </w:r>
      <w:r w:rsidR="00201A23" w:rsidRPr="00EB1AE4">
        <w:rPr>
          <w:rFonts w:cs="Times New Roman"/>
          <w:b w:val="0"/>
          <w:sz w:val="24"/>
          <w:szCs w:val="24"/>
        </w:rPr>
        <w:t>to assess the average molecular weight and degree of polymerization</w:t>
      </w:r>
      <w:r w:rsidR="000902E2" w:rsidRPr="00EB1AE4">
        <w:rPr>
          <w:rFonts w:cs="Times New Roman"/>
          <w:b w:val="0"/>
          <w:sz w:val="24"/>
          <w:szCs w:val="24"/>
        </w:rPr>
        <w:t xml:space="preserve"> (see Section 2.8)</w:t>
      </w:r>
      <w:r w:rsidR="004D7474" w:rsidRPr="00EB1AE4">
        <w:rPr>
          <w:rFonts w:cs="Times New Roman"/>
          <w:b w:val="0"/>
          <w:sz w:val="24"/>
          <w:szCs w:val="24"/>
        </w:rPr>
        <w:t>.</w:t>
      </w:r>
    </w:p>
    <w:p w14:paraId="5E7E17CE" w14:textId="11A788B4" w:rsidR="009722B0" w:rsidRPr="00EB1AE4" w:rsidRDefault="009722B0" w:rsidP="009722B0">
      <w:pPr>
        <w:pStyle w:val="Titolo2"/>
        <w:rPr>
          <w:b w:val="0"/>
          <w:i/>
        </w:rPr>
      </w:pPr>
      <w:r w:rsidRPr="00EB1AE4">
        <w:rPr>
          <w:rFonts w:cs="Times New Roman"/>
          <w:szCs w:val="24"/>
        </w:rPr>
        <w:t xml:space="preserve"> </w:t>
      </w:r>
      <w:r w:rsidRPr="00EB1AE4">
        <w:rPr>
          <w:b w:val="0"/>
          <w:i/>
        </w:rPr>
        <w:t>Block copolymer synthesis</w:t>
      </w:r>
    </w:p>
    <w:p w14:paraId="26642210" w14:textId="01BADBB3" w:rsidR="009722B0" w:rsidRPr="00EB1AE4" w:rsidRDefault="00201A23" w:rsidP="009722B0">
      <w:pPr>
        <w:rPr>
          <w:rFonts w:cs="Times New Roman"/>
          <w:szCs w:val="24"/>
        </w:rPr>
      </w:pPr>
      <w:r w:rsidRPr="00EB1AE4">
        <w:rPr>
          <w:rFonts w:cs="Times New Roman"/>
          <w:szCs w:val="24"/>
        </w:rPr>
        <w:t>The hydrophilic macro CTAs were chain extended</w:t>
      </w:r>
      <w:r w:rsidR="009722B0" w:rsidRPr="00EB1AE4">
        <w:rPr>
          <w:rFonts w:cs="Times New Roman"/>
          <w:szCs w:val="24"/>
        </w:rPr>
        <w:t xml:space="preserve"> with HEMA-CL</w:t>
      </w:r>
      <w:r w:rsidR="009722B0" w:rsidRPr="00EB1AE4">
        <w:rPr>
          <w:rFonts w:cs="Times New Roman"/>
          <w:szCs w:val="24"/>
          <w:vertAlign w:val="subscript"/>
        </w:rPr>
        <w:t>5</w:t>
      </w:r>
      <w:r w:rsidR="009722B0" w:rsidRPr="00EB1AE4">
        <w:rPr>
          <w:rFonts w:cs="Times New Roman"/>
          <w:szCs w:val="24"/>
        </w:rPr>
        <w:t xml:space="preserve"> </w:t>
      </w:r>
      <w:r w:rsidRPr="00EB1AE4">
        <w:rPr>
          <w:rFonts w:cs="Times New Roman"/>
          <w:i/>
          <w:szCs w:val="24"/>
        </w:rPr>
        <w:t xml:space="preserve">via </w:t>
      </w:r>
      <w:r w:rsidRPr="00EB1AE4">
        <w:rPr>
          <w:rFonts w:cs="Times New Roman"/>
          <w:szCs w:val="24"/>
        </w:rPr>
        <w:t>RAFT emulsion polymerization to produce amphiphilic block copolymers self-assembled into NPs</w:t>
      </w:r>
      <w:r w:rsidR="009722B0" w:rsidRPr="00EB1AE4">
        <w:rPr>
          <w:rFonts w:cs="Times New Roman"/>
          <w:szCs w:val="24"/>
        </w:rPr>
        <w:t>. The degree of polymerization of the final block is given by the molar ratio between the macromonomer and the macro</w:t>
      </w:r>
      <w:r w:rsidR="00454A55" w:rsidRPr="00EB1AE4">
        <w:rPr>
          <w:rFonts w:cs="Times New Roman"/>
          <w:szCs w:val="24"/>
        </w:rPr>
        <w:t xml:space="preserve"> CTA</w:t>
      </w:r>
      <w:r w:rsidR="009722B0" w:rsidRPr="00EB1AE4">
        <w:rPr>
          <w:rFonts w:cs="Times New Roman"/>
          <w:szCs w:val="24"/>
        </w:rPr>
        <w:t xml:space="preserve"> (</w:t>
      </w:r>
      <w:r w:rsidR="009722B0" w:rsidRPr="00EB1AE4">
        <w:rPr>
          <w:rFonts w:cs="Times New Roman"/>
          <w:i/>
          <w:szCs w:val="24"/>
        </w:rPr>
        <w:t>p</w:t>
      </w:r>
      <w:r w:rsidR="009722B0" w:rsidRPr="00EB1AE4">
        <w:rPr>
          <w:rFonts w:cs="Times New Roman"/>
          <w:szCs w:val="24"/>
        </w:rPr>
        <w:t>). Briefly, to obtain 5PEGMA</w:t>
      </w:r>
      <w:r w:rsidR="009722B0" w:rsidRPr="00EB1AE4">
        <w:rPr>
          <w:rFonts w:cs="Times New Roman"/>
          <w:szCs w:val="24"/>
          <w:vertAlign w:val="subscript"/>
        </w:rPr>
        <w:t>2000</w:t>
      </w:r>
      <w:r w:rsidR="009722B0" w:rsidRPr="00EB1AE4">
        <w:rPr>
          <w:rFonts w:cs="Times New Roman"/>
          <w:szCs w:val="24"/>
        </w:rPr>
        <w:t>60CL</w:t>
      </w:r>
      <w:r w:rsidR="009722B0" w:rsidRPr="00EB1AE4">
        <w:rPr>
          <w:rFonts w:cs="Times New Roman"/>
          <w:szCs w:val="24"/>
          <w:vertAlign w:val="subscript"/>
        </w:rPr>
        <w:t>5</w:t>
      </w:r>
      <w:r w:rsidR="00454A55" w:rsidRPr="00EB1AE4">
        <w:rPr>
          <w:rFonts w:cs="Times New Roman"/>
          <w:szCs w:val="24"/>
        </w:rPr>
        <w:t xml:space="preserve">, where 5 and 60 represent </w:t>
      </w:r>
      <w:r w:rsidR="00454A55" w:rsidRPr="00EB1AE4">
        <w:rPr>
          <w:rFonts w:cs="Times New Roman"/>
          <w:i/>
          <w:szCs w:val="24"/>
        </w:rPr>
        <w:t>n</w:t>
      </w:r>
      <w:r w:rsidR="00454A55" w:rsidRPr="00EB1AE4">
        <w:rPr>
          <w:rFonts w:cs="Times New Roman"/>
          <w:szCs w:val="24"/>
        </w:rPr>
        <w:t xml:space="preserve"> and </w:t>
      </w:r>
      <w:r w:rsidR="00454A55" w:rsidRPr="00EB1AE4">
        <w:rPr>
          <w:rFonts w:cs="Times New Roman"/>
          <w:i/>
          <w:szCs w:val="24"/>
        </w:rPr>
        <w:t>p</w:t>
      </w:r>
      <w:r w:rsidR="00454A55" w:rsidRPr="00EB1AE4">
        <w:rPr>
          <w:rFonts w:cs="Times New Roman"/>
          <w:szCs w:val="24"/>
        </w:rPr>
        <w:t>, respectively</w:t>
      </w:r>
      <w:r w:rsidR="000902E2" w:rsidRPr="00EB1AE4">
        <w:rPr>
          <w:rFonts w:cs="Times New Roman"/>
          <w:szCs w:val="24"/>
        </w:rPr>
        <w:t xml:space="preserve"> (see </w:t>
      </w:r>
      <w:r w:rsidR="000902E2" w:rsidRPr="00EB1AE4">
        <w:rPr>
          <w:rFonts w:cs="Times New Roman"/>
          <w:b/>
          <w:szCs w:val="24"/>
        </w:rPr>
        <w:t>Scheme 1</w:t>
      </w:r>
      <w:r w:rsidR="000902E2" w:rsidRPr="00EB1AE4">
        <w:rPr>
          <w:rFonts w:cs="Times New Roman"/>
          <w:szCs w:val="24"/>
        </w:rPr>
        <w:t>)</w:t>
      </w:r>
      <w:r w:rsidR="00454A55" w:rsidRPr="00EB1AE4">
        <w:rPr>
          <w:rFonts w:cs="Times New Roman"/>
          <w:szCs w:val="24"/>
        </w:rPr>
        <w:t>,</w:t>
      </w:r>
      <w:r w:rsidR="009722B0" w:rsidRPr="00EB1AE4">
        <w:rPr>
          <w:rFonts w:cs="Times New Roman"/>
          <w:szCs w:val="24"/>
        </w:rPr>
        <w:t xml:space="preserve"> 0.2 g of 5</w:t>
      </w:r>
      <w:r w:rsidR="009722B0" w:rsidRPr="00EB1AE4">
        <w:rPr>
          <w:rFonts w:cs="Times New Roman"/>
          <w:color w:val="231F20"/>
          <w:szCs w:val="24"/>
        </w:rPr>
        <w:t>PEGMA</w:t>
      </w:r>
      <w:r w:rsidR="009722B0" w:rsidRPr="00EB1AE4">
        <w:rPr>
          <w:rFonts w:cs="Times New Roman"/>
          <w:color w:val="231F20"/>
          <w:szCs w:val="24"/>
          <w:vertAlign w:val="subscript"/>
        </w:rPr>
        <w:t>2000</w:t>
      </w:r>
      <w:r w:rsidR="009722B0" w:rsidRPr="00EB1AE4">
        <w:rPr>
          <w:rFonts w:cs="Times New Roman"/>
          <w:szCs w:val="24"/>
        </w:rPr>
        <w:t>, 0.8 g of HEMA-CL</w:t>
      </w:r>
      <w:r w:rsidR="009722B0" w:rsidRPr="00EB1AE4">
        <w:rPr>
          <w:rFonts w:cs="Times New Roman"/>
          <w:szCs w:val="24"/>
          <w:vertAlign w:val="subscript"/>
        </w:rPr>
        <w:t xml:space="preserve">5 </w:t>
      </w:r>
      <w:r w:rsidR="009722B0" w:rsidRPr="00EB1AE4">
        <w:rPr>
          <w:rFonts w:cs="Times New Roman"/>
          <w:szCs w:val="24"/>
        </w:rPr>
        <w:t xml:space="preserve">and 2 mg of ACVA were dissolved in </w:t>
      </w:r>
      <w:r w:rsidR="00454A55" w:rsidRPr="00EB1AE4">
        <w:rPr>
          <w:rFonts w:cs="Times New Roman"/>
          <w:szCs w:val="24"/>
        </w:rPr>
        <w:t>a mixture of ethanol/</w:t>
      </w:r>
      <w:r w:rsidR="009722B0" w:rsidRPr="00EB1AE4">
        <w:rPr>
          <w:rFonts w:cs="Times New Roman"/>
          <w:szCs w:val="24"/>
        </w:rPr>
        <w:t>acetic buffer</w:t>
      </w:r>
      <w:r w:rsidR="00454A55" w:rsidRPr="00EB1AE4">
        <w:rPr>
          <w:rFonts w:cs="Times New Roman"/>
          <w:szCs w:val="24"/>
        </w:rPr>
        <w:t xml:space="preserve"> (10 mM, pH=4.5) 30/70 v/v</w:t>
      </w:r>
      <w:r w:rsidR="009722B0" w:rsidRPr="00EB1AE4">
        <w:rPr>
          <w:rFonts w:cs="Times New Roman"/>
          <w:szCs w:val="24"/>
        </w:rPr>
        <w:t xml:space="preserve"> in a round bottom flask equipped with a magnetic stirrer. The solution was purged by bubbling nitrogen for 15 minutes at room temperature and then heated to 65 °C in an oil bath under magnetic stirring. After 24 h, 2 mg of ACVA were added to the system to re-initiate the polymerization. </w:t>
      </w:r>
      <w:r w:rsidR="00362C4A" w:rsidRPr="00EB1AE4">
        <w:rPr>
          <w:rFonts w:cs="Times New Roman"/>
          <w:szCs w:val="24"/>
        </w:rPr>
        <w:t>After</w:t>
      </w:r>
      <w:r w:rsidR="00454A55" w:rsidRPr="00EB1AE4">
        <w:rPr>
          <w:rFonts w:cs="Times New Roman"/>
          <w:szCs w:val="24"/>
        </w:rPr>
        <w:t xml:space="preserve"> further</w:t>
      </w:r>
      <w:r w:rsidR="00362C4A" w:rsidRPr="00EB1AE4">
        <w:rPr>
          <w:rFonts w:cs="Times New Roman"/>
          <w:szCs w:val="24"/>
        </w:rPr>
        <w:t xml:space="preserve"> 24</w:t>
      </w:r>
      <w:r w:rsidR="00454A55" w:rsidRPr="00EB1AE4">
        <w:rPr>
          <w:rFonts w:cs="Times New Roman"/>
          <w:szCs w:val="24"/>
        </w:rPr>
        <w:t xml:space="preserve"> </w:t>
      </w:r>
      <w:r w:rsidR="00362C4A" w:rsidRPr="00EB1AE4">
        <w:rPr>
          <w:rFonts w:cs="Times New Roman"/>
          <w:szCs w:val="24"/>
        </w:rPr>
        <w:t xml:space="preserve">h, the </w:t>
      </w:r>
      <w:r w:rsidR="00454A55" w:rsidRPr="00EB1AE4">
        <w:rPr>
          <w:rFonts w:cs="Times New Roman"/>
          <w:szCs w:val="24"/>
        </w:rPr>
        <w:t>reaction was quenched by exposure to air and the product</w:t>
      </w:r>
      <w:r w:rsidR="00362C4A" w:rsidRPr="00EB1AE4">
        <w:rPr>
          <w:rFonts w:cs="Times New Roman"/>
          <w:szCs w:val="24"/>
        </w:rPr>
        <w:t xml:space="preserve"> dialyzed against </w:t>
      </w:r>
      <w:r w:rsidR="00454A55" w:rsidRPr="00EB1AE4">
        <w:rPr>
          <w:rFonts w:cs="Times New Roman"/>
          <w:szCs w:val="24"/>
        </w:rPr>
        <w:t xml:space="preserve">1 L of deionized </w:t>
      </w:r>
      <w:r w:rsidR="00362C4A" w:rsidRPr="00EB1AE4">
        <w:rPr>
          <w:rFonts w:cs="Times New Roman"/>
          <w:szCs w:val="24"/>
        </w:rPr>
        <w:t>water</w:t>
      </w:r>
      <w:r w:rsidR="00362C4A" w:rsidRPr="00EB1AE4">
        <w:rPr>
          <w:szCs w:val="24"/>
        </w:rPr>
        <w:t xml:space="preserve"> </w:t>
      </w:r>
      <w:r w:rsidR="00454A55" w:rsidRPr="00EB1AE4">
        <w:rPr>
          <w:szCs w:val="24"/>
        </w:rPr>
        <w:t xml:space="preserve">using regenerated cellulose (RC) membranes with a </w:t>
      </w:r>
      <w:r w:rsidR="003E6871">
        <w:rPr>
          <w:szCs w:val="24"/>
        </w:rPr>
        <w:t>MWCO</w:t>
      </w:r>
      <w:r w:rsidR="00454A55" w:rsidRPr="00EB1AE4">
        <w:rPr>
          <w:szCs w:val="24"/>
        </w:rPr>
        <w:t xml:space="preserve"> of </w:t>
      </w:r>
      <w:r w:rsidR="00362C4A" w:rsidRPr="00EB1AE4">
        <w:rPr>
          <w:szCs w:val="24"/>
        </w:rPr>
        <w:t>3.5</w:t>
      </w:r>
      <w:r w:rsidR="00454A55" w:rsidRPr="00EB1AE4">
        <w:rPr>
          <w:szCs w:val="24"/>
        </w:rPr>
        <w:t xml:space="preserve"> kDa</w:t>
      </w:r>
      <w:r w:rsidR="00362C4A" w:rsidRPr="00EB1AE4">
        <w:rPr>
          <w:szCs w:val="24"/>
        </w:rPr>
        <w:t xml:space="preserve"> </w:t>
      </w:r>
      <w:r w:rsidR="00454A55" w:rsidRPr="00EB1AE4">
        <w:rPr>
          <w:szCs w:val="24"/>
        </w:rPr>
        <w:t>(Spectra</w:t>
      </w:r>
      <w:r w:rsidR="004C1D49" w:rsidRPr="00EB1AE4">
        <w:rPr>
          <w:szCs w:val="24"/>
        </w:rPr>
        <w:t>/</w:t>
      </w:r>
      <w:r w:rsidR="00454A55" w:rsidRPr="00EB1AE4">
        <w:rPr>
          <w:szCs w:val="24"/>
        </w:rPr>
        <w:t>Por)</w:t>
      </w:r>
      <w:r w:rsidR="00362C4A" w:rsidRPr="00EB1AE4">
        <w:rPr>
          <w:rFonts w:cs="Times New Roman"/>
          <w:szCs w:val="24"/>
        </w:rPr>
        <w:t xml:space="preserve"> for 24</w:t>
      </w:r>
      <w:r w:rsidR="00454A55" w:rsidRPr="00EB1AE4">
        <w:rPr>
          <w:rFonts w:cs="Times New Roman"/>
          <w:szCs w:val="24"/>
        </w:rPr>
        <w:t xml:space="preserve"> </w:t>
      </w:r>
      <w:r w:rsidR="00362C4A" w:rsidRPr="00EB1AE4">
        <w:rPr>
          <w:rFonts w:cs="Times New Roman"/>
          <w:szCs w:val="24"/>
        </w:rPr>
        <w:t xml:space="preserve">h. </w:t>
      </w:r>
      <w:r w:rsidR="00362C4A" w:rsidRPr="00EB1AE4">
        <w:rPr>
          <w:rFonts w:cs="Times New Roman"/>
          <w:szCs w:val="24"/>
        </w:rPr>
        <w:lastRenderedPageBreak/>
        <w:t xml:space="preserve">Size and polydispersity were analyzed through </w:t>
      </w:r>
      <w:r w:rsidR="00362C4A" w:rsidRPr="00EB1AE4">
        <w:rPr>
          <w:szCs w:val="24"/>
        </w:rPr>
        <w:t>dynamic light scattering (DLS) analysis using a Malvern Zetasizer Nano ZS</w:t>
      </w:r>
      <w:r w:rsidR="00362C4A" w:rsidRPr="00EB1AE4">
        <w:rPr>
          <w:rFonts w:cs="Times New Roman"/>
          <w:szCs w:val="24"/>
        </w:rPr>
        <w:t>.</w:t>
      </w:r>
    </w:p>
    <w:p w14:paraId="6A7B8CB0" w14:textId="7AA21BE1" w:rsidR="009722B0" w:rsidRPr="00EB1AE4" w:rsidRDefault="009722B0" w:rsidP="009722B0">
      <w:pPr>
        <w:rPr>
          <w:rFonts w:cs="Times New Roman"/>
          <w:szCs w:val="24"/>
        </w:rPr>
      </w:pPr>
      <w:r w:rsidRPr="00EB1AE4">
        <w:rPr>
          <w:rFonts w:cs="Times New Roman"/>
          <w:szCs w:val="24"/>
        </w:rPr>
        <w:t>In order to obtain the MPC</w:t>
      </w:r>
      <w:r w:rsidR="00454A55" w:rsidRPr="00EB1AE4">
        <w:rPr>
          <w:rFonts w:cs="Times New Roman"/>
          <w:szCs w:val="24"/>
        </w:rPr>
        <w:t xml:space="preserve">-based NPs </w:t>
      </w:r>
      <w:r w:rsidRPr="00EB1AE4">
        <w:rPr>
          <w:rFonts w:cs="Times New Roman"/>
          <w:szCs w:val="24"/>
        </w:rPr>
        <w:t xml:space="preserve">(25MPC30CL5), 52 </w:t>
      </w:r>
      <w:r w:rsidR="004C1D49" w:rsidRPr="00EB1AE4">
        <w:rPr>
          <w:rFonts w:cs="Times New Roman"/>
          <w:szCs w:val="24"/>
        </w:rPr>
        <w:t>m</w:t>
      </w:r>
      <w:r w:rsidRPr="00EB1AE4">
        <w:rPr>
          <w:rFonts w:cs="Times New Roman"/>
          <w:szCs w:val="24"/>
        </w:rPr>
        <w:t>g of 25MPC, 0</w:t>
      </w:r>
      <w:r w:rsidR="00454A55" w:rsidRPr="00EB1AE4">
        <w:rPr>
          <w:rFonts w:cs="Times New Roman"/>
          <w:szCs w:val="24"/>
        </w:rPr>
        <w:t>.</w:t>
      </w:r>
      <w:r w:rsidRPr="00EB1AE4">
        <w:rPr>
          <w:rFonts w:cs="Times New Roman"/>
          <w:szCs w:val="24"/>
        </w:rPr>
        <w:t>144 g of HEMA-CL</w:t>
      </w:r>
      <w:r w:rsidRPr="00EB1AE4">
        <w:rPr>
          <w:rFonts w:cs="Times New Roman"/>
          <w:szCs w:val="24"/>
          <w:vertAlign w:val="subscript"/>
        </w:rPr>
        <w:t>5</w:t>
      </w:r>
      <w:r w:rsidRPr="00EB1AE4">
        <w:rPr>
          <w:rFonts w:cs="Times New Roman"/>
          <w:szCs w:val="24"/>
        </w:rPr>
        <w:t xml:space="preserve"> and 0.6 mg of ACVA were dissolved in</w:t>
      </w:r>
      <w:r w:rsidR="00454A55" w:rsidRPr="00EB1AE4">
        <w:rPr>
          <w:rFonts w:cs="Times New Roman"/>
          <w:szCs w:val="24"/>
        </w:rPr>
        <w:t xml:space="preserve"> a mixture of ethanol/acetic buffer (10 mM, pH=4.5) 30/70 v/v</w:t>
      </w:r>
      <w:r w:rsidRPr="00EB1AE4">
        <w:rPr>
          <w:rFonts w:cs="Times New Roman"/>
          <w:szCs w:val="24"/>
        </w:rPr>
        <w:t>. The solution was purged by bubbling nitrogen for 15 minutes at room temperature and then heated to 65 °C in an oil bath under magnetic stirring. After 24</w:t>
      </w:r>
      <w:r w:rsidR="00454A55" w:rsidRPr="00EB1AE4">
        <w:rPr>
          <w:rFonts w:cs="Times New Roman"/>
          <w:szCs w:val="24"/>
        </w:rPr>
        <w:t xml:space="preserve"> </w:t>
      </w:r>
      <w:r w:rsidRPr="00EB1AE4">
        <w:rPr>
          <w:rFonts w:cs="Times New Roman"/>
          <w:szCs w:val="24"/>
        </w:rPr>
        <w:t xml:space="preserve">h, the NPs obtained were dialyzed against </w:t>
      </w:r>
      <w:r w:rsidR="00454A55" w:rsidRPr="00EB1AE4">
        <w:rPr>
          <w:rFonts w:cs="Times New Roman"/>
          <w:szCs w:val="24"/>
        </w:rPr>
        <w:t xml:space="preserve">deionized </w:t>
      </w:r>
      <w:r w:rsidRPr="00EB1AE4">
        <w:rPr>
          <w:rFonts w:cs="Times New Roman"/>
          <w:szCs w:val="24"/>
        </w:rPr>
        <w:t xml:space="preserve">water </w:t>
      </w:r>
      <w:r w:rsidR="00454A55" w:rsidRPr="00EB1AE4">
        <w:rPr>
          <w:rFonts w:cs="Times New Roman"/>
          <w:szCs w:val="24"/>
        </w:rPr>
        <w:t>as reported previously</w:t>
      </w:r>
      <w:r w:rsidRPr="00EB1AE4">
        <w:rPr>
          <w:rFonts w:cs="Times New Roman"/>
          <w:szCs w:val="24"/>
        </w:rPr>
        <w:t xml:space="preserve">. Size and polydispersity were analyzed through </w:t>
      </w:r>
      <w:r w:rsidRPr="00EB1AE4">
        <w:rPr>
          <w:szCs w:val="24"/>
        </w:rPr>
        <w:t>DLS analysis using a Malvern Zetasizer Nano ZS</w:t>
      </w:r>
      <w:r w:rsidRPr="00EB1AE4">
        <w:rPr>
          <w:rFonts w:cs="Times New Roman"/>
          <w:szCs w:val="24"/>
        </w:rPr>
        <w:t>.</w:t>
      </w:r>
    </w:p>
    <w:p w14:paraId="1253ECEA" w14:textId="77777777" w:rsidR="009722B0" w:rsidRPr="00EB1AE4" w:rsidRDefault="009722B0" w:rsidP="009722B0">
      <w:pPr>
        <w:pStyle w:val="Titolo2"/>
        <w:rPr>
          <w:b w:val="0"/>
          <w:i/>
        </w:rPr>
      </w:pPr>
      <w:r w:rsidRPr="00EB1AE4">
        <w:rPr>
          <w:b w:val="0"/>
          <w:i/>
        </w:rPr>
        <w:t>Concentration by Dialysis</w:t>
      </w:r>
    </w:p>
    <w:p w14:paraId="7FBD6633" w14:textId="23B5E9D9" w:rsidR="009722B0" w:rsidRPr="00EB1AE4" w:rsidRDefault="009722B0" w:rsidP="00EB1AE4">
      <w:pPr>
        <w:spacing w:after="160"/>
        <w:rPr>
          <w:szCs w:val="24"/>
          <w:shd w:val="clear" w:color="auto" w:fill="FFFFFF"/>
        </w:rPr>
      </w:pPr>
      <w:r w:rsidRPr="00EB1AE4">
        <w:rPr>
          <w:szCs w:val="24"/>
          <w:shd w:val="clear" w:color="auto" w:fill="FFFFFF"/>
        </w:rPr>
        <w:t xml:space="preserve">A weighted amount of the nanoparticle suspension (10 g) was introduced in a </w:t>
      </w:r>
      <w:r w:rsidR="004948C8">
        <w:rPr>
          <w:szCs w:val="24"/>
          <w:shd w:val="clear" w:color="auto" w:fill="FFFFFF"/>
        </w:rPr>
        <w:t xml:space="preserve">pre-weighted </w:t>
      </w:r>
      <w:r w:rsidRPr="00EB1AE4">
        <w:rPr>
          <w:szCs w:val="24"/>
          <w:shd w:val="clear" w:color="auto" w:fill="FFFFFF"/>
        </w:rPr>
        <w:t xml:space="preserve">dialysis bag </w:t>
      </w:r>
      <w:r w:rsidR="00CD489E" w:rsidRPr="00EB1AE4">
        <w:t xml:space="preserve">SnakeSkin Dialysis Tubing </w:t>
      </w:r>
      <w:r w:rsidRPr="00EB1AE4">
        <w:rPr>
          <w:szCs w:val="24"/>
        </w:rPr>
        <w:t>(3</w:t>
      </w:r>
      <w:r w:rsidR="00454A55" w:rsidRPr="00EB1AE4">
        <w:rPr>
          <w:szCs w:val="24"/>
        </w:rPr>
        <w:t xml:space="preserve">.5 kDa </w:t>
      </w:r>
      <w:r w:rsidR="00A763FC" w:rsidRPr="00EB1AE4">
        <w:rPr>
          <w:szCs w:val="24"/>
        </w:rPr>
        <w:t>M</w:t>
      </w:r>
      <w:r w:rsidR="00A763FC">
        <w:rPr>
          <w:szCs w:val="24"/>
        </w:rPr>
        <w:t>W</w:t>
      </w:r>
      <w:r w:rsidR="00A763FC" w:rsidRPr="00EB1AE4">
        <w:rPr>
          <w:szCs w:val="24"/>
        </w:rPr>
        <w:t>CO</w:t>
      </w:r>
      <w:r w:rsidRPr="00EB1AE4">
        <w:rPr>
          <w:szCs w:val="24"/>
          <w:shd w:val="clear" w:color="auto" w:fill="FFFFFF"/>
        </w:rPr>
        <w:t>) and dialyzed against a solution of PEG</w:t>
      </w:r>
      <w:r w:rsidRPr="00EB1AE4">
        <w:rPr>
          <w:szCs w:val="24"/>
          <w:shd w:val="clear" w:color="auto" w:fill="FFFFFF"/>
          <w:vertAlign w:val="subscript"/>
        </w:rPr>
        <w:t>8000</w:t>
      </w:r>
      <w:r w:rsidRPr="00EB1AE4">
        <w:rPr>
          <w:szCs w:val="24"/>
          <w:shd w:val="clear" w:color="auto" w:fill="FFFFFF"/>
        </w:rPr>
        <w:t xml:space="preserve"> at concentrations </w:t>
      </w:r>
      <w:r w:rsidR="0031301E" w:rsidRPr="00EB1AE4">
        <w:rPr>
          <w:szCs w:val="24"/>
          <w:shd w:val="clear" w:color="auto" w:fill="FFFFFF"/>
        </w:rPr>
        <w:t xml:space="preserve">ranging </w:t>
      </w:r>
      <w:r w:rsidRPr="00EB1AE4">
        <w:rPr>
          <w:szCs w:val="24"/>
          <w:shd w:val="clear" w:color="auto" w:fill="FFFFFF"/>
        </w:rPr>
        <w:t xml:space="preserve">from 20 to 180 g/L in water. The volume of the counter-dialysis medium ranged from 10 to </w:t>
      </w:r>
      <w:r w:rsidR="000902E2" w:rsidRPr="00EB1AE4">
        <w:rPr>
          <w:szCs w:val="24"/>
          <w:shd w:val="clear" w:color="auto" w:fill="FFFFFF"/>
        </w:rPr>
        <w:t xml:space="preserve">200 </w:t>
      </w:r>
      <w:r w:rsidRPr="00EB1AE4">
        <w:rPr>
          <w:szCs w:val="24"/>
          <w:shd w:val="clear" w:color="auto" w:fill="FFFFFF"/>
        </w:rPr>
        <w:t>mL and the dialysis was performed at room temperature</w:t>
      </w:r>
      <w:r w:rsidR="004948C8">
        <w:rPr>
          <w:szCs w:val="24"/>
          <w:shd w:val="clear" w:color="auto" w:fill="FFFFFF"/>
        </w:rPr>
        <w:t xml:space="preserve"> for 24 h</w:t>
      </w:r>
      <w:r w:rsidRPr="00EB1AE4">
        <w:rPr>
          <w:szCs w:val="24"/>
          <w:shd w:val="clear" w:color="auto" w:fill="FFFFFF"/>
        </w:rPr>
        <w:t xml:space="preserve">. </w:t>
      </w:r>
      <w:r w:rsidR="004948C8">
        <w:rPr>
          <w:szCs w:val="24"/>
          <w:shd w:val="clear" w:color="auto" w:fill="FFFFFF"/>
        </w:rPr>
        <w:t>At different time points, the dialysis tube was collected, carefully dripped and weighted to determine the loss of water from the NP suspension. Finally, it was placed again in the dialysis medium.</w:t>
      </w:r>
    </w:p>
    <w:p w14:paraId="2006A1CC" w14:textId="77777777" w:rsidR="009722B0" w:rsidRPr="00EB1AE4" w:rsidRDefault="009722B0" w:rsidP="009722B0">
      <w:pPr>
        <w:pStyle w:val="Titolo2"/>
        <w:rPr>
          <w:b w:val="0"/>
          <w:i/>
          <w:shd w:val="clear" w:color="auto" w:fill="FFFFFF"/>
        </w:rPr>
      </w:pPr>
      <w:r w:rsidRPr="00EB1AE4">
        <w:rPr>
          <w:b w:val="0"/>
          <w:i/>
          <w:shd w:val="clear" w:color="auto" w:fill="FFFFFF"/>
        </w:rPr>
        <w:t>Lyophilization</w:t>
      </w:r>
    </w:p>
    <w:p w14:paraId="53E2801E" w14:textId="7FCBF8F0" w:rsidR="0059349D" w:rsidRPr="00EB1AE4" w:rsidRDefault="009722B0" w:rsidP="009722B0">
      <w:pPr>
        <w:rPr>
          <w:rFonts w:cs="Times New Roman"/>
          <w:szCs w:val="24"/>
        </w:rPr>
      </w:pPr>
      <w:r w:rsidRPr="00EB1AE4">
        <w:rPr>
          <w:rFonts w:cs="Times New Roman"/>
          <w:szCs w:val="24"/>
        </w:rPr>
        <w:t xml:space="preserve">The </w:t>
      </w:r>
      <w:r w:rsidR="004C1D49" w:rsidRPr="00EB1AE4">
        <w:rPr>
          <w:rFonts w:cs="Times New Roman"/>
          <w:szCs w:val="24"/>
        </w:rPr>
        <w:t xml:space="preserve">NP </w:t>
      </w:r>
      <w:r w:rsidR="004B7C0F">
        <w:rPr>
          <w:rFonts w:cs="Times New Roman"/>
          <w:szCs w:val="24"/>
        </w:rPr>
        <w:t>suspension was diluted</w:t>
      </w:r>
      <w:r w:rsidRPr="00EB1AE4">
        <w:rPr>
          <w:rFonts w:cs="Times New Roman"/>
          <w:szCs w:val="24"/>
        </w:rPr>
        <w:t xml:space="preserve"> 3</w:t>
      </w:r>
      <w:r w:rsidR="0031301E" w:rsidRPr="00EB1AE4">
        <w:rPr>
          <w:rFonts w:cs="Times New Roman"/>
          <w:szCs w:val="24"/>
        </w:rPr>
        <w:t xml:space="preserve"> </w:t>
      </w:r>
      <w:r w:rsidRPr="00EB1AE4">
        <w:rPr>
          <w:rFonts w:cs="Times New Roman"/>
          <w:szCs w:val="24"/>
        </w:rPr>
        <w:t>mg/</w:t>
      </w:r>
      <w:r w:rsidR="000902E2" w:rsidRPr="00EB1AE4">
        <w:rPr>
          <w:rFonts w:cs="Times New Roman"/>
          <w:szCs w:val="24"/>
        </w:rPr>
        <w:t>ml</w:t>
      </w:r>
      <w:r w:rsidRPr="00EB1AE4">
        <w:rPr>
          <w:rFonts w:cs="Times New Roman"/>
          <w:szCs w:val="24"/>
        </w:rPr>
        <w:t xml:space="preserve">. In order to perform the </w:t>
      </w:r>
      <w:r w:rsidR="004B7C0F" w:rsidRPr="00EB1AE4">
        <w:rPr>
          <w:rFonts w:cs="Times New Roman"/>
          <w:szCs w:val="24"/>
        </w:rPr>
        <w:t>freeze</w:t>
      </w:r>
      <w:r w:rsidR="004B7C0F">
        <w:rPr>
          <w:rFonts w:cs="Times New Roman"/>
          <w:szCs w:val="24"/>
        </w:rPr>
        <w:t>-</w:t>
      </w:r>
      <w:r w:rsidRPr="00EB1AE4">
        <w:rPr>
          <w:rFonts w:cs="Times New Roman"/>
          <w:szCs w:val="24"/>
        </w:rPr>
        <w:t xml:space="preserve">drying process, </w:t>
      </w:r>
      <w:r w:rsidR="004C1D49" w:rsidRPr="00EB1AE4">
        <w:rPr>
          <w:rFonts w:cs="Times New Roman"/>
          <w:szCs w:val="24"/>
        </w:rPr>
        <w:t>a certain</w:t>
      </w:r>
      <w:r w:rsidRPr="00EB1AE4">
        <w:rPr>
          <w:rFonts w:cs="Times New Roman"/>
          <w:szCs w:val="24"/>
        </w:rPr>
        <w:t xml:space="preserve"> amount of glucose was added to 2 ml of </w:t>
      </w:r>
      <w:r w:rsidR="004C1D49" w:rsidRPr="00EB1AE4">
        <w:rPr>
          <w:rFonts w:cs="Times New Roman"/>
          <w:szCs w:val="24"/>
        </w:rPr>
        <w:t xml:space="preserve">NP </w:t>
      </w:r>
      <w:r w:rsidRPr="00EB1AE4">
        <w:rPr>
          <w:rFonts w:cs="Times New Roman"/>
          <w:szCs w:val="24"/>
        </w:rPr>
        <w:t>suspension, as cryoprotectant. Specifically, different concentrations of glucose were used: 0.1; 0.5; 1.0; 2.0 % w/w. Once the glucose was completely solubilized, the suspension was quickly frozen with liquid nitrogen and then lyophilized for 24</w:t>
      </w:r>
      <w:r w:rsidR="0031301E" w:rsidRPr="00EB1AE4">
        <w:rPr>
          <w:rFonts w:cs="Times New Roman"/>
          <w:szCs w:val="24"/>
        </w:rPr>
        <w:t xml:space="preserve"> </w:t>
      </w:r>
      <w:r w:rsidRPr="00EB1AE4">
        <w:rPr>
          <w:rFonts w:cs="Times New Roman"/>
          <w:szCs w:val="24"/>
        </w:rPr>
        <w:t>h. The freeze-dryer</w:t>
      </w:r>
      <w:r w:rsidR="002A6CBC" w:rsidRPr="00EB1AE4">
        <w:rPr>
          <w:rFonts w:cs="Times New Roman"/>
          <w:szCs w:val="24"/>
        </w:rPr>
        <w:t xml:space="preserve"> (Telstar Lyoquest-Eco55</w:t>
      </w:r>
      <w:r w:rsidR="00F80879" w:rsidRPr="00EB1AE4">
        <w:rPr>
          <w:rFonts w:cs="Times New Roman"/>
          <w:szCs w:val="24"/>
        </w:rPr>
        <w:t>)</w:t>
      </w:r>
      <w:r w:rsidRPr="00EB1AE4">
        <w:rPr>
          <w:rFonts w:cs="Times New Roman"/>
          <w:szCs w:val="24"/>
        </w:rPr>
        <w:t xml:space="preserve"> was set to -</w:t>
      </w:r>
      <w:r w:rsidR="000902E2" w:rsidRPr="00EB1AE4">
        <w:rPr>
          <w:rFonts w:cs="Times New Roman"/>
          <w:szCs w:val="24"/>
        </w:rPr>
        <w:t xml:space="preserve">56 </w:t>
      </w:r>
      <w:r w:rsidRPr="00EB1AE4">
        <w:rPr>
          <w:rFonts w:cs="Times New Roman"/>
          <w:szCs w:val="24"/>
        </w:rPr>
        <w:t xml:space="preserve">°C at a pressure of 0.1 mBar. After this procedure, the dried </w:t>
      </w:r>
      <w:r w:rsidR="004C1D49" w:rsidRPr="00EB1AE4">
        <w:rPr>
          <w:rFonts w:cs="Times New Roman"/>
          <w:szCs w:val="24"/>
        </w:rPr>
        <w:t xml:space="preserve">NPs </w:t>
      </w:r>
      <w:r w:rsidRPr="00EB1AE4">
        <w:rPr>
          <w:rFonts w:cs="Times New Roman"/>
          <w:szCs w:val="24"/>
        </w:rPr>
        <w:t>were re-dispersed in 2</w:t>
      </w:r>
      <w:r w:rsidR="0031301E" w:rsidRPr="00EB1AE4">
        <w:rPr>
          <w:rFonts w:cs="Times New Roman"/>
          <w:szCs w:val="24"/>
        </w:rPr>
        <w:t xml:space="preserve"> </w:t>
      </w:r>
      <w:r w:rsidRPr="00EB1AE4">
        <w:rPr>
          <w:rFonts w:cs="Times New Roman"/>
          <w:szCs w:val="24"/>
        </w:rPr>
        <w:t xml:space="preserve">mL of distilled water. The suspension obtained </w:t>
      </w:r>
      <w:r w:rsidR="008D68F1" w:rsidRPr="00EB1AE4">
        <w:rPr>
          <w:rFonts w:cs="Times New Roman"/>
          <w:szCs w:val="24"/>
        </w:rPr>
        <w:t>was analyzed</w:t>
      </w:r>
      <w:r w:rsidRPr="00EB1AE4">
        <w:rPr>
          <w:rFonts w:cs="Times New Roman"/>
          <w:szCs w:val="24"/>
        </w:rPr>
        <w:t xml:space="preserve"> via DLS to determine the particle size distribution and average hydrodynamic diameter.</w:t>
      </w:r>
    </w:p>
    <w:p w14:paraId="174A2E71" w14:textId="37F24873" w:rsidR="0059349D" w:rsidRPr="005318AE" w:rsidRDefault="0059349D" w:rsidP="005318AE">
      <w:pPr>
        <w:pStyle w:val="Titolo2"/>
        <w:ind w:left="567" w:hanging="567"/>
        <w:rPr>
          <w:b w:val="0"/>
          <w:i/>
          <w:shd w:val="clear" w:color="auto" w:fill="FFFFFF"/>
        </w:rPr>
      </w:pPr>
      <w:r w:rsidRPr="005318AE">
        <w:rPr>
          <w:b w:val="0"/>
          <w:i/>
          <w:shd w:val="clear" w:color="auto" w:fill="FFFFFF"/>
        </w:rPr>
        <w:lastRenderedPageBreak/>
        <w:t>Characterization technique</w:t>
      </w:r>
      <w:r w:rsidR="004C1D49" w:rsidRPr="005318AE">
        <w:rPr>
          <w:b w:val="0"/>
          <w:i/>
          <w:shd w:val="clear" w:color="auto" w:fill="FFFFFF"/>
        </w:rPr>
        <w:t>s</w:t>
      </w:r>
    </w:p>
    <w:p w14:paraId="5AD35E54" w14:textId="5FAB566A" w:rsidR="0059349D" w:rsidRPr="00EB1AE4" w:rsidRDefault="0059349D" w:rsidP="009722B0">
      <w:r w:rsidRPr="00EB1AE4">
        <w:t xml:space="preserve">The structure and the effective number of repeating units composing the polymer chains were determined by characterizing all the macromonomers and the polymers synthesized </w:t>
      </w:r>
      <w:r w:rsidR="004B7C0F">
        <w:rPr>
          <w:i/>
        </w:rPr>
        <w:t>via</w:t>
      </w:r>
      <w:r w:rsidR="004B7C0F" w:rsidRPr="00EB1AE4">
        <w:t xml:space="preserve"> </w:t>
      </w:r>
      <w:r w:rsidRPr="00EB1AE4">
        <w:rPr>
          <w:vertAlign w:val="superscript"/>
        </w:rPr>
        <w:t>1</w:t>
      </w:r>
      <w:r w:rsidRPr="00EB1AE4">
        <w:t xml:space="preserve">H NMR analysis, performed </w:t>
      </w:r>
      <w:r w:rsidR="002A6CBC" w:rsidRPr="00EB1AE4">
        <w:t xml:space="preserve">on </w:t>
      </w:r>
      <w:r w:rsidRPr="00EB1AE4">
        <w:t xml:space="preserve">a </w:t>
      </w:r>
      <w:r w:rsidR="002A6CBC" w:rsidRPr="00EB1AE4">
        <w:t xml:space="preserve">Bruker </w:t>
      </w:r>
      <w:r w:rsidRPr="00EB1AE4">
        <w:t xml:space="preserve">400 MHz </w:t>
      </w:r>
      <w:r w:rsidR="002A6CBC" w:rsidRPr="00EB1AE4">
        <w:t>spectrometer</w:t>
      </w:r>
      <w:r w:rsidRPr="00EB1AE4">
        <w:t xml:space="preserve">. The average molecular weight (MW) and the MW distribution were characterized using </w:t>
      </w:r>
      <w:r w:rsidR="00A56479" w:rsidRPr="00EB1AE4">
        <w:t xml:space="preserve">either aqueous </w:t>
      </w:r>
      <w:r w:rsidR="004B7C0F">
        <w:t>or</w:t>
      </w:r>
      <w:r w:rsidR="004B7C0F" w:rsidRPr="00EB1AE4">
        <w:t xml:space="preserve"> </w:t>
      </w:r>
      <w:r w:rsidR="00A56479" w:rsidRPr="00EB1AE4">
        <w:t xml:space="preserve">organic </w:t>
      </w:r>
      <w:r w:rsidRPr="00EB1AE4">
        <w:t>size exclusion chromatography (SEC) analysis</w:t>
      </w:r>
      <w:r w:rsidR="00A56479" w:rsidRPr="00EB1AE4">
        <w:t>. The organic SEC was performed</w:t>
      </w:r>
      <w:r w:rsidRPr="00EB1AE4">
        <w:t xml:space="preserve"> </w:t>
      </w:r>
      <w:r w:rsidR="00A56479" w:rsidRPr="00EB1AE4">
        <w:t xml:space="preserve">using </w:t>
      </w:r>
      <w:r w:rsidRPr="00EB1AE4">
        <w:t xml:space="preserve">THF as eluent </w:t>
      </w:r>
      <w:r w:rsidR="004B7C0F">
        <w:t>at</w:t>
      </w:r>
      <w:r w:rsidRPr="00EB1AE4">
        <w:t xml:space="preserve"> 1 </w:t>
      </w:r>
      <w:r w:rsidR="000902E2" w:rsidRPr="00EB1AE4">
        <w:t>ml</w:t>
      </w:r>
      <w:r w:rsidRPr="00EB1AE4">
        <w:t xml:space="preserve">/min flow rate </w:t>
      </w:r>
      <w:r w:rsidR="004B7C0F">
        <w:t>and</w:t>
      </w:r>
      <w:r w:rsidR="004F14DE" w:rsidRPr="00EB1AE4">
        <w:t xml:space="preserve"> 35 °C</w:t>
      </w:r>
      <w:r w:rsidRPr="00EB1AE4">
        <w:t>. The instrument (</w:t>
      </w:r>
      <w:r w:rsidR="000902E2" w:rsidRPr="00EB1AE4">
        <w:t>Jasco 2000 series</w:t>
      </w:r>
      <w:r w:rsidRPr="00EB1AE4">
        <w:t>) was equipped with differential refractive index (RI) three PL gel columns (Polymer laboratories Ltd., UK; two columns had pore sizes of the M</w:t>
      </w:r>
      <w:r w:rsidR="002A6CBC" w:rsidRPr="00EB1AE4">
        <w:t>ixed-C</w:t>
      </w:r>
      <w:r w:rsidRPr="00EB1AE4">
        <w:t xml:space="preserve"> type and one was an oligopore; 300 mm length and 7.5 mm ID) and a precolumn. A universal calibration was applied based on polystyrene (PS) standards from 580 Da to 3,250,000 Da (Polymer Laboratories). </w:t>
      </w:r>
      <w:r w:rsidR="00600DC6" w:rsidRPr="00EB1AE4">
        <w:t xml:space="preserve">Whereas </w:t>
      </w:r>
      <w:r w:rsidR="00A56479" w:rsidRPr="00EB1AE4">
        <w:t>the aqueous SEC</w:t>
      </w:r>
      <w:r w:rsidR="00600DC6" w:rsidRPr="00EB1AE4">
        <w:t xml:space="preserve"> w</w:t>
      </w:r>
      <w:r w:rsidR="00A56479" w:rsidRPr="00EB1AE4">
        <w:t>as</w:t>
      </w:r>
      <w:r w:rsidR="00600DC6" w:rsidRPr="00EB1AE4">
        <w:t xml:space="preserve"> </w:t>
      </w:r>
      <w:r w:rsidR="00A56479" w:rsidRPr="00EB1AE4">
        <w:t>performed using</w:t>
      </w:r>
      <w:r w:rsidR="00600DC6" w:rsidRPr="00EB1AE4">
        <w:t xml:space="preserve"> </w:t>
      </w:r>
      <w:r w:rsidR="00FB0380" w:rsidRPr="00EB1AE4">
        <w:t>a mixture of 0.05 M Na</w:t>
      </w:r>
      <w:r w:rsidR="00FB0380" w:rsidRPr="005318AE">
        <w:rPr>
          <w:vertAlign w:val="subscript"/>
        </w:rPr>
        <w:t>2</w:t>
      </w:r>
      <w:r w:rsidR="00FB0380" w:rsidRPr="00EB1AE4">
        <w:t>SO</w:t>
      </w:r>
      <w:r w:rsidR="00FB0380" w:rsidRPr="005318AE">
        <w:rPr>
          <w:vertAlign w:val="subscript"/>
        </w:rPr>
        <w:t>4</w:t>
      </w:r>
      <w:r w:rsidR="00FB0380" w:rsidRPr="00EB1AE4">
        <w:t xml:space="preserve"> water solution and acetonitrile (ACN) 80/20 </w:t>
      </w:r>
      <w:r w:rsidR="000902E2" w:rsidRPr="00EB1AE4">
        <w:t>v</w:t>
      </w:r>
      <w:r w:rsidR="00FB0380" w:rsidRPr="00EB1AE4">
        <w:t>/</w:t>
      </w:r>
      <w:r w:rsidR="000902E2" w:rsidRPr="00EB1AE4">
        <w:t>v</w:t>
      </w:r>
      <w:r w:rsidR="00FB0380" w:rsidRPr="00EB1AE4">
        <w:t xml:space="preserve"> </w:t>
      </w:r>
      <w:r w:rsidR="00600DC6" w:rsidRPr="00EB1AE4">
        <w:t xml:space="preserve">and a </w:t>
      </w:r>
      <w:r w:rsidR="00FB0380" w:rsidRPr="00EB1AE4">
        <w:t>0.5</w:t>
      </w:r>
      <w:r w:rsidR="00600DC6" w:rsidRPr="00EB1AE4">
        <w:t xml:space="preserve"> m</w:t>
      </w:r>
      <w:r w:rsidR="000902E2" w:rsidRPr="00EB1AE4">
        <w:t>l</w:t>
      </w:r>
      <w:r w:rsidR="00600DC6" w:rsidRPr="00EB1AE4">
        <w:t>/min flow rate at a temperature of 35 °C. The instrument (</w:t>
      </w:r>
      <w:r w:rsidR="000902E2" w:rsidRPr="00EB1AE4">
        <w:t>Jasco 2000 series</w:t>
      </w:r>
      <w:r w:rsidR="00600DC6" w:rsidRPr="00EB1AE4">
        <w:t>) was equipped with differential refractive index (RI</w:t>
      </w:r>
      <w:r w:rsidR="00FB0380" w:rsidRPr="00EB1AE4">
        <w:t>) and three Suprema columns (Polymer Standards Service; particle size 10 mm, pore sizes of 100, 1000, and 3000 Å)</w:t>
      </w:r>
      <w:r w:rsidR="00600DC6" w:rsidRPr="00EB1AE4">
        <w:t xml:space="preserve"> and a precolumn. A universal calibration was applied based on </w:t>
      </w:r>
      <w:r w:rsidR="004B7C0F">
        <w:t>PEG</w:t>
      </w:r>
      <w:r w:rsidR="00A56479" w:rsidRPr="00EB1AE4">
        <w:t xml:space="preserve"> standards </w:t>
      </w:r>
      <w:r w:rsidR="00600DC6" w:rsidRPr="00EB1AE4">
        <w:t>(Polymer Laboratories</w:t>
      </w:r>
      <w:r w:rsidR="00FB0380" w:rsidRPr="00EB1AE4">
        <w:t>).</w:t>
      </w:r>
      <w:r w:rsidR="00600DC6" w:rsidRPr="00EB1AE4">
        <w:t xml:space="preserve"> </w:t>
      </w:r>
      <w:r w:rsidRPr="00EB1AE4">
        <w:t>DLS measurements were performed with a Malvern Zetasizer Nano ZS</w:t>
      </w:r>
      <w:r w:rsidR="000902E2" w:rsidRPr="00EB1AE4">
        <w:t xml:space="preserve"> at a scattering angle of 173°</w:t>
      </w:r>
      <w:r w:rsidRPr="00EB1AE4">
        <w:t>. The sample was filtered with a 0.45</w:t>
      </w:r>
      <w:r w:rsidR="002A6CBC" w:rsidRPr="00EB1AE4">
        <w:t xml:space="preserve"> </w:t>
      </w:r>
      <w:r w:rsidR="002A6CBC" w:rsidRPr="00EB1AE4">
        <w:rPr>
          <w:rFonts w:cs="Times New Roman"/>
        </w:rPr>
        <w:t>μ</w:t>
      </w:r>
      <w:r w:rsidRPr="00EB1AE4">
        <w:t>m syringe filter to remove dust</w:t>
      </w:r>
      <w:r w:rsidR="005E46E3">
        <w:t xml:space="preserve"> and diluted to 0.5% w/w with pre-filtered deionized water before the measurement. Three independent measurements, 11 runs each, were taken. Both PEGylated and MPC-based NPs were analyzed before and after the concentration, either through lyophilization or dialysis. In particular, after concentration, the NP suspension was diluted to 0.5% w/w with pre-filtered deionized water and vortex-mixed for 30 seconds before the analysis.</w:t>
      </w:r>
    </w:p>
    <w:p w14:paraId="47C036AD" w14:textId="77777777" w:rsidR="00047990" w:rsidRPr="00EB1AE4" w:rsidRDefault="00047990">
      <w:pPr>
        <w:spacing w:after="160" w:line="259" w:lineRule="auto"/>
        <w:jc w:val="left"/>
        <w:rPr>
          <w:rFonts w:cs="Times New Roman"/>
          <w:szCs w:val="24"/>
        </w:rPr>
      </w:pPr>
    </w:p>
    <w:p w14:paraId="42131DFB" w14:textId="77777777" w:rsidR="00047990" w:rsidRPr="00EB1AE4" w:rsidRDefault="00047990">
      <w:pPr>
        <w:spacing w:after="160" w:line="259" w:lineRule="auto"/>
        <w:jc w:val="left"/>
        <w:rPr>
          <w:rFonts w:cs="Times New Roman"/>
          <w:szCs w:val="24"/>
        </w:rPr>
      </w:pPr>
    </w:p>
    <w:p w14:paraId="512E2494" w14:textId="59693387" w:rsidR="00D41832" w:rsidRPr="00EB1AE4" w:rsidRDefault="00047990" w:rsidP="002C53C4">
      <w:pPr>
        <w:pStyle w:val="Titolo1"/>
      </w:pPr>
      <w:r w:rsidRPr="00EB1AE4">
        <w:lastRenderedPageBreak/>
        <w:t>Results and discussion</w:t>
      </w:r>
    </w:p>
    <w:p w14:paraId="4F855C95" w14:textId="14591C5B" w:rsidR="00D41832" w:rsidRPr="00EB1AE4" w:rsidRDefault="00F35AB3" w:rsidP="003A4572">
      <w:pPr>
        <w:pStyle w:val="Titolo2"/>
        <w:rPr>
          <w:b w:val="0"/>
          <w:i/>
        </w:rPr>
      </w:pPr>
      <w:r w:rsidRPr="00EB1AE4">
        <w:rPr>
          <w:b w:val="0"/>
          <w:i/>
        </w:rPr>
        <w:t>NP synthesis</w:t>
      </w:r>
    </w:p>
    <w:p w14:paraId="5C5D667C" w14:textId="4EEF974D" w:rsidR="00400610" w:rsidRPr="00EB1AE4" w:rsidRDefault="007A7DDE" w:rsidP="00400610">
      <w:r w:rsidRPr="00EB1AE4">
        <w:t xml:space="preserve">First, </w:t>
      </w:r>
      <w:r w:rsidR="00267850" w:rsidRPr="00EB1AE4">
        <w:t xml:space="preserve">we synthesized </w:t>
      </w:r>
      <w:r w:rsidRPr="00EB1AE4">
        <w:t>t</w:t>
      </w:r>
      <w:r w:rsidR="00F50180" w:rsidRPr="00EB1AE4">
        <w:t xml:space="preserve">wo types of </w:t>
      </w:r>
      <w:r w:rsidRPr="00EB1AE4">
        <w:t xml:space="preserve">NPs </w:t>
      </w:r>
      <w:r w:rsidR="00F50180" w:rsidRPr="00EB1AE4">
        <w:t xml:space="preserve">composed </w:t>
      </w:r>
      <w:r w:rsidR="00E16254">
        <w:t>of</w:t>
      </w:r>
      <w:r w:rsidR="00E16254" w:rsidRPr="00EB1AE4">
        <w:t xml:space="preserve"> </w:t>
      </w:r>
      <w:r w:rsidR="00F50180" w:rsidRPr="00EB1AE4">
        <w:t xml:space="preserve">amphiphilic </w:t>
      </w:r>
      <w:r w:rsidRPr="00EB1AE4">
        <w:t>block-</w:t>
      </w:r>
      <w:r w:rsidR="00F50180" w:rsidRPr="00EB1AE4">
        <w:t xml:space="preserve">copolymers </w:t>
      </w:r>
      <w:r w:rsidR="00CB2FF1" w:rsidRPr="00EB1AE4">
        <w:t>with the same lipophilic part but different hydrophilic block</w:t>
      </w:r>
      <w:r w:rsidR="00796DBF" w:rsidRPr="00EB1AE4">
        <w:t>s</w:t>
      </w:r>
      <w:r w:rsidR="00267850" w:rsidRPr="00EB1AE4">
        <w:t>. The synthesis is achieved by a combination of ROP and RAFT polymerization,</w:t>
      </w:r>
      <w:r w:rsidR="00230F55" w:rsidRPr="00EB1AE4">
        <w:t xml:space="preserve"> as shown in </w:t>
      </w:r>
      <w:r w:rsidR="000D2EA2" w:rsidRPr="00EB1AE4">
        <w:rPr>
          <w:b/>
        </w:rPr>
        <w:t>Scheme 1</w:t>
      </w:r>
      <w:r w:rsidR="00F50180" w:rsidRPr="00EB1AE4">
        <w:t>.</w:t>
      </w:r>
    </w:p>
    <w:p w14:paraId="3E10771C" w14:textId="17709B1F" w:rsidR="00D306BC" w:rsidRPr="00EB1AE4" w:rsidRDefault="00F50180" w:rsidP="00D41832">
      <w:r w:rsidRPr="00EB1AE4">
        <w:t>In the firs</w:t>
      </w:r>
      <w:r w:rsidR="00141BBA" w:rsidRPr="00EB1AE4">
        <w:t xml:space="preserve">t step, the oligoester </w:t>
      </w:r>
      <w:r w:rsidR="007A7DDE" w:rsidRPr="00EB1AE4">
        <w:t xml:space="preserve">macromonomer adopted for the synthesis of </w:t>
      </w:r>
      <w:r w:rsidR="00141BBA" w:rsidRPr="00EB1AE4">
        <w:t xml:space="preserve">the lipophilic core of the </w:t>
      </w:r>
      <w:r w:rsidR="007A7DDE" w:rsidRPr="00EB1AE4">
        <w:t xml:space="preserve">NPs </w:t>
      </w:r>
      <w:r w:rsidR="00141BBA" w:rsidRPr="00EB1AE4">
        <w:t xml:space="preserve">was produced </w:t>
      </w:r>
      <w:r w:rsidR="00541846" w:rsidRPr="00EB1AE4">
        <w:t xml:space="preserve">through </w:t>
      </w:r>
      <w:r w:rsidR="00141BBA" w:rsidRPr="00EB1AE4">
        <w:t>ROP</w:t>
      </w:r>
      <w:r w:rsidR="00775F8E" w:rsidRPr="00EB1AE4">
        <w:t xml:space="preserve"> </w:t>
      </w:r>
      <w:r w:rsidR="007A7DDE" w:rsidRPr="00EB1AE4">
        <w:t xml:space="preserve">of </w:t>
      </w:r>
      <w:r w:rsidR="00775F8E" w:rsidRPr="00EB1AE4">
        <w:t xml:space="preserve">CL </w:t>
      </w:r>
      <w:r w:rsidR="007A7DDE" w:rsidRPr="00EB1AE4">
        <w:t xml:space="preserve">using </w:t>
      </w:r>
      <w:r w:rsidR="00775F8E" w:rsidRPr="00EB1AE4">
        <w:t>HEMA as initiator</w:t>
      </w:r>
      <w:r w:rsidR="00141BBA" w:rsidRPr="00EB1AE4">
        <w:t xml:space="preserve">. </w:t>
      </w:r>
      <w:r w:rsidR="007A7DDE" w:rsidRPr="00EB1AE4">
        <w:t>The good control offered by the ROP enabled</w:t>
      </w:r>
      <w:r w:rsidR="00541846" w:rsidRPr="00EB1AE4">
        <w:t xml:space="preserve"> us</w:t>
      </w:r>
      <w:r w:rsidR="007A7DDE" w:rsidRPr="00EB1AE4">
        <w:t xml:space="preserve"> to obtain an oligoester</w:t>
      </w:r>
      <w:r w:rsidR="00834A21" w:rsidRPr="00EB1AE4">
        <w:t xml:space="preserve"> (HEMA-CL</w:t>
      </w:r>
      <w:r w:rsidR="00834A21" w:rsidRPr="005318AE">
        <w:rPr>
          <w:vertAlign w:val="subscript"/>
        </w:rPr>
        <w:t>5</w:t>
      </w:r>
      <w:r w:rsidR="00834A21" w:rsidRPr="00EB1AE4">
        <w:t>)</w:t>
      </w:r>
      <w:r w:rsidR="007A7DDE" w:rsidRPr="00EB1AE4">
        <w:t xml:space="preserve"> with an average degree of polymerization (</w:t>
      </w:r>
      <w:r w:rsidR="007A7DDE" w:rsidRPr="00EB1AE4">
        <w:rPr>
          <w:i/>
        </w:rPr>
        <w:t>q</w:t>
      </w:r>
      <w:r w:rsidR="007A7DDE" w:rsidRPr="00EB1AE4">
        <w:t xml:space="preserve">) close to </w:t>
      </w:r>
      <w:r w:rsidR="0000112E" w:rsidRPr="00EB1AE4">
        <w:t xml:space="preserve">the target of </w:t>
      </w:r>
      <w:r w:rsidR="007A7DDE" w:rsidRPr="00EB1AE4">
        <w:t xml:space="preserve">5 </w:t>
      </w:r>
      <w:r w:rsidR="0095100E" w:rsidRPr="00EB1AE4">
        <w:t>(see</w:t>
      </w:r>
      <w:r w:rsidR="007A7DDE" w:rsidRPr="00EB1AE4">
        <w:t xml:space="preserve"> </w:t>
      </w:r>
      <w:r w:rsidR="007A7DDE" w:rsidRPr="00EB1AE4">
        <w:rPr>
          <w:b/>
        </w:rPr>
        <w:t>Figure S1</w:t>
      </w:r>
      <w:r w:rsidR="007A7DDE" w:rsidRPr="00EB1AE4">
        <w:t xml:space="preserve"> and </w:t>
      </w:r>
      <w:r w:rsidR="007A7DDE" w:rsidRPr="00EB1AE4">
        <w:rPr>
          <w:b/>
        </w:rPr>
        <w:t>Table 1</w:t>
      </w:r>
      <w:r w:rsidR="0095100E" w:rsidRPr="00EB1AE4">
        <w:rPr>
          <w:b/>
        </w:rPr>
        <w:t>)</w:t>
      </w:r>
      <w:r w:rsidR="007A7DDE" w:rsidRPr="00EB1AE4">
        <w:t xml:space="preserve"> and able </w:t>
      </w:r>
      <w:r w:rsidR="004C7341" w:rsidRPr="00EB1AE4">
        <w:t xml:space="preserve">to further polymerize </w:t>
      </w:r>
      <w:r w:rsidR="004C7341" w:rsidRPr="00EB1AE4">
        <w:rPr>
          <w:i/>
        </w:rPr>
        <w:t>via</w:t>
      </w:r>
      <w:r w:rsidR="004C7341" w:rsidRPr="00EB1AE4">
        <w:t xml:space="preserve"> free radical chemistry</w:t>
      </w:r>
      <w:r w:rsidR="0095100E" w:rsidRPr="00EB1AE4">
        <w:t xml:space="preserve"> due to the vinyl bond of HEMA</w:t>
      </w:r>
      <w:r w:rsidR="004C7341" w:rsidRPr="00EB1AE4">
        <w:t>.</w:t>
      </w:r>
    </w:p>
    <w:p w14:paraId="26D5A385" w14:textId="058975DB" w:rsidR="00D055DD" w:rsidRPr="00EB1AE4" w:rsidRDefault="00E95FE8" w:rsidP="00D41832">
      <w:pPr>
        <w:rPr>
          <w:i/>
        </w:rPr>
      </w:pPr>
      <w:r w:rsidRPr="00EB1AE4">
        <w:t>In the second step, t</w:t>
      </w:r>
      <w:r w:rsidR="00DB5172" w:rsidRPr="00EB1AE4">
        <w:t>he</w:t>
      </w:r>
      <w:r w:rsidRPr="00EB1AE4">
        <w:t xml:space="preserve"> hydrophilic </w:t>
      </w:r>
      <w:r w:rsidR="0000112E" w:rsidRPr="00EB1AE4">
        <w:t xml:space="preserve">macro CTAs </w:t>
      </w:r>
      <w:r w:rsidR="00775F8E" w:rsidRPr="00EB1AE4">
        <w:t>(</w:t>
      </w:r>
      <w:r w:rsidR="003C124B" w:rsidRPr="00EB1AE4">
        <w:t>25</w:t>
      </w:r>
      <w:r w:rsidR="00775F8E" w:rsidRPr="00EB1AE4">
        <w:t xml:space="preserve">MPC and </w:t>
      </w:r>
      <w:r w:rsidR="003C124B" w:rsidRPr="00EB1AE4">
        <w:t>5</w:t>
      </w:r>
      <w:r w:rsidR="00775F8E" w:rsidRPr="00EB1AE4">
        <w:t>PEG</w:t>
      </w:r>
      <w:r w:rsidR="00162060" w:rsidRPr="00EB1AE4">
        <w:t>MA</w:t>
      </w:r>
      <w:r w:rsidR="003C124B" w:rsidRPr="00EB1AE4">
        <w:rPr>
          <w:vertAlign w:val="subscript"/>
        </w:rPr>
        <w:t>2000</w:t>
      </w:r>
      <w:r w:rsidR="00775F8E" w:rsidRPr="00EB1AE4">
        <w:t xml:space="preserve">) were synthesized </w:t>
      </w:r>
      <w:r w:rsidR="00775F8E" w:rsidRPr="00EB1AE4">
        <w:rPr>
          <w:i/>
        </w:rPr>
        <w:t>via</w:t>
      </w:r>
      <w:r w:rsidR="00775F8E" w:rsidRPr="00EB1AE4">
        <w:t xml:space="preserve"> RAFT </w:t>
      </w:r>
      <w:r w:rsidR="00FB6906" w:rsidRPr="00EB1AE4">
        <w:t xml:space="preserve">solution </w:t>
      </w:r>
      <w:r w:rsidR="00775F8E" w:rsidRPr="00EB1AE4">
        <w:t xml:space="preserve">polymerization. </w:t>
      </w:r>
      <w:r w:rsidR="0095100E" w:rsidRPr="00EB1AE4">
        <w:t>Also in this case, it was possible to tune the average degree of polymerization (</w:t>
      </w:r>
      <w:r w:rsidR="0095100E" w:rsidRPr="00EB1AE4">
        <w:rPr>
          <w:i/>
        </w:rPr>
        <w:t>n</w:t>
      </w:r>
      <w:r w:rsidR="0095100E" w:rsidRPr="00EB1AE4">
        <w:t>) to the target values of 5 for the PEGMA and 25 for the polyMPC (</w:t>
      </w:r>
      <w:r w:rsidR="00693EA7" w:rsidRPr="00EB1AE4">
        <w:t xml:space="preserve">full </w:t>
      </w:r>
      <w:r w:rsidR="00D055DD" w:rsidRPr="00EB1AE4">
        <w:t xml:space="preserve">NMR </w:t>
      </w:r>
      <w:r w:rsidR="00693EA7" w:rsidRPr="00EB1AE4">
        <w:t xml:space="preserve">characterization in </w:t>
      </w:r>
      <w:r w:rsidR="00693EA7" w:rsidRPr="00EB1AE4">
        <w:rPr>
          <w:b/>
        </w:rPr>
        <w:t xml:space="preserve">Figures S2 </w:t>
      </w:r>
      <w:r w:rsidR="00693EA7" w:rsidRPr="00EB1AE4">
        <w:t xml:space="preserve">and </w:t>
      </w:r>
      <w:r w:rsidR="00693EA7" w:rsidRPr="00EB1AE4">
        <w:rPr>
          <w:b/>
        </w:rPr>
        <w:t>S3</w:t>
      </w:r>
      <w:r w:rsidR="00D055DD" w:rsidRPr="00EB1AE4">
        <w:t>, respectively,</w:t>
      </w:r>
      <w:r w:rsidR="00693EA7" w:rsidRPr="00EB1AE4">
        <w:t xml:space="preserve"> and details in</w:t>
      </w:r>
      <w:r w:rsidR="0095100E" w:rsidRPr="00EB1AE4">
        <w:t xml:space="preserve"> </w:t>
      </w:r>
      <w:r w:rsidR="0095100E" w:rsidRPr="00EB1AE4">
        <w:rPr>
          <w:b/>
        </w:rPr>
        <w:t>Table 1</w:t>
      </w:r>
      <w:r w:rsidR="0095100E" w:rsidRPr="00EB1AE4">
        <w:t>)</w:t>
      </w:r>
      <w:r w:rsidR="0000112E" w:rsidRPr="00EB1AE4">
        <w:t xml:space="preserve"> by simply modulating the mole ratio between the monomer and CTA</w:t>
      </w:r>
      <w:r w:rsidR="0095100E" w:rsidRPr="00EB1AE4">
        <w:t>. The good control of the RAFT over the polymerization is then testified by the narrow molecular weight distribution, with polydispersity (</w:t>
      </w:r>
      <w:r w:rsidR="00DA1293" w:rsidRPr="00EB1AE4">
        <w:rPr>
          <w:rFonts w:cs="Times New Roman"/>
        </w:rPr>
        <w:t>Ð</w:t>
      </w:r>
      <w:r w:rsidR="0095100E" w:rsidRPr="00EB1AE4">
        <w:t>) lower than 1.3</w:t>
      </w:r>
      <w:r w:rsidR="00D055DD" w:rsidRPr="00EB1AE4">
        <w:t>, as expected for a pseudo-living polymerization</w:t>
      </w:r>
      <w:r w:rsidR="00BE213A">
        <w:fldChar w:fldCharType="begin" w:fldLock="1"/>
      </w:r>
      <w:r w:rsidR="00475714">
        <w:instrText>ADDIN CSL_CITATION {"citationItems":[{"id":"ITEM-1","itemData":{"DOI":"10.1039/C8RE00221E","ISSN":"2058-9883","abstract":"The RAFT copolymerization of oppositely-charged monomers is studied to optimize the composition of polyampholytes with an UCST behaviour and nonfouling properties.","author":[{"dropping-particle":"","family":"Sponchioni","given":"Mattia","non-dropping-particle":"","parse-names":false,"suffix":""},{"dropping-particle":"","family":"Capasso Palmiero","given":"Umberto","non-dropping-particle":"","parse-names":false,"suffix":""},{"dropping-particle":"","family":"Manfredini","given":"Nicolò","non-dropping-particle":"","parse-names":false,"suffix":""},{"dropping-particle":"","family":"Moscatelli","given":"Davide","non-dropping-particle":"","parse-names":false,"suffix":""}],"container-title":"Reaction Chemistry &amp; Engineering","id":"ITEM-1","issue":"2","issued":{"date-parts":[["2019"]]},"page":"436-446","title":"RAFT copolymerization of oppositely charged monomers and its use to tailor the composition of nonfouling polyampholytes with an UCST behaviour","type":"article-journal","volume":"4"},"uris":["http://www.mendeley.com/documents/?uuid=f34b7655-d9f9-368a-91dd-4e0a338511af"]}],"mendeley":{"formattedCitation":"&lt;sup&gt;46&lt;/sup&gt;","plainTextFormattedCitation":"46","previouslyFormattedCitation":"&lt;sup&gt;46&lt;/sup&gt;"},"properties":{"noteIndex":0},"schema":"https://github.com/citation-style-language/schema/raw/master/csl-citation.json"}</w:instrText>
      </w:r>
      <w:r w:rsidR="00BE213A">
        <w:fldChar w:fldCharType="separate"/>
      </w:r>
      <w:r w:rsidR="00BE213A" w:rsidRPr="00BE213A">
        <w:rPr>
          <w:noProof/>
          <w:vertAlign w:val="superscript"/>
        </w:rPr>
        <w:t>46</w:t>
      </w:r>
      <w:r w:rsidR="00BE213A">
        <w:fldChar w:fldCharType="end"/>
      </w:r>
      <w:r w:rsidR="0095100E" w:rsidRPr="00EB1AE4">
        <w:t>.</w:t>
      </w:r>
    </w:p>
    <w:p w14:paraId="5B6F81DF" w14:textId="268B3B51" w:rsidR="0049417E" w:rsidRPr="00EB1AE4" w:rsidRDefault="00D055DD" w:rsidP="00D41832">
      <w:r w:rsidRPr="00EB1AE4">
        <w:t>Finally</w:t>
      </w:r>
      <w:r w:rsidR="00775F8E" w:rsidRPr="00EB1AE4">
        <w:t xml:space="preserve">, </w:t>
      </w:r>
      <w:r w:rsidR="00903D66" w:rsidRPr="00EB1AE4">
        <w:t xml:space="preserve">we chain-extended </w:t>
      </w:r>
      <w:r w:rsidR="00775F8E" w:rsidRPr="00EB1AE4">
        <w:t xml:space="preserve">the </w:t>
      </w:r>
      <w:r w:rsidR="00064E03" w:rsidRPr="00EB1AE4">
        <w:t>macro</w:t>
      </w:r>
      <w:r w:rsidR="00693EA7" w:rsidRPr="00EB1AE4">
        <w:t xml:space="preserve"> CTAs </w:t>
      </w:r>
      <w:r w:rsidR="0095100E" w:rsidRPr="00EB1AE4">
        <w:t xml:space="preserve">produced in this step with </w:t>
      </w:r>
      <w:r w:rsidR="00903D66" w:rsidRPr="00EB1AE4">
        <w:t>HEMA-CL</w:t>
      </w:r>
      <w:r w:rsidR="00903D66" w:rsidRPr="005318AE">
        <w:rPr>
          <w:vertAlign w:val="subscript"/>
        </w:rPr>
        <w:t>5</w:t>
      </w:r>
      <w:r w:rsidR="0095100E" w:rsidRPr="00EB1AE4">
        <w:t xml:space="preserve"> </w:t>
      </w:r>
      <w:r w:rsidR="0057112A" w:rsidRPr="00EB1AE4">
        <w:rPr>
          <w:i/>
        </w:rPr>
        <w:t>via</w:t>
      </w:r>
      <w:r w:rsidR="0057112A" w:rsidRPr="00EB1AE4">
        <w:t xml:space="preserve"> RAFT</w:t>
      </w:r>
      <w:r w:rsidR="00903D66" w:rsidRPr="00EB1AE4">
        <w:t xml:space="preserve"> emulsion polymerization </w:t>
      </w:r>
      <w:r w:rsidR="0095100E" w:rsidRPr="00EB1AE4">
        <w:t>to obtain the final block-copolymer</w:t>
      </w:r>
      <w:r w:rsidR="00903D66" w:rsidRPr="00EB1AE4">
        <w:t>s and their simultaneous self-assembly into core-shell NPs</w:t>
      </w:r>
      <w:r w:rsidR="009F1089" w:rsidRPr="00EB1AE4">
        <w:t>.</w:t>
      </w:r>
      <w:r w:rsidRPr="00EB1AE4">
        <w:t xml:space="preserve"> The hydrophobic polyester is in fact expected to be confined in the NP core, with the hydrophilic portion exposed to the surface.</w:t>
      </w:r>
      <w:r w:rsidR="0095100E" w:rsidRPr="00EB1AE4">
        <w:t xml:space="preserve"> High monomer conversions and good control over the degree of polymerization (</w:t>
      </w:r>
      <w:r w:rsidR="0095100E" w:rsidRPr="00EB1AE4">
        <w:rPr>
          <w:i/>
        </w:rPr>
        <w:t>p</w:t>
      </w:r>
      <w:r w:rsidR="0095100E" w:rsidRPr="00EB1AE4">
        <w:t xml:space="preserve">) is confirmed by </w:t>
      </w:r>
      <w:r w:rsidR="0095100E" w:rsidRPr="00EB1AE4">
        <w:rPr>
          <w:vertAlign w:val="superscript"/>
        </w:rPr>
        <w:t>1</w:t>
      </w:r>
      <w:r w:rsidR="0095100E" w:rsidRPr="00EB1AE4">
        <w:t xml:space="preserve">H NMR (see </w:t>
      </w:r>
      <w:r w:rsidR="0095100E" w:rsidRPr="00EB1AE4">
        <w:rPr>
          <w:b/>
        </w:rPr>
        <w:t>Table 1</w:t>
      </w:r>
      <w:r w:rsidR="0095100E" w:rsidRPr="00EB1AE4">
        <w:t xml:space="preserve"> and </w:t>
      </w:r>
      <w:r w:rsidR="00693EA7" w:rsidRPr="00EB1AE4">
        <w:rPr>
          <w:b/>
        </w:rPr>
        <w:t xml:space="preserve">Figures S4 </w:t>
      </w:r>
      <w:r w:rsidR="00693EA7" w:rsidRPr="00EB1AE4">
        <w:t>and</w:t>
      </w:r>
      <w:r w:rsidR="00693EA7" w:rsidRPr="00EB1AE4">
        <w:rPr>
          <w:b/>
        </w:rPr>
        <w:t xml:space="preserve"> S5</w:t>
      </w:r>
      <w:r w:rsidR="0095100E" w:rsidRPr="00EB1AE4">
        <w:t>).</w:t>
      </w:r>
      <w:r w:rsidR="009F1089" w:rsidRPr="00EB1AE4">
        <w:t xml:space="preserve"> </w:t>
      </w:r>
      <w:r w:rsidR="00DA1293" w:rsidRPr="00EB1AE4">
        <w:t xml:space="preserve">Also, </w:t>
      </w:r>
      <w:r w:rsidR="00DB5172" w:rsidRPr="00EB1AE4">
        <w:t>the</w:t>
      </w:r>
      <w:r w:rsidR="00DA1293" w:rsidRPr="00EB1AE4">
        <w:t xml:space="preserve"> produced NPs</w:t>
      </w:r>
      <w:r w:rsidR="009F1089" w:rsidRPr="00EB1AE4">
        <w:t xml:space="preserve"> proved to be stable and </w:t>
      </w:r>
      <w:r w:rsidR="00DA1293" w:rsidRPr="00EB1AE4">
        <w:t xml:space="preserve">narrowly dispersed, </w:t>
      </w:r>
      <w:r w:rsidR="009F1089" w:rsidRPr="00EB1AE4">
        <w:t>with</w:t>
      </w:r>
      <w:r w:rsidR="00DB5172" w:rsidRPr="00EB1AE4">
        <w:t xml:space="preserve"> a</w:t>
      </w:r>
      <w:r w:rsidR="009F1089" w:rsidRPr="00EB1AE4">
        <w:t xml:space="preserve"> size suitable for drug delivery applications</w:t>
      </w:r>
      <w:r w:rsidR="00554579" w:rsidRPr="00EB1AE4">
        <w:t xml:space="preserve"> (</w:t>
      </w:r>
      <w:r w:rsidR="00162060" w:rsidRPr="00EB1AE4">
        <w:rPr>
          <w:b/>
        </w:rPr>
        <w:t xml:space="preserve">Table </w:t>
      </w:r>
      <w:r w:rsidR="00693EA7" w:rsidRPr="00EB1AE4">
        <w:rPr>
          <w:b/>
        </w:rPr>
        <w:t>2</w:t>
      </w:r>
      <w:r w:rsidR="00554579" w:rsidRPr="00EB1AE4">
        <w:t>)</w:t>
      </w:r>
      <w:r w:rsidR="009F1089" w:rsidRPr="00EB1AE4">
        <w:t>.</w:t>
      </w:r>
    </w:p>
    <w:p w14:paraId="5BF27EA1" w14:textId="6EDF5F6F" w:rsidR="0057112A" w:rsidRPr="00EB1AE4" w:rsidRDefault="0057112A" w:rsidP="00D41832">
      <w:r w:rsidRPr="00EB1AE4">
        <w:t>Overall</w:t>
      </w:r>
      <w:r w:rsidR="00162060" w:rsidRPr="00EB1AE4">
        <w:t>,</w:t>
      </w:r>
      <w:r w:rsidR="00AC50ED">
        <w:t xml:space="preserve"> both the lipophilic block and</w:t>
      </w:r>
      <w:r w:rsidR="00162060" w:rsidRPr="00EB1AE4">
        <w:t xml:space="preserve"> the </w:t>
      </w:r>
      <w:r w:rsidR="00AC50ED">
        <w:t xml:space="preserve">NP </w:t>
      </w:r>
      <w:r w:rsidR="00162060" w:rsidRPr="00EB1AE4">
        <w:t xml:space="preserve">size </w:t>
      </w:r>
      <w:r w:rsidR="00DA1293" w:rsidRPr="00EB1AE4">
        <w:t xml:space="preserve">for the two samples under investigation </w:t>
      </w:r>
      <w:r w:rsidR="00162060" w:rsidRPr="00EB1AE4">
        <w:t xml:space="preserve">were comparable, thus allowing the </w:t>
      </w:r>
      <w:r w:rsidR="00DA1293" w:rsidRPr="00EB1AE4">
        <w:t xml:space="preserve">direct </w:t>
      </w:r>
      <w:r w:rsidR="00554579" w:rsidRPr="00EB1AE4">
        <w:t xml:space="preserve">analysis of the </w:t>
      </w:r>
      <w:r w:rsidR="00162060" w:rsidRPr="00EB1AE4">
        <w:t xml:space="preserve">effect of the </w:t>
      </w:r>
      <w:r w:rsidR="00DA1293" w:rsidRPr="00EB1AE4">
        <w:t xml:space="preserve">hydrophilic block composition </w:t>
      </w:r>
      <w:r w:rsidR="00693EA7" w:rsidRPr="00EB1AE4">
        <w:t xml:space="preserve">over </w:t>
      </w:r>
      <w:r w:rsidR="00DA1293" w:rsidRPr="00EB1AE4">
        <w:t xml:space="preserve">the </w:t>
      </w:r>
      <w:r w:rsidR="00693EA7" w:rsidRPr="00EB1AE4">
        <w:t xml:space="preserve">most suitable </w:t>
      </w:r>
      <w:r w:rsidR="00DA1293" w:rsidRPr="00EB1AE4">
        <w:t>storage protocol</w:t>
      </w:r>
      <w:r w:rsidR="000D2EA2" w:rsidRPr="00EB1AE4">
        <w:t xml:space="preserve">, </w:t>
      </w:r>
      <w:r w:rsidR="00693EA7" w:rsidRPr="00EB1AE4">
        <w:t>choosing between dialysis and lyophilization</w:t>
      </w:r>
      <w:r w:rsidR="00554579" w:rsidRPr="00EB1AE4">
        <w:t>.</w:t>
      </w:r>
    </w:p>
    <w:p w14:paraId="53D1DE40" w14:textId="3E390772" w:rsidR="00D41832" w:rsidRPr="00EB1AE4" w:rsidRDefault="002C53C4" w:rsidP="00D41832">
      <w:pPr>
        <w:pStyle w:val="Titolo2"/>
        <w:rPr>
          <w:b w:val="0"/>
          <w:i/>
        </w:rPr>
      </w:pPr>
      <w:r w:rsidRPr="00EB1AE4">
        <w:rPr>
          <w:b w:val="0"/>
          <w:i/>
        </w:rPr>
        <w:lastRenderedPageBreak/>
        <w:t>PEG</w:t>
      </w:r>
      <w:r w:rsidR="00DA1293" w:rsidRPr="00EB1AE4">
        <w:rPr>
          <w:b w:val="0"/>
          <w:i/>
        </w:rPr>
        <w:t>-based NPs</w:t>
      </w:r>
      <w:r w:rsidRPr="00EB1AE4">
        <w:rPr>
          <w:b w:val="0"/>
          <w:i/>
        </w:rPr>
        <w:t xml:space="preserve"> </w:t>
      </w:r>
    </w:p>
    <w:p w14:paraId="341FDA06" w14:textId="6C11F7E9" w:rsidR="00751B09" w:rsidRPr="00EB1AE4" w:rsidRDefault="00064E03" w:rsidP="0087380C">
      <w:pPr>
        <w:rPr>
          <w:color w:val="000000" w:themeColor="text1"/>
        </w:rPr>
      </w:pPr>
      <w:r w:rsidRPr="00EB1AE4">
        <w:rPr>
          <w:color w:val="000000" w:themeColor="text1"/>
        </w:rPr>
        <w:t>With narrowly distributed biodegradable NPs in our hands</w:t>
      </w:r>
      <w:r w:rsidR="005923AA" w:rsidRPr="00EB1AE4">
        <w:rPr>
          <w:color w:val="000000" w:themeColor="text1"/>
        </w:rPr>
        <w:t>, we</w:t>
      </w:r>
      <w:r w:rsidRPr="00EB1AE4">
        <w:rPr>
          <w:color w:val="000000" w:themeColor="text1"/>
        </w:rPr>
        <w:t xml:space="preserve"> first</w:t>
      </w:r>
      <w:r w:rsidR="005923AA" w:rsidRPr="00EB1AE4">
        <w:rPr>
          <w:color w:val="000000" w:themeColor="text1"/>
        </w:rPr>
        <w:t xml:space="preserve"> optimized</w:t>
      </w:r>
      <w:r w:rsidR="00675A33" w:rsidRPr="00EB1AE4">
        <w:rPr>
          <w:color w:val="000000" w:themeColor="text1"/>
        </w:rPr>
        <w:t xml:space="preserve"> the storage protocol </w:t>
      </w:r>
      <w:r w:rsidR="005923AA" w:rsidRPr="00EB1AE4">
        <w:rPr>
          <w:color w:val="000000" w:themeColor="text1"/>
        </w:rPr>
        <w:t xml:space="preserve">to preserve </w:t>
      </w:r>
      <w:r w:rsidR="00675A33" w:rsidRPr="00EB1AE4">
        <w:rPr>
          <w:color w:val="000000" w:themeColor="text1"/>
        </w:rPr>
        <w:t xml:space="preserve">the physicochemical properties </w:t>
      </w:r>
      <w:r w:rsidR="003A4572" w:rsidRPr="00EB1AE4">
        <w:rPr>
          <w:color w:val="000000" w:themeColor="text1"/>
        </w:rPr>
        <w:t xml:space="preserve">of </w:t>
      </w:r>
      <w:r w:rsidR="00902971" w:rsidRPr="00EB1AE4">
        <w:rPr>
          <w:color w:val="000000" w:themeColor="text1"/>
        </w:rPr>
        <w:t>PEG-</w:t>
      </w:r>
      <w:r w:rsidR="003A4572" w:rsidRPr="00EB1AE4">
        <w:rPr>
          <w:color w:val="000000" w:themeColor="text1"/>
        </w:rPr>
        <w:t xml:space="preserve">based </w:t>
      </w:r>
      <w:r w:rsidR="00675A33" w:rsidRPr="00EB1AE4">
        <w:rPr>
          <w:color w:val="000000" w:themeColor="text1"/>
        </w:rPr>
        <w:t>NPs</w:t>
      </w:r>
      <w:r w:rsidR="003A4572" w:rsidRPr="00EB1AE4">
        <w:rPr>
          <w:color w:val="000000" w:themeColor="text1"/>
        </w:rPr>
        <w:t xml:space="preserve">, which represent the golden standard </w:t>
      </w:r>
      <w:r w:rsidR="005923AA" w:rsidRPr="00EB1AE4">
        <w:rPr>
          <w:color w:val="000000" w:themeColor="text1"/>
        </w:rPr>
        <w:t>for drug delivery</w:t>
      </w:r>
      <w:r w:rsidR="00751B09" w:rsidRPr="00EB1AE4">
        <w:rPr>
          <w:color w:val="000000" w:themeColor="text1"/>
        </w:rPr>
        <w:t>.</w:t>
      </w:r>
    </w:p>
    <w:p w14:paraId="1137A466" w14:textId="69EC7106" w:rsidR="00764C7D" w:rsidRPr="00EB1AE4" w:rsidRDefault="00746704" w:rsidP="0087380C">
      <w:pPr>
        <w:rPr>
          <w:color w:val="000000" w:themeColor="text1"/>
        </w:rPr>
      </w:pPr>
      <w:r w:rsidRPr="00EB1AE4">
        <w:rPr>
          <w:color w:val="000000" w:themeColor="text1"/>
        </w:rPr>
        <w:t xml:space="preserve">Specifically, the first method tested </w:t>
      </w:r>
      <w:r w:rsidR="001A6F89" w:rsidRPr="00EB1AE4">
        <w:rPr>
          <w:color w:val="000000" w:themeColor="text1"/>
        </w:rPr>
        <w:t>was the lyophilization. This is the</w:t>
      </w:r>
      <w:r w:rsidR="00751B09" w:rsidRPr="00EB1AE4">
        <w:rPr>
          <w:color w:val="000000" w:themeColor="text1"/>
        </w:rPr>
        <w:t xml:space="preserve"> technique of choice in the clinical practice</w:t>
      </w:r>
      <w:r w:rsidR="00693EA7" w:rsidRPr="00EB1AE4">
        <w:rPr>
          <w:color w:val="000000" w:themeColor="text1"/>
        </w:rPr>
        <w:t>, mainly due to the complete removal of water as well as the avoidance of heating</w:t>
      </w:r>
      <w:r w:rsidR="005923AA" w:rsidRPr="00EB1AE4">
        <w:rPr>
          <w:color w:val="000000" w:themeColor="text1"/>
        </w:rPr>
        <w:t>, which could lead to degradation of the payload</w:t>
      </w:r>
      <w:r w:rsidR="00DF2BD3" w:rsidRPr="00EB1AE4">
        <w:rPr>
          <w:noProof/>
          <w:color w:val="000000" w:themeColor="text1"/>
          <w:vertAlign w:val="superscript"/>
        </w:rPr>
        <w:t>13</w:t>
      </w:r>
      <w:r w:rsidR="0087380C" w:rsidRPr="00EB1AE4">
        <w:rPr>
          <w:color w:val="000000" w:themeColor="text1"/>
        </w:rPr>
        <w:t>.</w:t>
      </w:r>
      <w:r w:rsidR="00334F4F" w:rsidRPr="00EB1AE4">
        <w:rPr>
          <w:color w:val="000000" w:themeColor="text1"/>
        </w:rPr>
        <w:t xml:space="preserve"> </w:t>
      </w:r>
      <w:r w:rsidR="00CF0310" w:rsidRPr="00EB1AE4">
        <w:rPr>
          <w:color w:val="000000" w:themeColor="text1"/>
        </w:rPr>
        <w:t xml:space="preserve">However, the </w:t>
      </w:r>
      <w:r w:rsidR="005923AA" w:rsidRPr="00EB1AE4">
        <w:rPr>
          <w:color w:val="000000" w:themeColor="text1"/>
        </w:rPr>
        <w:t xml:space="preserve">PEG-based NPs synthesized in this work did not survive the </w:t>
      </w:r>
      <w:r w:rsidR="00064E03" w:rsidRPr="00EB1AE4">
        <w:rPr>
          <w:color w:val="000000" w:themeColor="text1"/>
        </w:rPr>
        <w:t>freeze-drying</w:t>
      </w:r>
      <w:r w:rsidR="005923AA" w:rsidRPr="00EB1AE4">
        <w:rPr>
          <w:color w:val="000000" w:themeColor="text1"/>
        </w:rPr>
        <w:t xml:space="preserve"> also when up to 10% w/w of cryoprotectant was added. Indeed, after rehydration, only large particles, not suitable for systemic administration, were obtained</w:t>
      </w:r>
      <w:r w:rsidR="00714D78" w:rsidRPr="00EB1AE4">
        <w:rPr>
          <w:color w:val="000000" w:themeColor="text1"/>
        </w:rPr>
        <w:t xml:space="preserve"> (see </w:t>
      </w:r>
      <w:r w:rsidR="00714D78" w:rsidRPr="00EB1AE4">
        <w:rPr>
          <w:b/>
          <w:color w:val="000000" w:themeColor="text1"/>
        </w:rPr>
        <w:t>Figure S6</w:t>
      </w:r>
      <w:r w:rsidR="00714D78" w:rsidRPr="00EB1AE4">
        <w:rPr>
          <w:color w:val="000000" w:themeColor="text1"/>
        </w:rPr>
        <w:t>)</w:t>
      </w:r>
      <w:r w:rsidR="005923AA" w:rsidRPr="00EB1AE4">
        <w:rPr>
          <w:color w:val="000000" w:themeColor="text1"/>
        </w:rPr>
        <w:t>.</w:t>
      </w:r>
      <w:r w:rsidR="00714D78" w:rsidRPr="00EB1AE4">
        <w:rPr>
          <w:color w:val="000000" w:themeColor="text1"/>
        </w:rPr>
        <w:t xml:space="preserve"> </w:t>
      </w:r>
      <w:r w:rsidR="00EC7F77" w:rsidRPr="00EB1AE4">
        <w:rPr>
          <w:color w:val="000000" w:themeColor="text1"/>
        </w:rPr>
        <w:t xml:space="preserve">This may be due to the </w:t>
      </w:r>
      <w:r w:rsidR="00FA31A3">
        <w:rPr>
          <w:color w:val="000000" w:themeColor="text1"/>
        </w:rPr>
        <w:t>poor</w:t>
      </w:r>
      <w:r w:rsidR="00FA31A3" w:rsidRPr="00EB1AE4">
        <w:rPr>
          <w:color w:val="000000" w:themeColor="text1"/>
        </w:rPr>
        <w:t xml:space="preserve"> </w:t>
      </w:r>
      <w:r w:rsidR="00FA31A3">
        <w:rPr>
          <w:color w:val="000000" w:themeColor="text1"/>
        </w:rPr>
        <w:t>ability</w:t>
      </w:r>
      <w:r w:rsidR="00FA31A3" w:rsidRPr="00EB1AE4">
        <w:rPr>
          <w:color w:val="000000" w:themeColor="text1"/>
        </w:rPr>
        <w:t xml:space="preserve"> </w:t>
      </w:r>
      <w:r w:rsidR="00EC7F77" w:rsidRPr="00EB1AE4">
        <w:rPr>
          <w:color w:val="000000" w:themeColor="text1"/>
        </w:rPr>
        <w:t xml:space="preserve">of PEG </w:t>
      </w:r>
      <w:r w:rsidR="00FA31A3">
        <w:rPr>
          <w:color w:val="000000" w:themeColor="text1"/>
        </w:rPr>
        <w:t>of</w:t>
      </w:r>
      <w:r w:rsidR="00FA31A3" w:rsidRPr="00EB1AE4">
        <w:rPr>
          <w:color w:val="000000" w:themeColor="text1"/>
        </w:rPr>
        <w:t xml:space="preserve"> </w:t>
      </w:r>
      <w:r w:rsidR="00EC7F77" w:rsidRPr="00EB1AE4">
        <w:rPr>
          <w:color w:val="000000" w:themeColor="text1"/>
        </w:rPr>
        <w:t>crystaliz</w:t>
      </w:r>
      <w:r w:rsidR="00FA31A3">
        <w:rPr>
          <w:color w:val="000000" w:themeColor="text1"/>
        </w:rPr>
        <w:t>ing</w:t>
      </w:r>
      <w:r w:rsidR="00EC7F77" w:rsidRPr="00EB1AE4">
        <w:rPr>
          <w:color w:val="000000" w:themeColor="text1"/>
        </w:rPr>
        <w:t xml:space="preserve"> at low temperature. Indeed, since the polymer is characterized by </w:t>
      </w:r>
      <w:r w:rsidR="005923AA" w:rsidRPr="00EB1AE4">
        <w:rPr>
          <w:color w:val="000000" w:themeColor="text1"/>
        </w:rPr>
        <w:t xml:space="preserve">a </w:t>
      </w:r>
      <w:r w:rsidR="00EC7F77" w:rsidRPr="00EB1AE4">
        <w:rPr>
          <w:color w:val="000000" w:themeColor="text1"/>
        </w:rPr>
        <w:t>low glass transition temperature, once the water is removed</w:t>
      </w:r>
      <w:r w:rsidR="00064E03" w:rsidRPr="00EB1AE4">
        <w:rPr>
          <w:color w:val="000000" w:themeColor="text1"/>
        </w:rPr>
        <w:t>,</w:t>
      </w:r>
      <w:r w:rsidR="00EC7F77" w:rsidRPr="00EB1AE4">
        <w:rPr>
          <w:color w:val="000000" w:themeColor="text1"/>
        </w:rPr>
        <w:t xml:space="preserve"> the stabilizer block may be embedded in the polymer</w:t>
      </w:r>
      <w:r w:rsidR="00170AEE" w:rsidRPr="00EB1AE4">
        <w:rPr>
          <w:color w:val="000000" w:themeColor="text1"/>
        </w:rPr>
        <w:t>, thus causing coalescence.</w:t>
      </w:r>
      <w:r w:rsidR="005923AA" w:rsidRPr="00EB1AE4">
        <w:rPr>
          <w:color w:val="000000" w:themeColor="text1"/>
        </w:rPr>
        <w:t xml:space="preserve"> We then demonstrate</w:t>
      </w:r>
      <w:r w:rsidR="00751B09" w:rsidRPr="00EB1AE4">
        <w:rPr>
          <w:color w:val="000000" w:themeColor="text1"/>
        </w:rPr>
        <w:t>d</w:t>
      </w:r>
      <w:r w:rsidR="005923AA" w:rsidRPr="00EB1AE4">
        <w:rPr>
          <w:color w:val="000000" w:themeColor="text1"/>
        </w:rPr>
        <w:t xml:space="preserve"> that the freeze-drying is not a suitable storage process for this kind of PEGylated NPs and alternative techniques are required.</w:t>
      </w:r>
    </w:p>
    <w:p w14:paraId="5CA3071E" w14:textId="64341D10" w:rsidR="009B7314" w:rsidRPr="00EB1AE4" w:rsidRDefault="005923AA" w:rsidP="00EE1B12">
      <w:pPr>
        <w:rPr>
          <w:color w:val="000000" w:themeColor="text1"/>
          <w:szCs w:val="24"/>
          <w:shd w:val="clear" w:color="auto" w:fill="FFFFFF"/>
        </w:rPr>
      </w:pPr>
      <w:r w:rsidRPr="00EB1AE4">
        <w:rPr>
          <w:color w:val="000000" w:themeColor="text1"/>
        </w:rPr>
        <w:t>In particular, we tested the possibility of concentrating these NPs</w:t>
      </w:r>
      <w:r w:rsidR="00737304" w:rsidRPr="00EB1AE4">
        <w:rPr>
          <w:color w:val="000000" w:themeColor="text1"/>
        </w:rPr>
        <w:t xml:space="preserve"> </w:t>
      </w:r>
      <w:r w:rsidR="00675A33" w:rsidRPr="00EB1AE4">
        <w:rPr>
          <w:color w:val="000000" w:themeColor="text1"/>
        </w:rPr>
        <w:t>by</w:t>
      </w:r>
      <w:r w:rsidR="00737304" w:rsidRPr="00EB1AE4">
        <w:rPr>
          <w:color w:val="000000" w:themeColor="text1"/>
        </w:rPr>
        <w:t xml:space="preserve"> dialysis against a </w:t>
      </w:r>
      <w:r w:rsidR="00E91249" w:rsidRPr="00EB1AE4">
        <w:rPr>
          <w:color w:val="000000" w:themeColor="text1"/>
        </w:rPr>
        <w:t>solution</w:t>
      </w:r>
      <w:r w:rsidR="00675A33" w:rsidRPr="00EB1AE4">
        <w:rPr>
          <w:color w:val="000000" w:themeColor="text1"/>
        </w:rPr>
        <w:t xml:space="preserve"> of PEG</w:t>
      </w:r>
      <w:r w:rsidR="00675A33" w:rsidRPr="00EB1AE4">
        <w:rPr>
          <w:color w:val="000000" w:themeColor="text1"/>
          <w:vertAlign w:val="subscript"/>
        </w:rPr>
        <w:t>8000</w:t>
      </w:r>
      <w:r w:rsidR="00287611" w:rsidRPr="00EB1AE4">
        <w:rPr>
          <w:color w:val="000000" w:themeColor="text1"/>
        </w:rPr>
        <w:t>. This</w:t>
      </w:r>
      <w:r w:rsidR="00BF2BCC" w:rsidRPr="00EB1AE4">
        <w:rPr>
          <w:color w:val="000000" w:themeColor="text1"/>
        </w:rPr>
        <w:t xml:space="preserve"> is a cheap and widely available </w:t>
      </w:r>
      <w:r w:rsidR="003C5831" w:rsidRPr="00EB1AE4">
        <w:rPr>
          <w:color w:val="000000" w:themeColor="text1"/>
        </w:rPr>
        <w:t>polymer</w:t>
      </w:r>
      <w:r w:rsidR="00BF2BCC" w:rsidRPr="00EB1AE4">
        <w:rPr>
          <w:color w:val="000000" w:themeColor="text1"/>
        </w:rPr>
        <w:t>, differently from other compounds proposed in the literature for similar purposes, such as dextran</w:t>
      </w:r>
      <w:r w:rsidR="00CC056E" w:rsidRPr="00EB1AE4">
        <w:rPr>
          <w:color w:val="000000" w:themeColor="text1"/>
        </w:rPr>
        <w:fldChar w:fldCharType="begin" w:fldLock="1"/>
      </w:r>
      <w:r w:rsidR="00475714">
        <w:rPr>
          <w:color w:val="000000" w:themeColor="text1"/>
        </w:rPr>
        <w:instrText>ADDIN CSL_CITATION {"citationItems":[{"id":"ITEM-1","itemData":{"DOI":"https://doi.org/10.1016/j.ejpb.2008.01.025","ISSN":"0939-6411","abstract":"Most of the methods that are used to produce pharmaceutical suspensions of nanoparticles for drug-targeting yield suspensions having a low content in drug carriers. This can be a dramatic limitation when the volume of suspension that would have to be administered in vivo to reach therapeutic concentrations of the drug is much above the acceptable range. Concentrating the drug-carrier suspension by centrifugation, lyophilization and evaporation is often inapplicable because aggregates are formed. Here we present a simple method that is able to increase the concentration of nanoparticle suspensions without forming aggregates. It consists in a dialysis of the suspensions against a polymer solution. This causes an osmotic stress, which produces a displacement of water from the nanoparticle suspension towards the counter-dialysing solution. Various types of nanoparticle suspensions can be concentrated in near equilibrium conditions, and the result is controlled and reproducible. Concentration factors up to 50 were obtained in a few hours at room temperature. The original characteristics of the nanoparticles were fully preserved in the concentrated dispersion.","author":[{"dropping-particle":"","family":"Vauthier","given":"C","non-dropping-particle":"","parse-names":false,"suffix":""},{"dropping-particle":"","family":"Cabane","given":"B","non-dropping-particle":"","parse-names":false,"suffix":""},{"dropping-particle":"","family":"Labarre","given":"D","non-dropping-particle":"","parse-names":false,"suffix":""}],"container-title":"European Journal of Pharmaceutics and Biopharmaceutics","id":"ITEM-1","issue":"2","issued":{"date-parts":[["2008"]]},"page":"466-475","title":"How to concentrate nanoparticles and avoid aggregation?","type":"article-journal","volume":"69"},"uris":["http://www.mendeley.com/documents/?uuid=9871be34-8103-41e1-8812-c97dbdb0e98d","http://www.mendeley.com/documents/?uuid=a6bfcfe6-b327-4079-b740-484ab0c24a05"]}],"mendeley":{"formattedCitation":"&lt;sup&gt;47&lt;/sup&gt;","plainTextFormattedCitation":"47","previouslyFormattedCitation":"&lt;sup&gt;47&lt;/sup&gt;"},"properties":{"noteIndex":0},"schema":"https://github.com/citation-style-language/schema/raw/master/csl-citation.json"}</w:instrText>
      </w:r>
      <w:r w:rsidR="00CC056E" w:rsidRPr="00EB1AE4">
        <w:rPr>
          <w:color w:val="000000" w:themeColor="text1"/>
        </w:rPr>
        <w:fldChar w:fldCharType="separate"/>
      </w:r>
      <w:r w:rsidR="00BE213A" w:rsidRPr="00BE213A">
        <w:rPr>
          <w:noProof/>
          <w:color w:val="000000" w:themeColor="text1"/>
          <w:vertAlign w:val="superscript"/>
        </w:rPr>
        <w:t>47</w:t>
      </w:r>
      <w:r w:rsidR="00CC056E" w:rsidRPr="00EB1AE4">
        <w:rPr>
          <w:color w:val="000000" w:themeColor="text1"/>
        </w:rPr>
        <w:fldChar w:fldCharType="end"/>
      </w:r>
      <w:r w:rsidR="00737304" w:rsidRPr="00EB1AE4">
        <w:rPr>
          <w:color w:val="000000" w:themeColor="text1"/>
          <w:szCs w:val="24"/>
          <w:shd w:val="clear" w:color="auto" w:fill="FFFFFF"/>
        </w:rPr>
        <w:t>.</w:t>
      </w:r>
      <w:r w:rsidR="00737304" w:rsidRPr="00EB1AE4">
        <w:rPr>
          <w:color w:val="000000" w:themeColor="text1"/>
        </w:rPr>
        <w:t xml:space="preserve"> </w:t>
      </w:r>
      <w:r w:rsidR="00A34D1B" w:rsidRPr="00EB1AE4">
        <w:rPr>
          <w:color w:val="000000" w:themeColor="text1"/>
        </w:rPr>
        <w:t>A</w:t>
      </w:r>
      <w:r w:rsidR="00E91249" w:rsidRPr="00EB1AE4">
        <w:rPr>
          <w:color w:val="000000" w:themeColor="text1"/>
          <w:szCs w:val="24"/>
          <w:shd w:val="clear" w:color="auto" w:fill="FFFFFF"/>
        </w:rPr>
        <w:t>ccording to the work</w:t>
      </w:r>
      <w:r w:rsidR="00947A7E" w:rsidRPr="00EB1AE4">
        <w:rPr>
          <w:color w:val="000000" w:themeColor="text1"/>
          <w:szCs w:val="24"/>
          <w:shd w:val="clear" w:color="auto" w:fill="FFFFFF"/>
        </w:rPr>
        <w:t xml:space="preserve"> of</w:t>
      </w:r>
      <w:r w:rsidR="00EE1B12" w:rsidRPr="00EB1AE4">
        <w:rPr>
          <w:color w:val="000000" w:themeColor="text1"/>
          <w:szCs w:val="24"/>
        </w:rPr>
        <w:t xml:space="preserve"> Stanley </w:t>
      </w:r>
      <w:r w:rsidR="00E91249" w:rsidRPr="00EB1AE4">
        <w:rPr>
          <w:color w:val="000000" w:themeColor="text1"/>
          <w:szCs w:val="24"/>
        </w:rPr>
        <w:t>et al.</w:t>
      </w:r>
      <w:r w:rsidR="009B7314" w:rsidRPr="00EB1AE4">
        <w:rPr>
          <w:color w:val="000000" w:themeColor="text1"/>
          <w:szCs w:val="24"/>
        </w:rPr>
        <w:fldChar w:fldCharType="begin" w:fldLock="1"/>
      </w:r>
      <w:r w:rsidR="00475714">
        <w:rPr>
          <w:color w:val="000000" w:themeColor="text1"/>
          <w:szCs w:val="24"/>
        </w:rPr>
        <w:instrText>ADDIN CSL_CITATION {"citationItems":[{"id":"ITEM-1","itemData":{"DOI":"10.1021/ma034079e","ISSN":"0024-9297","abstract":"The osmotic pressure of aqueous poly(ethylene glycol) (PEG) solutions (400 and 8000 g/mol) was measured by sedimentation equilibrium (SE) ultracentrifugation over a concentration range of 0−50 wt % and over a temperature range of 10−40 °C. We have developed a procedure to cover a large polymer concentration range by performing a series of ultracentrifugation experiments at different loading concentrations. The SE data agreed well with previous measurements made using a vapor pressure osmometer. To facilitate conversion from concentration to osmotic pressure, the data were fitted to multivariable polynomial expressions as a function of the PEG-to-water ratio G and temperature T. The osmotic pressure of PEG solutions decreases with increasing temperature. We attribute this behavior to the release of structured water associated with the PEG chains which compared to bulk water has a lower entropy.","author":[{"dropping-particle":"","family":"Stanley","given":"Christopher B","non-dropping-particle":"","parse-names":false,"suffix":""},{"dropping-particle":"","family":"Strey","given":"Helmut H","non-dropping-particle":"","parse-names":false,"suffix":""}],"container-title":"Macromolecules","id":"ITEM-1","issue":"18","issued":{"date-parts":[["2003","9"]]},"page":"6888-6893","publisher":"American Chemical Society","title":"Measuring Osmotic Pressure of Poly(ethylene glycol) Solutions by Sedimentation Equilibrium Ultracentrifugation","type":"article-journal","volume":"36"},"uris":["http://www.mendeley.com/documents/?uuid=abb55f25-0933-4b2d-a5d6-2f882f30726e","http://www.mendeley.com/documents/?uuid=0cf7d0fa-7517-4e4a-a553-48224acb540a"]}],"mendeley":{"formattedCitation":"&lt;sup&gt;48&lt;/sup&gt;","plainTextFormattedCitation":"48","previouslyFormattedCitation":"&lt;sup&gt;48&lt;/sup&gt;"},"properties":{"noteIndex":0},"schema":"https://github.com/citation-style-language/schema/raw/master/csl-citation.json"}</w:instrText>
      </w:r>
      <w:r w:rsidR="009B7314" w:rsidRPr="00EB1AE4">
        <w:rPr>
          <w:color w:val="000000" w:themeColor="text1"/>
          <w:szCs w:val="24"/>
        </w:rPr>
        <w:fldChar w:fldCharType="separate"/>
      </w:r>
      <w:r w:rsidR="00BE213A" w:rsidRPr="00BE213A">
        <w:rPr>
          <w:noProof/>
          <w:color w:val="000000" w:themeColor="text1"/>
          <w:szCs w:val="24"/>
          <w:vertAlign w:val="superscript"/>
        </w:rPr>
        <w:t>48</w:t>
      </w:r>
      <w:r w:rsidR="009B7314" w:rsidRPr="00EB1AE4">
        <w:rPr>
          <w:color w:val="000000" w:themeColor="text1"/>
          <w:szCs w:val="24"/>
        </w:rPr>
        <w:fldChar w:fldCharType="end"/>
      </w:r>
      <w:r w:rsidR="00EE1B12" w:rsidRPr="00EB1AE4">
        <w:rPr>
          <w:color w:val="000000" w:themeColor="text1"/>
          <w:szCs w:val="24"/>
          <w:shd w:val="clear" w:color="auto" w:fill="FFFFFF"/>
        </w:rPr>
        <w:t>, the osmotic pressure (</w:t>
      </w:r>
      <w:r w:rsidR="003914E1" w:rsidRPr="00EB1AE4">
        <w:rPr>
          <w:rFonts w:cs="Times New Roman"/>
          <w:color w:val="000000" w:themeColor="text1"/>
          <w:szCs w:val="24"/>
          <w:shd w:val="clear" w:color="auto" w:fill="FFFFFF"/>
        </w:rPr>
        <w:t>π</w:t>
      </w:r>
      <w:r w:rsidR="00EE1B12" w:rsidRPr="00EB1AE4">
        <w:rPr>
          <w:color w:val="000000" w:themeColor="text1"/>
          <w:szCs w:val="24"/>
          <w:shd w:val="clear" w:color="auto" w:fill="FFFFFF"/>
        </w:rPr>
        <w:t>) of PEG</w:t>
      </w:r>
      <w:r w:rsidR="00EE1B12" w:rsidRPr="00EB1AE4">
        <w:rPr>
          <w:color w:val="000000" w:themeColor="text1"/>
          <w:szCs w:val="24"/>
          <w:shd w:val="clear" w:color="auto" w:fill="FFFFFF"/>
          <w:vertAlign w:val="subscript"/>
        </w:rPr>
        <w:t>8000</w:t>
      </w:r>
      <w:r w:rsidR="00EE1B12" w:rsidRPr="00EB1AE4">
        <w:rPr>
          <w:color w:val="000000" w:themeColor="text1"/>
          <w:szCs w:val="24"/>
          <w:shd w:val="clear" w:color="auto" w:fill="FFFFFF"/>
        </w:rPr>
        <w:t xml:space="preserve"> solutions can be represented </w:t>
      </w:r>
      <w:r w:rsidR="000352DB" w:rsidRPr="00EB1AE4">
        <w:rPr>
          <w:color w:val="000000" w:themeColor="text1"/>
          <w:szCs w:val="24"/>
          <w:shd w:val="clear" w:color="auto" w:fill="FFFFFF"/>
        </w:rPr>
        <w:t>as</w:t>
      </w:r>
      <w:r w:rsidR="00EE1B12" w:rsidRPr="00EB1AE4">
        <w:rPr>
          <w:color w:val="000000" w:themeColor="text1"/>
          <w:szCs w:val="24"/>
          <w:shd w:val="clear" w:color="auto" w:fill="FFFFFF"/>
        </w:rPr>
        <w:t xml:space="preserve"> a polynomial function of the PEG to water ratio</w:t>
      </w:r>
      <w:r w:rsidR="004F14DE" w:rsidRPr="00EB1AE4">
        <w:rPr>
          <w:color w:val="000000" w:themeColor="text1"/>
          <w:szCs w:val="24"/>
          <w:shd w:val="clear" w:color="auto" w:fill="FFFFFF"/>
        </w:rPr>
        <w:t xml:space="preserve"> (w/w)</w:t>
      </w:r>
      <w:r w:rsidR="003914E1" w:rsidRPr="00EB1AE4">
        <w:rPr>
          <w:color w:val="000000" w:themeColor="text1"/>
          <w:szCs w:val="24"/>
          <w:shd w:val="clear" w:color="auto" w:fill="FFFFFF"/>
        </w:rPr>
        <w:t xml:space="preserve"> (G)</w:t>
      </w:r>
      <w:r w:rsidR="00EE1B12" w:rsidRPr="00EB1AE4">
        <w:rPr>
          <w:color w:val="000000" w:themeColor="text1"/>
          <w:szCs w:val="24"/>
          <w:shd w:val="clear" w:color="auto" w:fill="FFFFFF"/>
        </w:rPr>
        <w:t xml:space="preserve">, </w:t>
      </w:r>
      <w:r w:rsidR="009B7314" w:rsidRPr="00EB1AE4">
        <w:rPr>
          <w:color w:val="000000" w:themeColor="text1"/>
          <w:szCs w:val="24"/>
          <w:shd w:val="clear" w:color="auto" w:fill="FFFFFF"/>
        </w:rPr>
        <w:t xml:space="preserve">as </w:t>
      </w:r>
      <w:r w:rsidR="003914E1" w:rsidRPr="00EB1AE4">
        <w:rPr>
          <w:color w:val="000000" w:themeColor="text1"/>
          <w:szCs w:val="24"/>
          <w:shd w:val="clear" w:color="auto" w:fill="FFFFFF"/>
        </w:rPr>
        <w:t xml:space="preserve">reported in </w:t>
      </w:r>
      <w:r w:rsidR="003914E1" w:rsidRPr="00EB1AE4">
        <w:rPr>
          <w:b/>
          <w:color w:val="000000" w:themeColor="text1"/>
          <w:szCs w:val="24"/>
          <w:shd w:val="clear" w:color="auto" w:fill="FFFFFF"/>
        </w:rPr>
        <w:t>Equations 1</w:t>
      </w:r>
      <w:r w:rsidR="00693EA7" w:rsidRPr="00EB1AE4">
        <w:rPr>
          <w:color w:val="000000" w:themeColor="text1"/>
          <w:szCs w:val="24"/>
          <w:shd w:val="clear" w:color="auto" w:fill="FFFFFF"/>
        </w:rPr>
        <w:t xml:space="preserve"> and </w:t>
      </w:r>
      <w:r w:rsidR="003914E1" w:rsidRPr="00EB1AE4">
        <w:rPr>
          <w:b/>
          <w:color w:val="000000" w:themeColor="text1"/>
          <w:szCs w:val="24"/>
          <w:shd w:val="clear" w:color="auto" w:fill="FFFFFF"/>
        </w:rPr>
        <w:t>2</w:t>
      </w:r>
      <w:r w:rsidR="003C5831" w:rsidRPr="00EB1AE4">
        <w:rPr>
          <w:color w:val="000000" w:themeColor="text1"/>
          <w:szCs w:val="24"/>
          <w:shd w:val="clear" w:color="auto" w:fill="FFFFFF"/>
        </w:rPr>
        <w:t>.</w:t>
      </w:r>
    </w:p>
    <w:p w14:paraId="00EBB891" w14:textId="77777777" w:rsidR="00B53F10" w:rsidRPr="00EB1AE4" w:rsidRDefault="00B53F10" w:rsidP="00EE1B12">
      <w:pPr>
        <w:rPr>
          <w:color w:val="000000" w:themeColor="text1"/>
          <w:szCs w:val="24"/>
          <w:shd w:val="clear" w:color="auto" w:fill="FFFFFF"/>
        </w:rPr>
      </w:pPr>
    </w:p>
    <w:tbl>
      <w:tblPr>
        <w:tblStyle w:val="Grigliatabella"/>
        <w:tblW w:w="9379"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92"/>
        <w:gridCol w:w="4220"/>
        <w:gridCol w:w="567"/>
      </w:tblGrid>
      <w:tr w:rsidR="003914E1" w:rsidRPr="00EB1AE4" w14:paraId="469A2DFC" w14:textId="77777777" w:rsidTr="003C5831">
        <w:tc>
          <w:tcPr>
            <w:tcW w:w="4592" w:type="dxa"/>
            <w:vAlign w:val="center"/>
          </w:tcPr>
          <w:p w14:paraId="3AFE816F" w14:textId="14EA72A0" w:rsidR="003914E1" w:rsidRPr="00EB1AE4" w:rsidRDefault="003914E1" w:rsidP="003C5831">
            <w:pPr>
              <w:jc w:val="center"/>
            </w:pPr>
            <m:oMathPara>
              <m:oMath>
                <m:r>
                  <w:rPr>
                    <w:rFonts w:ascii="Cambria Math" w:hAnsi="Cambria Math"/>
                  </w:rPr>
                  <m:t>π (atm)=-1.38</m:t>
                </m:r>
                <m:sSup>
                  <m:sSupPr>
                    <m:ctrlPr>
                      <w:rPr>
                        <w:rFonts w:ascii="Cambria Math" w:hAnsi="Cambria Math"/>
                        <w:i/>
                        <w:sz w:val="22"/>
                      </w:rPr>
                    </m:ctrlPr>
                  </m:sSupPr>
                  <m:e>
                    <m:r>
                      <w:rPr>
                        <w:rFonts w:ascii="Cambria Math" w:hAnsi="Cambria Math"/>
                      </w:rPr>
                      <m:t>G</m:t>
                    </m:r>
                  </m:e>
                  <m:sup>
                    <m:r>
                      <w:rPr>
                        <w:rFonts w:ascii="Cambria Math" w:hAnsi="Cambria Math"/>
                      </w:rPr>
                      <m:t>2</m:t>
                    </m:r>
                  </m:sup>
                </m:sSup>
                <m:r>
                  <w:rPr>
                    <w:rFonts w:ascii="Cambria Math" w:hAnsi="Cambria Math"/>
                  </w:rPr>
                  <m:t>*T+134.3</m:t>
                </m:r>
                <m:sSup>
                  <m:sSupPr>
                    <m:ctrlPr>
                      <w:rPr>
                        <w:rFonts w:ascii="Cambria Math" w:hAnsi="Cambria Math"/>
                        <w:i/>
                        <w:sz w:val="22"/>
                      </w:rPr>
                    </m:ctrlPr>
                  </m:sSupPr>
                  <m:e>
                    <m:r>
                      <w:rPr>
                        <w:rFonts w:ascii="Cambria Math" w:hAnsi="Cambria Math"/>
                      </w:rPr>
                      <m:t>G</m:t>
                    </m:r>
                  </m:e>
                  <m:sup>
                    <m:r>
                      <w:rPr>
                        <w:rFonts w:ascii="Cambria Math" w:hAnsi="Cambria Math"/>
                      </w:rPr>
                      <m:t>2</m:t>
                    </m:r>
                  </m:sup>
                </m:sSup>
                <m:r>
                  <w:rPr>
                    <w:rFonts w:ascii="Cambria Math" w:hAnsi="Cambria Math"/>
                  </w:rPr>
                  <m:t>+3.0G</m:t>
                </m:r>
              </m:oMath>
            </m:oMathPara>
          </w:p>
        </w:tc>
        <w:tc>
          <w:tcPr>
            <w:tcW w:w="4220" w:type="dxa"/>
            <w:vAlign w:val="center"/>
          </w:tcPr>
          <w:p w14:paraId="0F66BAF5" w14:textId="29B3B70A" w:rsidR="003914E1" w:rsidRPr="00EB1AE4" w:rsidRDefault="003914E1" w:rsidP="003C5831">
            <w:pPr>
              <w:jc w:val="center"/>
              <w:rPr>
                <w:rFonts w:eastAsiaTheme="minorEastAsia"/>
              </w:rPr>
            </w:pPr>
            <m:oMathPara>
              <m:oMath>
                <m:r>
                  <m:rPr>
                    <m:sty m:val="p"/>
                  </m:rPr>
                  <w:rPr>
                    <w:rFonts w:ascii="Cambria Math" w:hAnsi="Cambria Math"/>
                  </w:rPr>
                  <m:t>for 0.11&lt;G&lt;1.18 (10&lt;wt%&lt;54</m:t>
                </m:r>
                <m:r>
                  <m:rPr>
                    <m:sty m:val="p"/>
                  </m:rPr>
                  <w:rPr>
                    <w:rFonts w:ascii="Cambria Math"/>
                  </w:rPr>
                  <m:t>)</m:t>
                </m:r>
              </m:oMath>
            </m:oMathPara>
          </w:p>
          <w:p w14:paraId="50B84C0D" w14:textId="23BA881E" w:rsidR="003914E1" w:rsidRPr="00EB1AE4" w:rsidRDefault="003914E1" w:rsidP="003C5831">
            <w:pPr>
              <w:jc w:val="center"/>
            </w:pPr>
            <m:oMathPara>
              <m:oMath>
                <m:r>
                  <w:rPr>
                    <w:rFonts w:ascii="Cambria Math" w:eastAsiaTheme="minorEastAsia" w:hAnsi="Cambria Math"/>
                  </w:rPr>
                  <m:t xml:space="preserve">and </m:t>
                </m:r>
                <m:r>
                  <m:rPr>
                    <m:sty m:val="p"/>
                  </m:rPr>
                  <w:rPr>
                    <w:rFonts w:ascii="Cambria Math" w:hAnsi="Cambria Math"/>
                  </w:rPr>
                  <m:t>10 &lt; T &lt; 40 °C</m:t>
                </m:r>
              </m:oMath>
            </m:oMathPara>
          </w:p>
        </w:tc>
        <w:tc>
          <w:tcPr>
            <w:tcW w:w="567" w:type="dxa"/>
            <w:vAlign w:val="center"/>
          </w:tcPr>
          <w:p w14:paraId="494A6890" w14:textId="14793DD6" w:rsidR="003914E1" w:rsidRPr="00EB1AE4" w:rsidRDefault="003914E1" w:rsidP="003C5831">
            <w:pPr>
              <w:jc w:val="center"/>
            </w:pPr>
            <w:r w:rsidRPr="00EB1AE4">
              <w:t>(1)</w:t>
            </w:r>
          </w:p>
        </w:tc>
      </w:tr>
      <w:tr w:rsidR="003914E1" w:rsidRPr="00EB1AE4" w14:paraId="7DE88250" w14:textId="77777777" w:rsidTr="003C5831">
        <w:tc>
          <w:tcPr>
            <w:tcW w:w="4592" w:type="dxa"/>
            <w:vAlign w:val="center"/>
          </w:tcPr>
          <w:p w14:paraId="23E2F5F0" w14:textId="6D76B7D0" w:rsidR="003914E1" w:rsidRPr="00EB1AE4" w:rsidRDefault="003914E1" w:rsidP="003C5831">
            <w:pPr>
              <w:jc w:val="center"/>
            </w:pPr>
            <m:oMathPara>
              <m:oMath>
                <m:r>
                  <w:rPr>
                    <w:rFonts w:ascii="Cambria Math" w:hAnsi="Cambria Math"/>
                  </w:rPr>
                  <m:t>π (atm)=-1.29</m:t>
                </m:r>
                <m:sSup>
                  <m:sSupPr>
                    <m:ctrlPr>
                      <w:rPr>
                        <w:rFonts w:ascii="Cambria Math" w:hAnsi="Cambria Math"/>
                        <w:i/>
                        <w:sz w:val="22"/>
                      </w:rPr>
                    </m:ctrlPr>
                  </m:sSupPr>
                  <m:e>
                    <m:r>
                      <w:rPr>
                        <w:rFonts w:ascii="Cambria Math" w:hAnsi="Cambria Math"/>
                      </w:rPr>
                      <m:t>G</m:t>
                    </m:r>
                  </m:e>
                  <m:sup>
                    <m:r>
                      <w:rPr>
                        <w:rFonts w:ascii="Cambria Math" w:hAnsi="Cambria Math"/>
                      </w:rPr>
                      <m:t>2</m:t>
                    </m:r>
                  </m:sup>
                </m:sSup>
                <m:r>
                  <w:rPr>
                    <w:rFonts w:ascii="Cambria Math" w:hAnsi="Cambria Math"/>
                  </w:rPr>
                  <m:t>*T+127.6</m:t>
                </m:r>
                <m:sSup>
                  <m:sSupPr>
                    <m:ctrlPr>
                      <w:rPr>
                        <w:rFonts w:ascii="Cambria Math" w:hAnsi="Cambria Math"/>
                        <w:i/>
                        <w:sz w:val="22"/>
                      </w:rPr>
                    </m:ctrlPr>
                  </m:sSupPr>
                  <m:e>
                    <m:r>
                      <w:rPr>
                        <w:rFonts w:ascii="Cambria Math" w:hAnsi="Cambria Math"/>
                      </w:rPr>
                      <m:t>G</m:t>
                    </m:r>
                  </m:e>
                  <m:sup>
                    <m:r>
                      <w:rPr>
                        <w:rFonts w:ascii="Cambria Math" w:hAnsi="Cambria Math"/>
                      </w:rPr>
                      <m:t>2</m:t>
                    </m:r>
                  </m:sup>
                </m:sSup>
                <m:r>
                  <w:rPr>
                    <w:rFonts w:ascii="Cambria Math" w:hAnsi="Cambria Math"/>
                  </w:rPr>
                  <m:t>+3.0G</m:t>
                </m:r>
              </m:oMath>
            </m:oMathPara>
          </w:p>
        </w:tc>
        <w:tc>
          <w:tcPr>
            <w:tcW w:w="4220" w:type="dxa"/>
            <w:vAlign w:val="center"/>
          </w:tcPr>
          <w:p w14:paraId="41E1AABB" w14:textId="2EB8F09C" w:rsidR="003914E1" w:rsidRPr="00EB1AE4" w:rsidRDefault="003914E1" w:rsidP="003C5831">
            <w:pPr>
              <w:jc w:val="center"/>
              <w:rPr>
                <w:rFonts w:eastAsiaTheme="minorEastAsia"/>
              </w:rPr>
            </w:pPr>
            <m:oMathPara>
              <m:oMath>
                <m:r>
                  <m:rPr>
                    <m:sty m:val="p"/>
                  </m:rPr>
                  <w:rPr>
                    <w:rFonts w:ascii="Cambria Math" w:hAnsi="Cambria Math"/>
                  </w:rPr>
                  <m:t>for 0.03&lt;G&lt;0.11 (3&lt;wt%&lt;10)</m:t>
                </m:r>
              </m:oMath>
            </m:oMathPara>
          </w:p>
          <w:p w14:paraId="5501C669" w14:textId="69D14F94" w:rsidR="003914E1" w:rsidRPr="00EB1AE4" w:rsidRDefault="003914E1" w:rsidP="003C5831">
            <w:pPr>
              <w:jc w:val="center"/>
            </w:pPr>
            <m:oMathPara>
              <m:oMath>
                <m:r>
                  <w:rPr>
                    <w:rFonts w:ascii="Cambria Math" w:eastAsiaTheme="minorEastAsia" w:hAnsi="Cambria Math"/>
                  </w:rPr>
                  <m:t xml:space="preserve">and </m:t>
                </m:r>
                <m:r>
                  <m:rPr>
                    <m:sty m:val="p"/>
                  </m:rPr>
                  <w:rPr>
                    <w:rFonts w:ascii="Cambria Math" w:hAnsi="Cambria Math"/>
                  </w:rPr>
                  <m:t>10 &lt; T &lt; 40 °C</m:t>
                </m:r>
              </m:oMath>
            </m:oMathPara>
          </w:p>
        </w:tc>
        <w:tc>
          <w:tcPr>
            <w:tcW w:w="567" w:type="dxa"/>
            <w:vAlign w:val="center"/>
          </w:tcPr>
          <w:p w14:paraId="40259C43" w14:textId="4676ACA5" w:rsidR="003914E1" w:rsidRPr="00EB1AE4" w:rsidRDefault="003914E1" w:rsidP="003C5831">
            <w:pPr>
              <w:jc w:val="center"/>
            </w:pPr>
            <w:r w:rsidRPr="00EB1AE4">
              <w:t>(2)</w:t>
            </w:r>
          </w:p>
        </w:tc>
      </w:tr>
    </w:tbl>
    <w:p w14:paraId="75029ADD" w14:textId="77777777" w:rsidR="003914E1" w:rsidRPr="00EB1AE4" w:rsidRDefault="003914E1" w:rsidP="00EE1B12"/>
    <w:p w14:paraId="5D763296" w14:textId="2F7A0C93" w:rsidR="000352DB" w:rsidRPr="00EB1AE4" w:rsidRDefault="00EE1B12" w:rsidP="000352DB">
      <w:r w:rsidRPr="00EB1AE4">
        <w:rPr>
          <w:szCs w:val="24"/>
          <w:shd w:val="clear" w:color="auto" w:fill="FFFFFF"/>
        </w:rPr>
        <w:t xml:space="preserve">A </w:t>
      </w:r>
      <w:r w:rsidR="00947A7E" w:rsidRPr="00EB1AE4">
        <w:rPr>
          <w:szCs w:val="24"/>
          <w:shd w:val="clear" w:color="auto" w:fill="FFFFFF"/>
        </w:rPr>
        <w:t xml:space="preserve">NP </w:t>
      </w:r>
      <w:r w:rsidRPr="00EB1AE4">
        <w:rPr>
          <w:szCs w:val="24"/>
          <w:shd w:val="clear" w:color="auto" w:fill="FFFFFF"/>
        </w:rPr>
        <w:t xml:space="preserve">suspension contained in a dialysis membrane immersed in a high </w:t>
      </w:r>
      <w:r w:rsidR="00BF2BCC" w:rsidRPr="00EB1AE4">
        <w:rPr>
          <w:szCs w:val="24"/>
          <w:shd w:val="clear" w:color="auto" w:fill="FFFFFF"/>
        </w:rPr>
        <w:t xml:space="preserve">osmotic </w:t>
      </w:r>
      <w:r w:rsidRPr="00EB1AE4">
        <w:rPr>
          <w:szCs w:val="24"/>
          <w:shd w:val="clear" w:color="auto" w:fill="FFFFFF"/>
        </w:rPr>
        <w:t xml:space="preserve">pressure solution receives an osmotic stress that </w:t>
      </w:r>
      <w:r w:rsidR="008C4C7E" w:rsidRPr="00EB1AE4">
        <w:rPr>
          <w:szCs w:val="24"/>
          <w:shd w:val="clear" w:color="auto" w:fill="FFFFFF"/>
        </w:rPr>
        <w:t>produce</w:t>
      </w:r>
      <w:r w:rsidR="00BF2BCC" w:rsidRPr="00EB1AE4">
        <w:rPr>
          <w:szCs w:val="24"/>
          <w:shd w:val="clear" w:color="auto" w:fill="FFFFFF"/>
        </w:rPr>
        <w:t>s</w:t>
      </w:r>
      <w:r w:rsidR="008C4C7E" w:rsidRPr="00EB1AE4">
        <w:rPr>
          <w:szCs w:val="24"/>
          <w:shd w:val="clear" w:color="auto" w:fill="FFFFFF"/>
        </w:rPr>
        <w:t xml:space="preserve"> a flow of</w:t>
      </w:r>
      <w:r w:rsidRPr="00EB1AE4">
        <w:rPr>
          <w:szCs w:val="24"/>
          <w:shd w:val="clear" w:color="auto" w:fill="FFFFFF"/>
        </w:rPr>
        <w:t xml:space="preserve"> water from inside to outside</w:t>
      </w:r>
      <w:r w:rsidR="007204F2" w:rsidRPr="00EB1AE4">
        <w:rPr>
          <w:szCs w:val="24"/>
          <w:shd w:val="clear" w:color="auto" w:fill="FFFFFF"/>
        </w:rPr>
        <w:t xml:space="preserve"> the membrane</w:t>
      </w:r>
      <w:r w:rsidRPr="00EB1AE4">
        <w:rPr>
          <w:szCs w:val="24"/>
          <w:shd w:val="clear" w:color="auto" w:fill="FFFFFF"/>
        </w:rPr>
        <w:t xml:space="preserve">. This natural movement </w:t>
      </w:r>
      <w:r w:rsidR="007204F2" w:rsidRPr="00EB1AE4">
        <w:rPr>
          <w:szCs w:val="24"/>
          <w:shd w:val="clear" w:color="auto" w:fill="FFFFFF"/>
        </w:rPr>
        <w:t xml:space="preserve">of </w:t>
      </w:r>
      <w:r w:rsidRPr="00EB1AE4">
        <w:rPr>
          <w:szCs w:val="24"/>
          <w:shd w:val="clear" w:color="auto" w:fill="FFFFFF"/>
        </w:rPr>
        <w:t xml:space="preserve">water serves to counterbalance the difference in osmotic pressure between the </w:t>
      </w:r>
      <w:r w:rsidR="008C4C7E" w:rsidRPr="00EB1AE4">
        <w:rPr>
          <w:szCs w:val="24"/>
          <w:shd w:val="clear" w:color="auto" w:fill="FFFFFF"/>
        </w:rPr>
        <w:t>two sides</w:t>
      </w:r>
      <w:r w:rsidRPr="00EB1AE4">
        <w:rPr>
          <w:szCs w:val="24"/>
          <w:shd w:val="clear" w:color="auto" w:fill="FFFFFF"/>
        </w:rPr>
        <w:t xml:space="preserve"> of the dialysis membrane. </w:t>
      </w:r>
      <w:r w:rsidR="008C4C7E" w:rsidRPr="00EB1AE4">
        <w:rPr>
          <w:szCs w:val="24"/>
          <w:shd w:val="clear" w:color="auto" w:fill="FFFFFF"/>
        </w:rPr>
        <w:t>Consequently, t</w:t>
      </w:r>
      <w:r w:rsidRPr="00EB1AE4">
        <w:rPr>
          <w:szCs w:val="24"/>
          <w:shd w:val="clear" w:color="auto" w:fill="FFFFFF"/>
        </w:rPr>
        <w:t xml:space="preserve">his </w:t>
      </w:r>
      <w:r w:rsidRPr="00EB1AE4">
        <w:rPr>
          <w:szCs w:val="24"/>
          <w:shd w:val="clear" w:color="auto" w:fill="FFFFFF"/>
        </w:rPr>
        <w:lastRenderedPageBreak/>
        <w:t xml:space="preserve">process causes the suspension of </w:t>
      </w:r>
      <w:r w:rsidR="00947A7E" w:rsidRPr="00EB1AE4">
        <w:rPr>
          <w:szCs w:val="24"/>
          <w:shd w:val="clear" w:color="auto" w:fill="FFFFFF"/>
        </w:rPr>
        <w:t xml:space="preserve">NPs </w:t>
      </w:r>
      <w:r w:rsidRPr="00EB1AE4">
        <w:rPr>
          <w:szCs w:val="24"/>
          <w:shd w:val="clear" w:color="auto" w:fill="FFFFFF"/>
        </w:rPr>
        <w:t>to be concentrated until there is an osmotic balance on both sides of the membrane.</w:t>
      </w:r>
      <w:r w:rsidR="000352DB" w:rsidRPr="00EB1AE4">
        <w:rPr>
          <w:szCs w:val="24"/>
          <w:shd w:val="clear" w:color="auto" w:fill="FFFFFF"/>
        </w:rPr>
        <w:t xml:space="preserve"> To quantify this process, </w:t>
      </w:r>
      <w:r w:rsidR="00BF2BCC" w:rsidRPr="00EB1AE4">
        <w:rPr>
          <w:szCs w:val="24"/>
          <w:shd w:val="clear" w:color="auto" w:fill="FFFFFF"/>
        </w:rPr>
        <w:t xml:space="preserve">we took into account </w:t>
      </w:r>
      <w:r w:rsidR="000352DB" w:rsidRPr="00EB1AE4">
        <w:rPr>
          <w:szCs w:val="24"/>
          <w:shd w:val="clear" w:color="auto" w:fill="FFFFFF"/>
        </w:rPr>
        <w:t xml:space="preserve">the </w:t>
      </w:r>
      <w:r w:rsidR="000352DB" w:rsidRPr="00EB1AE4">
        <w:t>concentration factor</w:t>
      </w:r>
      <w:r w:rsidR="00BF2BCC" w:rsidRPr="00EB1AE4">
        <w:t>,</w:t>
      </w:r>
      <w:r w:rsidR="000352DB" w:rsidRPr="00EB1AE4">
        <w:t xml:space="preserve"> </w:t>
      </w:r>
      <w:r w:rsidR="00BF2BCC" w:rsidRPr="00EB1AE4">
        <w:t>Fc</w:t>
      </w:r>
      <w:r w:rsidR="000352DB" w:rsidRPr="00EB1AE4">
        <w:t xml:space="preserve">. This parameter is defined as the ratio between the final and the initial </w:t>
      </w:r>
      <w:r w:rsidR="005F78D1" w:rsidRPr="00EB1AE4">
        <w:t xml:space="preserve">NP </w:t>
      </w:r>
      <w:r w:rsidR="000352DB" w:rsidRPr="00EB1AE4">
        <w:t>concentration</w:t>
      </w:r>
      <w:r w:rsidR="00947A7E" w:rsidRPr="00EB1AE4">
        <w:t xml:space="preserve"> (C</w:t>
      </w:r>
      <w:r w:rsidR="00947A7E" w:rsidRPr="00EB1AE4">
        <w:rPr>
          <w:vertAlign w:val="subscript"/>
        </w:rPr>
        <w:t>fin</w:t>
      </w:r>
      <w:r w:rsidR="00947A7E" w:rsidRPr="00EB1AE4">
        <w:t xml:space="preserve"> and C</w:t>
      </w:r>
      <w:r w:rsidR="003C5831" w:rsidRPr="00EB1AE4">
        <w:rPr>
          <w:vertAlign w:val="subscript"/>
        </w:rPr>
        <w:t>0</w:t>
      </w:r>
      <w:r w:rsidR="00947A7E" w:rsidRPr="00EB1AE4">
        <w:t>, respectively)</w:t>
      </w:r>
      <w:r w:rsidR="000352DB" w:rsidRPr="00EB1AE4">
        <w:t xml:space="preserve">, as described in </w:t>
      </w:r>
      <w:r w:rsidR="000352DB" w:rsidRPr="00EB1AE4">
        <w:rPr>
          <w:b/>
        </w:rPr>
        <w:t xml:space="preserve">Equation </w:t>
      </w:r>
      <w:r w:rsidR="00947A7E" w:rsidRPr="00EB1AE4">
        <w:rPr>
          <w:b/>
        </w:rPr>
        <w:t>3</w:t>
      </w:r>
      <w:r w:rsidR="00947A7E" w:rsidRPr="00EB1AE4">
        <w:t>.</w:t>
      </w:r>
    </w:p>
    <w:p w14:paraId="01D8946B" w14:textId="6CC26C43" w:rsidR="00947A7E" w:rsidRPr="00EB1AE4" w:rsidRDefault="00947A7E" w:rsidP="000352DB">
      <w:pPr>
        <w:rPr>
          <w:rFonts w:eastAsiaTheme="minorEastAsia"/>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8"/>
        <w:gridCol w:w="496"/>
      </w:tblGrid>
      <w:tr w:rsidR="00947A7E" w:rsidRPr="00EB1AE4" w14:paraId="003B7552" w14:textId="77777777" w:rsidTr="00C71E12">
        <w:tc>
          <w:tcPr>
            <w:tcW w:w="8217" w:type="dxa"/>
          </w:tcPr>
          <w:p w14:paraId="2001E566" w14:textId="01A07526" w:rsidR="00947A7E" w:rsidRPr="00EB1AE4" w:rsidRDefault="00947A7E" w:rsidP="003C5831">
            <w:pPr>
              <w:rPr>
                <w:rFonts w:eastAsiaTheme="minorEastAsia"/>
              </w:rPr>
            </w:pPr>
            <m:oMathPara>
              <m:oMath>
                <m:r>
                  <m:rPr>
                    <m:sty m:val="p"/>
                  </m:rPr>
                  <w:rPr>
                    <w:rFonts w:ascii="Cambria Math" w:hAnsi="Cambria Math"/>
                  </w:rPr>
                  <m:t>Fc=</m:t>
                </m:r>
                <m:f>
                  <m:fPr>
                    <m:ctrlPr>
                      <w:rPr>
                        <w:rFonts w:ascii="Cambria Math" w:hAnsi="Cambria Math"/>
                        <w:sz w:val="22"/>
                      </w:rPr>
                    </m:ctrlPr>
                  </m:fPr>
                  <m:num>
                    <m:sSub>
                      <m:sSubPr>
                        <m:ctrlPr>
                          <w:rPr>
                            <w:rFonts w:ascii="Cambria Math" w:hAnsi="Cambria Math"/>
                            <w:sz w:val="22"/>
                          </w:rPr>
                        </m:ctrlPr>
                      </m:sSubPr>
                      <m:e>
                        <m:r>
                          <m:rPr>
                            <m:sty m:val="p"/>
                          </m:rPr>
                          <w:rPr>
                            <w:rFonts w:ascii="Cambria Math" w:hAnsi="Cambria Math"/>
                          </w:rPr>
                          <m:t>C</m:t>
                        </m:r>
                      </m:e>
                      <m:sub>
                        <m:r>
                          <m:rPr>
                            <m:sty m:val="p"/>
                          </m:rPr>
                          <w:rPr>
                            <w:rFonts w:ascii="Cambria Math" w:hAnsi="Cambria Math"/>
                          </w:rPr>
                          <m:t>fin</m:t>
                        </m:r>
                      </m:sub>
                    </m:sSub>
                  </m:num>
                  <m:den>
                    <m:sSub>
                      <m:sSubPr>
                        <m:ctrlPr>
                          <w:rPr>
                            <w:rFonts w:ascii="Cambria Math" w:hAnsi="Cambria Math"/>
                            <w:sz w:val="22"/>
                          </w:rPr>
                        </m:ctrlPr>
                      </m:sSubPr>
                      <m:e>
                        <m:r>
                          <m:rPr>
                            <m:sty m:val="p"/>
                          </m:rPr>
                          <w:rPr>
                            <w:rFonts w:ascii="Cambria Math" w:hAnsi="Cambria Math"/>
                          </w:rPr>
                          <m:t>C</m:t>
                        </m:r>
                      </m:e>
                      <m:sub>
                        <m:r>
                          <m:rPr>
                            <m:sty m:val="p"/>
                          </m:rPr>
                          <w:rPr>
                            <w:rFonts w:ascii="Cambria Math" w:hAnsi="Cambria Math"/>
                          </w:rPr>
                          <m:t>0</m:t>
                        </m:r>
                      </m:sub>
                    </m:sSub>
                  </m:den>
                </m:f>
              </m:oMath>
            </m:oMathPara>
          </w:p>
        </w:tc>
        <w:tc>
          <w:tcPr>
            <w:tcW w:w="277" w:type="dxa"/>
          </w:tcPr>
          <w:p w14:paraId="03CA3AB9" w14:textId="1DBFEFE1" w:rsidR="00947A7E" w:rsidRPr="00EB1AE4" w:rsidRDefault="00947A7E" w:rsidP="000352DB">
            <w:pPr>
              <w:rPr>
                <w:rFonts w:eastAsiaTheme="minorEastAsia"/>
              </w:rPr>
            </w:pPr>
            <w:r w:rsidRPr="00EB1AE4">
              <w:rPr>
                <w:rFonts w:eastAsiaTheme="minorEastAsia"/>
              </w:rPr>
              <w:t>(3)</w:t>
            </w:r>
          </w:p>
        </w:tc>
      </w:tr>
    </w:tbl>
    <w:p w14:paraId="79C04AAA" w14:textId="77777777" w:rsidR="00947A7E" w:rsidRPr="00EB1AE4" w:rsidRDefault="00947A7E" w:rsidP="000352DB">
      <w:pPr>
        <w:rPr>
          <w:rFonts w:eastAsiaTheme="minorEastAsia"/>
        </w:rPr>
      </w:pPr>
    </w:p>
    <w:p w14:paraId="59E2EC09" w14:textId="61A65E51" w:rsidR="00FE55D6" w:rsidRPr="00EB1AE4" w:rsidRDefault="00A4680D" w:rsidP="007E5FEC">
      <w:r w:rsidRPr="00EB1AE4">
        <w:t xml:space="preserve">In order to </w:t>
      </w:r>
      <w:r w:rsidR="009E4F2B" w:rsidRPr="00EB1AE4">
        <w:t>optimize</w:t>
      </w:r>
      <w:r w:rsidR="00947A7E" w:rsidRPr="00EB1AE4">
        <w:t xml:space="preserve"> this </w:t>
      </w:r>
      <w:r w:rsidR="009E4F2B" w:rsidRPr="00EB1AE4">
        <w:t>process</w:t>
      </w:r>
      <w:r w:rsidRPr="00EB1AE4">
        <w:t xml:space="preserve"> </w:t>
      </w:r>
      <w:r w:rsidR="009E4F2B" w:rsidRPr="00EB1AE4">
        <w:t xml:space="preserve">for </w:t>
      </w:r>
      <w:r w:rsidR="00866084" w:rsidRPr="00EB1AE4">
        <w:t>the concentration of</w:t>
      </w:r>
      <w:r w:rsidRPr="00EB1AE4">
        <w:t xml:space="preserve"> a suspension of polymeric NPs, </w:t>
      </w:r>
      <w:r w:rsidR="009E4F2B" w:rsidRPr="00EB1AE4">
        <w:t xml:space="preserve">we </w:t>
      </w:r>
      <w:r w:rsidRPr="00EB1AE4">
        <w:t>f</w:t>
      </w:r>
      <w:r w:rsidR="00EE1B12" w:rsidRPr="00EB1AE4">
        <w:t>irst</w:t>
      </w:r>
      <w:r w:rsidR="009E4F2B" w:rsidRPr="00EB1AE4">
        <w:t xml:space="preserve"> conducted</w:t>
      </w:r>
      <w:r w:rsidR="00EE1B12" w:rsidRPr="00EB1AE4">
        <w:t xml:space="preserve"> lo</w:t>
      </w:r>
      <w:r w:rsidR="00866084" w:rsidRPr="00EB1AE4">
        <w:t>w-volume tests</w:t>
      </w:r>
      <w:r w:rsidR="00EE1B12" w:rsidRPr="00EB1AE4">
        <w:t xml:space="preserve">. </w:t>
      </w:r>
      <w:r w:rsidR="00F411EF" w:rsidRPr="00EB1AE4">
        <w:t xml:space="preserve">Specifically, </w:t>
      </w:r>
      <w:r w:rsidR="00EE1B12" w:rsidRPr="00EB1AE4">
        <w:t>1.5 ml of 1%</w:t>
      </w:r>
      <w:r w:rsidR="00947A7E" w:rsidRPr="00EB1AE4">
        <w:t xml:space="preserve"> w/w</w:t>
      </w:r>
      <w:r w:rsidR="00EE1B12" w:rsidRPr="00EB1AE4">
        <w:t xml:space="preserve"> NP</w:t>
      </w:r>
      <w:r w:rsidR="00947A7E" w:rsidRPr="00EB1AE4">
        <w:t xml:space="preserve"> </w:t>
      </w:r>
      <w:r w:rsidR="00EE1B12" w:rsidRPr="00EB1AE4">
        <w:t>s</w:t>
      </w:r>
      <w:r w:rsidR="00947A7E" w:rsidRPr="00EB1AE4">
        <w:t>uspension</w:t>
      </w:r>
      <w:r w:rsidR="003C5831" w:rsidRPr="00EB1AE4">
        <w:t>s</w:t>
      </w:r>
      <w:r w:rsidR="00EE1B12" w:rsidRPr="00EB1AE4">
        <w:t xml:space="preserve"> were dialyzed against 5</w:t>
      </w:r>
      <w:r w:rsidR="009E4F2B" w:rsidRPr="00EB1AE4">
        <w:t xml:space="preserve"> </w:t>
      </w:r>
      <w:r w:rsidR="00EE1B12" w:rsidRPr="00EB1AE4">
        <w:t>mL of PEG</w:t>
      </w:r>
      <w:r w:rsidR="009E4F2B" w:rsidRPr="00EB1AE4">
        <w:rPr>
          <w:vertAlign w:val="subscript"/>
        </w:rPr>
        <w:t>8000</w:t>
      </w:r>
      <w:r w:rsidR="00EE1B12" w:rsidRPr="00EB1AE4">
        <w:t xml:space="preserve"> solution</w:t>
      </w:r>
      <w:r w:rsidR="003C5831" w:rsidRPr="00EB1AE4">
        <w:t>s</w:t>
      </w:r>
      <w:r w:rsidR="00EE1B12" w:rsidRPr="00EB1AE4">
        <w:t xml:space="preserve"> at different </w:t>
      </w:r>
      <w:r w:rsidR="003C5831" w:rsidRPr="00EB1AE4">
        <w:t>concentrations. Kinetic analysi</w:t>
      </w:r>
      <w:r w:rsidR="00EE1B12" w:rsidRPr="00EB1AE4">
        <w:t xml:space="preserve">s were then carried out to </w:t>
      </w:r>
      <w:r w:rsidR="00BF2BCC" w:rsidRPr="00EB1AE4">
        <w:t xml:space="preserve">track the </w:t>
      </w:r>
      <w:r w:rsidR="000352DB" w:rsidRPr="00EB1AE4">
        <w:t>concentration of both the NP suspension and the polymer solution</w:t>
      </w:r>
      <w:r w:rsidR="00EE1B12" w:rsidRPr="00EB1AE4">
        <w:t xml:space="preserve"> over time</w:t>
      </w:r>
      <w:r w:rsidR="000352DB" w:rsidRPr="00EB1AE4">
        <w:t xml:space="preserve"> as shown in </w:t>
      </w:r>
      <w:r w:rsidR="000352DB" w:rsidRPr="00EB1AE4">
        <w:rPr>
          <w:b/>
        </w:rPr>
        <w:t>Figure</w:t>
      </w:r>
      <w:r w:rsidR="003A41F8" w:rsidRPr="00EB1AE4">
        <w:rPr>
          <w:b/>
        </w:rPr>
        <w:t xml:space="preserve"> </w:t>
      </w:r>
      <w:r w:rsidR="000352DB" w:rsidRPr="00EB1AE4">
        <w:rPr>
          <w:b/>
        </w:rPr>
        <w:t>1</w:t>
      </w:r>
      <w:r w:rsidR="008834BD" w:rsidRPr="00EB1AE4">
        <w:rPr>
          <w:b/>
        </w:rPr>
        <w:t xml:space="preserve"> </w:t>
      </w:r>
      <w:r w:rsidR="008834BD" w:rsidRPr="00EB1AE4">
        <w:t xml:space="preserve">and </w:t>
      </w:r>
      <w:r w:rsidR="008834BD" w:rsidRPr="00EB1AE4">
        <w:rPr>
          <w:b/>
        </w:rPr>
        <w:t>Figure S7</w:t>
      </w:r>
      <w:r w:rsidR="008834BD" w:rsidRPr="00EB1AE4">
        <w:t>, respectively</w:t>
      </w:r>
      <w:r w:rsidR="00EE1B12" w:rsidRPr="00EB1AE4">
        <w:t>.</w:t>
      </w:r>
    </w:p>
    <w:p w14:paraId="3A8F456F" w14:textId="0ACFFF3A" w:rsidR="00EE1B12" w:rsidRPr="00EB1AE4" w:rsidRDefault="00ED109A" w:rsidP="00AD6A3E">
      <w:r w:rsidRPr="00EB1AE4">
        <w:t>As</w:t>
      </w:r>
      <w:r w:rsidR="00BF2BCC" w:rsidRPr="00EB1AE4">
        <w:t xml:space="preserve"> it</w:t>
      </w:r>
      <w:r w:rsidRPr="00EB1AE4">
        <w:t xml:space="preserve"> can be retrieved from </w:t>
      </w:r>
      <w:r w:rsidRPr="00EB1AE4">
        <w:rPr>
          <w:b/>
        </w:rPr>
        <w:t>Figure 1</w:t>
      </w:r>
      <w:r w:rsidR="00E628E9" w:rsidRPr="00EB1AE4">
        <w:rPr>
          <w:b/>
        </w:rPr>
        <w:t>a</w:t>
      </w:r>
      <w:r w:rsidRPr="00EB1AE4">
        <w:t xml:space="preserve">, </w:t>
      </w:r>
      <w:r w:rsidR="003A41F8" w:rsidRPr="00EB1AE4">
        <w:t xml:space="preserve">independently from </w:t>
      </w:r>
      <w:r w:rsidRPr="00EB1AE4">
        <w:t>the PEG</w:t>
      </w:r>
      <w:r w:rsidRPr="00EB1AE4">
        <w:rPr>
          <w:vertAlign w:val="subscript"/>
        </w:rPr>
        <w:t>8000</w:t>
      </w:r>
      <w:r w:rsidRPr="00EB1AE4">
        <w:t xml:space="preserve"> </w:t>
      </w:r>
      <w:r w:rsidR="003A41F8" w:rsidRPr="00EB1AE4">
        <w:t>concentration, the presence of the polymer is able to produce an osmotic pressure that cause</w:t>
      </w:r>
      <w:r w:rsidR="00E72DD6" w:rsidRPr="00EB1AE4">
        <w:t>s</w:t>
      </w:r>
      <w:r w:rsidR="003A41F8" w:rsidRPr="00EB1AE4">
        <w:t xml:space="preserve"> the migration of water </w:t>
      </w:r>
      <w:r w:rsidR="00101A9C">
        <w:t>out of the dialysis membrane</w:t>
      </w:r>
      <w:r w:rsidR="003A41F8" w:rsidRPr="00EB1AE4">
        <w:t xml:space="preserve"> </w:t>
      </w:r>
      <w:r w:rsidR="00E72DD6" w:rsidRPr="00EB1AE4">
        <w:t xml:space="preserve">and in turn </w:t>
      </w:r>
      <w:r w:rsidR="00101A9C">
        <w:t>the</w:t>
      </w:r>
      <w:r w:rsidR="00101A9C" w:rsidRPr="00EB1AE4">
        <w:t xml:space="preserve"> NP concentration</w:t>
      </w:r>
      <w:r w:rsidR="003A41F8" w:rsidRPr="00EB1AE4">
        <w:t xml:space="preserve">. This </w:t>
      </w:r>
      <w:r w:rsidR="00EB3CCA" w:rsidRPr="00EB1AE4">
        <w:t xml:space="preserve">concentration led to a </w:t>
      </w:r>
      <w:r w:rsidR="00101A9C">
        <w:t>final</w:t>
      </w:r>
      <w:r w:rsidR="00EB3CCA" w:rsidRPr="00EB1AE4">
        <w:t xml:space="preserve"> weight of the suspension up to 50% of the initial weight. In turn, we excluded that this reduction in weight could be due to external phenomena (</w:t>
      </w:r>
      <w:r w:rsidR="00EB3CCA" w:rsidRPr="00EB1AE4">
        <w:rPr>
          <w:i/>
        </w:rPr>
        <w:t xml:space="preserve">i.e. </w:t>
      </w:r>
      <w:r w:rsidR="00EB3CCA" w:rsidRPr="00EB1AE4">
        <w:t>evaporation) by demonstrating that the weig</w:t>
      </w:r>
      <w:r w:rsidR="00751B09" w:rsidRPr="00EB1AE4">
        <w:t>ht lost by the NP suspension is</w:t>
      </w:r>
      <w:r w:rsidR="00EB3CCA" w:rsidRPr="00EB1AE4">
        <w:t xml:space="preserve"> gained by the dialysis medium (see </w:t>
      </w:r>
      <w:r w:rsidR="00EB3CCA" w:rsidRPr="00EB1AE4">
        <w:rPr>
          <w:b/>
        </w:rPr>
        <w:t xml:space="preserve">Table </w:t>
      </w:r>
      <w:r w:rsidR="00E86D5F" w:rsidRPr="00EB1AE4">
        <w:rPr>
          <w:b/>
        </w:rPr>
        <w:t>S1</w:t>
      </w:r>
      <w:r w:rsidR="00EB3CCA" w:rsidRPr="00EB1AE4">
        <w:t>)</w:t>
      </w:r>
      <w:r w:rsidR="003A41F8" w:rsidRPr="00EB1AE4">
        <w:t>.</w:t>
      </w:r>
      <w:r w:rsidR="00E72DD6" w:rsidRPr="00EB1AE4">
        <w:t xml:space="preserve"> </w:t>
      </w:r>
      <w:r w:rsidR="00EA4E80" w:rsidRPr="00EB1AE4">
        <w:t xml:space="preserve">Moreover, </w:t>
      </w:r>
      <w:r w:rsidR="00EB3CCA" w:rsidRPr="00EB1AE4">
        <w:t xml:space="preserve">we demonstrated that </w:t>
      </w:r>
      <w:r w:rsidR="00EA4E80" w:rsidRPr="00EB1AE4">
        <w:t xml:space="preserve">by </w:t>
      </w:r>
      <w:r w:rsidR="00EB3CCA" w:rsidRPr="00EB1AE4">
        <w:t>increasing</w:t>
      </w:r>
      <w:r w:rsidR="00EA4E80" w:rsidRPr="00EB1AE4">
        <w:t xml:space="preserve"> the concentration of PEG </w:t>
      </w:r>
      <w:r w:rsidR="00EB3CCA" w:rsidRPr="00EB1AE4">
        <w:t>in the medium,</w:t>
      </w:r>
      <w:r w:rsidR="00EA4E80" w:rsidRPr="00EB1AE4">
        <w:t xml:space="preserve"> </w:t>
      </w:r>
      <w:r w:rsidR="00EB3CCA" w:rsidRPr="00EB1AE4">
        <w:t>we were able to increase both the</w:t>
      </w:r>
      <w:r w:rsidR="000D5608" w:rsidRPr="00EB1AE4">
        <w:t xml:space="preserve"> concentration</w:t>
      </w:r>
      <w:r w:rsidR="00EB3CCA" w:rsidRPr="00EB1AE4">
        <w:t xml:space="preserve"> rate as well as the </w:t>
      </w:r>
      <w:r w:rsidR="000D5608" w:rsidRPr="00EB1AE4">
        <w:t>Fc</w:t>
      </w:r>
      <w:r w:rsidR="00EB3CCA" w:rsidRPr="00EB1AE4">
        <w:t xml:space="preserve"> reached at the equilibrium, as shown in </w:t>
      </w:r>
      <w:r w:rsidR="00EB3CCA" w:rsidRPr="00EB1AE4">
        <w:rPr>
          <w:b/>
        </w:rPr>
        <w:t>Figure 1b</w:t>
      </w:r>
      <w:r w:rsidR="00EA4E80" w:rsidRPr="00EB1AE4">
        <w:t>.</w:t>
      </w:r>
      <w:r w:rsidR="005D3F99" w:rsidRPr="00EB1AE4">
        <w:t xml:space="preserve"> </w:t>
      </w:r>
      <w:r w:rsidR="00EE1B12" w:rsidRPr="00EB1AE4">
        <w:t xml:space="preserve">However, </w:t>
      </w:r>
      <w:r w:rsidR="00E628E9" w:rsidRPr="00EB1AE4">
        <w:t>comparing the different concentration</w:t>
      </w:r>
      <w:r w:rsidR="00EB3CCA" w:rsidRPr="00EB1AE4">
        <w:t>s</w:t>
      </w:r>
      <w:r w:rsidR="00E628E9" w:rsidRPr="00EB1AE4">
        <w:t xml:space="preserve"> of PEG</w:t>
      </w:r>
      <w:r w:rsidR="00E628E9" w:rsidRPr="00EB1AE4">
        <w:rPr>
          <w:vertAlign w:val="subscript"/>
        </w:rPr>
        <w:t>8000</w:t>
      </w:r>
      <w:r w:rsidR="00E628E9" w:rsidRPr="00EB1AE4">
        <w:t xml:space="preserve"> tested, </w:t>
      </w:r>
      <w:r w:rsidR="00EE1B12" w:rsidRPr="00EB1AE4">
        <w:t xml:space="preserve">it </w:t>
      </w:r>
      <w:r w:rsidR="007204F2" w:rsidRPr="00EB1AE4">
        <w:t>can be noticed</w:t>
      </w:r>
      <w:r w:rsidR="00EE1B12" w:rsidRPr="00EB1AE4">
        <w:t xml:space="preserve"> that for small volumes of NP</w:t>
      </w:r>
      <w:r w:rsidR="000D5608" w:rsidRPr="00EB1AE4">
        <w:t xml:space="preserve"> suspensions,</w:t>
      </w:r>
      <w:r w:rsidR="00EE1B12" w:rsidRPr="00EB1AE4">
        <w:t xml:space="preserve"> only a </w:t>
      </w:r>
      <w:r w:rsidR="007204F2" w:rsidRPr="00EB1AE4">
        <w:t>partial</w:t>
      </w:r>
      <w:r w:rsidR="00EE1B12" w:rsidRPr="00EB1AE4">
        <w:t xml:space="preserve"> amount of water is removed, limiting the potential of the technique and thus the ability to concentrate NPs. </w:t>
      </w:r>
      <w:r w:rsidR="003C5F4A" w:rsidRPr="00EB1AE4">
        <w:t>Furthermore,</w:t>
      </w:r>
      <w:r w:rsidR="007204F2" w:rsidRPr="00EB1AE4">
        <w:t xml:space="preserve"> </w:t>
      </w:r>
      <w:r w:rsidR="00E628E9" w:rsidRPr="00EB1AE4">
        <w:t xml:space="preserve">the </w:t>
      </w:r>
      <w:r w:rsidR="007204F2" w:rsidRPr="00EB1AE4">
        <w:t>t</w:t>
      </w:r>
      <w:r w:rsidR="00EE1B12" w:rsidRPr="00EB1AE4">
        <w:t xml:space="preserve">ests </w:t>
      </w:r>
      <w:r w:rsidR="00E628E9" w:rsidRPr="00EB1AE4">
        <w:t>performed</w:t>
      </w:r>
      <w:r w:rsidR="00EE1B12" w:rsidRPr="00EB1AE4">
        <w:t xml:space="preserve"> increasing the concentration of </w:t>
      </w:r>
      <w:r w:rsidR="007204F2" w:rsidRPr="00EB1AE4">
        <w:t xml:space="preserve">the </w:t>
      </w:r>
      <w:r w:rsidR="00EE1B12" w:rsidRPr="00EB1AE4">
        <w:t>polymer show</w:t>
      </w:r>
      <w:r w:rsidR="0002412D" w:rsidRPr="00EB1AE4">
        <w:t xml:space="preserve"> that it is not possible to achieve </w:t>
      </w:r>
      <w:r w:rsidR="00EE1B12" w:rsidRPr="00EB1AE4">
        <w:t>conce</w:t>
      </w:r>
      <w:r w:rsidR="0002412D" w:rsidRPr="00EB1AE4">
        <w:t xml:space="preserve">ntration factors </w:t>
      </w:r>
      <w:r w:rsidR="00EB3CCA" w:rsidRPr="00EB1AE4">
        <w:t xml:space="preserve">higher than </w:t>
      </w:r>
      <w:r w:rsidR="0002412D" w:rsidRPr="00EB1AE4">
        <w:t>2</w:t>
      </w:r>
      <w:r w:rsidR="000352DB" w:rsidRPr="00EB1AE4">
        <w:t>,</w:t>
      </w:r>
      <w:r w:rsidR="00E628E9" w:rsidRPr="00EB1AE4">
        <w:t xml:space="preserve"> for small volumes</w:t>
      </w:r>
      <w:r w:rsidR="00EE1B12" w:rsidRPr="00EB1AE4">
        <w:t xml:space="preserve">. </w:t>
      </w:r>
    </w:p>
    <w:p w14:paraId="10A302F1" w14:textId="68BE7730" w:rsidR="006B4631" w:rsidRPr="00EB1AE4" w:rsidRDefault="00101A9C" w:rsidP="006B4631">
      <w:pPr>
        <w:rPr>
          <w:color w:val="FF0000"/>
        </w:rPr>
      </w:pPr>
      <w:r>
        <w:t>Therefore</w:t>
      </w:r>
      <w:r w:rsidR="003C5F4A" w:rsidRPr="00EB1AE4">
        <w:t>, i</w:t>
      </w:r>
      <w:r w:rsidR="001633EA" w:rsidRPr="00EB1AE4">
        <w:t xml:space="preserve">n order to investigate more </w:t>
      </w:r>
      <w:r w:rsidR="000D5608" w:rsidRPr="00EB1AE4">
        <w:t>in details</w:t>
      </w:r>
      <w:r w:rsidR="001633EA" w:rsidRPr="00EB1AE4">
        <w:t xml:space="preserve"> the effect </w:t>
      </w:r>
      <w:r w:rsidR="00261179" w:rsidRPr="00EB1AE4">
        <w:t>of</w:t>
      </w:r>
      <w:r w:rsidR="001633EA" w:rsidRPr="00EB1AE4">
        <w:t xml:space="preserve"> the osmotic pressure on the concent</w:t>
      </w:r>
      <w:r w:rsidR="009D2508" w:rsidRPr="00EB1AE4">
        <w:t>r</w:t>
      </w:r>
      <w:r w:rsidR="001633EA" w:rsidRPr="00EB1AE4">
        <w:t xml:space="preserve">ation of </w:t>
      </w:r>
      <w:r w:rsidR="00986C70" w:rsidRPr="00EB1AE4">
        <w:t xml:space="preserve">NP </w:t>
      </w:r>
      <w:r w:rsidR="001633EA" w:rsidRPr="00EB1AE4">
        <w:t>suspension</w:t>
      </w:r>
      <w:r w:rsidR="000D5608" w:rsidRPr="00EB1AE4">
        <w:t>s</w:t>
      </w:r>
      <w:r w:rsidR="001633EA" w:rsidRPr="00EB1AE4">
        <w:t xml:space="preserve">, </w:t>
      </w:r>
      <w:r w:rsidR="00B90927" w:rsidRPr="00EB1AE4">
        <w:t xml:space="preserve">we designed </w:t>
      </w:r>
      <w:r w:rsidR="001633EA" w:rsidRPr="00EB1AE4">
        <w:t xml:space="preserve">a </w:t>
      </w:r>
      <w:r w:rsidR="00EE1B12" w:rsidRPr="00EB1AE4">
        <w:t xml:space="preserve">second </w:t>
      </w:r>
      <w:r w:rsidR="00E473D2" w:rsidRPr="00EB1AE4">
        <w:t>set</w:t>
      </w:r>
      <w:r w:rsidR="00EE1B12" w:rsidRPr="00EB1AE4">
        <w:t xml:space="preserve"> of </w:t>
      </w:r>
      <w:r w:rsidR="00261179" w:rsidRPr="00EB1AE4">
        <w:t>experiments</w:t>
      </w:r>
      <w:r w:rsidR="00EE1B12" w:rsidRPr="00EB1AE4">
        <w:t xml:space="preserve"> for larger volumes of </w:t>
      </w:r>
      <w:r w:rsidR="000D5608" w:rsidRPr="00EB1AE4">
        <w:t>NP suspensions</w:t>
      </w:r>
      <w:r w:rsidR="00EE1B12" w:rsidRPr="00EB1AE4">
        <w:t xml:space="preserve"> and buffers. </w:t>
      </w:r>
      <w:r w:rsidR="000F1621" w:rsidRPr="00EB1AE4">
        <w:t>Five</w:t>
      </w:r>
      <w:r w:rsidR="00EE1B12" w:rsidRPr="00EB1AE4">
        <w:t xml:space="preserve"> </w:t>
      </w:r>
      <w:r w:rsidR="00986C70" w:rsidRPr="00EB1AE4">
        <w:t>PEG</w:t>
      </w:r>
      <w:r w:rsidR="00986C70" w:rsidRPr="00EB1AE4">
        <w:rPr>
          <w:vertAlign w:val="subscript"/>
        </w:rPr>
        <w:t>8000</w:t>
      </w:r>
      <w:r w:rsidR="00986C70" w:rsidRPr="00EB1AE4">
        <w:t xml:space="preserve"> </w:t>
      </w:r>
      <w:r w:rsidR="00EE1B12" w:rsidRPr="00EB1AE4">
        <w:t>concentrations</w:t>
      </w:r>
      <w:r w:rsidR="000F1621" w:rsidRPr="00EB1AE4">
        <w:t xml:space="preserve"> were</w:t>
      </w:r>
      <w:r w:rsidR="00EE1B12" w:rsidRPr="00EB1AE4">
        <w:t xml:space="preserve"> </w:t>
      </w:r>
      <w:r w:rsidR="00986C70" w:rsidRPr="00EB1AE4">
        <w:t>investigated, namely</w:t>
      </w:r>
      <w:r w:rsidR="00EE1B12" w:rsidRPr="00EB1AE4">
        <w:t xml:space="preserve"> </w:t>
      </w:r>
      <w:r w:rsidR="000F1621" w:rsidRPr="00EB1AE4">
        <w:t>20 mg/</w:t>
      </w:r>
      <w:r w:rsidR="005E46E3" w:rsidRPr="00EB1AE4">
        <w:t>m</w:t>
      </w:r>
      <w:r w:rsidR="005E46E3">
        <w:t>l</w:t>
      </w:r>
      <w:r w:rsidR="000F1621" w:rsidRPr="00EB1AE4">
        <w:t xml:space="preserve">, </w:t>
      </w:r>
      <w:r w:rsidR="00EE1B12" w:rsidRPr="00EB1AE4">
        <w:t>43</w:t>
      </w:r>
      <w:r w:rsidR="00986C70" w:rsidRPr="00EB1AE4">
        <w:t xml:space="preserve"> </w:t>
      </w:r>
      <w:r w:rsidR="00EE1B12" w:rsidRPr="00EB1AE4">
        <w:t>mg/</w:t>
      </w:r>
      <w:r w:rsidR="005E46E3" w:rsidRPr="00EB1AE4">
        <w:t>m</w:t>
      </w:r>
      <w:r w:rsidR="005E46E3">
        <w:t>l</w:t>
      </w:r>
      <w:r w:rsidR="000F0EA9" w:rsidRPr="00EB1AE4">
        <w:t>, 8</w:t>
      </w:r>
      <w:r w:rsidR="005E46E3">
        <w:t>7</w:t>
      </w:r>
      <w:r w:rsidR="00986C70" w:rsidRPr="00EB1AE4">
        <w:t xml:space="preserve"> </w:t>
      </w:r>
      <w:r w:rsidR="000F0EA9" w:rsidRPr="00EB1AE4">
        <w:t>mg/</w:t>
      </w:r>
      <w:r w:rsidR="005E46E3" w:rsidRPr="00EB1AE4">
        <w:t>m</w:t>
      </w:r>
      <w:r w:rsidR="005E46E3">
        <w:t>l</w:t>
      </w:r>
      <w:r w:rsidR="000F1621" w:rsidRPr="00EB1AE4">
        <w:t>,</w:t>
      </w:r>
      <w:r w:rsidR="000F0EA9" w:rsidRPr="00EB1AE4">
        <w:t xml:space="preserve"> 130</w:t>
      </w:r>
      <w:r w:rsidR="00986C70" w:rsidRPr="00EB1AE4">
        <w:t xml:space="preserve"> </w:t>
      </w:r>
      <w:r w:rsidR="000F0EA9" w:rsidRPr="00EB1AE4">
        <w:t>mg/</w:t>
      </w:r>
      <w:r w:rsidR="000F1621" w:rsidRPr="00EB1AE4">
        <w:t>m</w:t>
      </w:r>
      <w:r w:rsidR="005E46E3">
        <w:t>l</w:t>
      </w:r>
      <w:r w:rsidR="000F1621" w:rsidRPr="00EB1AE4">
        <w:t xml:space="preserve"> and 180 mg/</w:t>
      </w:r>
      <w:r w:rsidR="005E46E3" w:rsidRPr="00EB1AE4">
        <w:t>m</w:t>
      </w:r>
      <w:r w:rsidR="005E46E3">
        <w:t>l</w:t>
      </w:r>
      <w:r w:rsidR="00986C70" w:rsidRPr="00EB1AE4">
        <w:t xml:space="preserve">, </w:t>
      </w:r>
      <w:r w:rsidR="00935EBA" w:rsidRPr="00EB1AE4">
        <w:t xml:space="preserve">and the </w:t>
      </w:r>
      <w:r w:rsidR="00986C70" w:rsidRPr="00EB1AE4">
        <w:t xml:space="preserve">volumes of buffer </w:t>
      </w:r>
      <w:r w:rsidR="00935EBA" w:rsidRPr="00EB1AE4">
        <w:t>were scaled-up to</w:t>
      </w:r>
      <w:r w:rsidR="00EE1B12" w:rsidRPr="00EB1AE4">
        <w:t xml:space="preserve"> 100</w:t>
      </w:r>
      <w:r w:rsidR="00986C70" w:rsidRPr="00EB1AE4">
        <w:t xml:space="preserve"> </w:t>
      </w:r>
      <w:r w:rsidR="005E46E3" w:rsidRPr="00EB1AE4">
        <w:t>m</w:t>
      </w:r>
      <w:r w:rsidR="005E46E3">
        <w:t>l</w:t>
      </w:r>
      <w:r w:rsidR="005E46E3" w:rsidRPr="00EB1AE4">
        <w:t xml:space="preserve"> </w:t>
      </w:r>
      <w:r w:rsidR="0063554C" w:rsidRPr="00EB1AE4">
        <w:t xml:space="preserve">and </w:t>
      </w:r>
      <w:r w:rsidR="00EE1B12" w:rsidRPr="00EB1AE4">
        <w:t>200</w:t>
      </w:r>
      <w:r w:rsidR="00986C70" w:rsidRPr="00EB1AE4">
        <w:t xml:space="preserve"> </w:t>
      </w:r>
      <w:r w:rsidR="005E46E3" w:rsidRPr="00EB1AE4">
        <w:t>m</w:t>
      </w:r>
      <w:r w:rsidR="005E46E3">
        <w:t>l</w:t>
      </w:r>
      <w:r w:rsidR="00986C70" w:rsidRPr="00EB1AE4">
        <w:t xml:space="preserve">, </w:t>
      </w:r>
      <w:r w:rsidR="0063554C" w:rsidRPr="00EB1AE4">
        <w:t xml:space="preserve">as described in </w:t>
      </w:r>
      <w:r w:rsidR="0063554C" w:rsidRPr="00EB1AE4">
        <w:rPr>
          <w:b/>
        </w:rPr>
        <w:t>Table S</w:t>
      </w:r>
      <w:r w:rsidR="00E86D5F" w:rsidRPr="00EB1AE4">
        <w:rPr>
          <w:b/>
        </w:rPr>
        <w:t>2</w:t>
      </w:r>
      <w:r w:rsidR="007A3632" w:rsidRPr="00EB1AE4">
        <w:t>.</w:t>
      </w:r>
      <w:r w:rsidR="00EE1B12" w:rsidRPr="00EB1AE4">
        <w:t xml:space="preserve"> </w:t>
      </w:r>
      <w:r w:rsidR="008422AB" w:rsidRPr="00EB1AE4">
        <w:t xml:space="preserve">Indeed, </w:t>
      </w:r>
      <w:r w:rsidR="00B90927" w:rsidRPr="00EB1AE4">
        <w:t xml:space="preserve">we show </w:t>
      </w:r>
      <w:r w:rsidR="00061818" w:rsidRPr="00EB1AE4">
        <w:t>in</w:t>
      </w:r>
      <w:r w:rsidR="00061818" w:rsidRPr="00EB1AE4">
        <w:rPr>
          <w:b/>
        </w:rPr>
        <w:t xml:space="preserve"> Figure 2</w:t>
      </w:r>
      <w:r w:rsidR="008422AB" w:rsidRPr="00EB1AE4">
        <w:t xml:space="preserve"> how in </w:t>
      </w:r>
      <w:r w:rsidR="00115785" w:rsidRPr="00EB1AE4">
        <w:t>t</w:t>
      </w:r>
      <w:r w:rsidR="00B90927" w:rsidRPr="00EB1AE4">
        <w:t>his case we were</w:t>
      </w:r>
      <w:r w:rsidR="008422AB" w:rsidRPr="00EB1AE4">
        <w:t xml:space="preserve"> able to </w:t>
      </w:r>
      <w:r w:rsidR="00B90927" w:rsidRPr="00EB1AE4">
        <w:t xml:space="preserve">remove </w:t>
      </w:r>
      <w:r w:rsidR="008422AB" w:rsidRPr="00EB1AE4">
        <w:t xml:space="preserve">a significantly larger </w:t>
      </w:r>
      <w:r w:rsidR="00B90927" w:rsidRPr="00EB1AE4">
        <w:t xml:space="preserve">amount </w:t>
      </w:r>
      <w:r w:rsidR="008422AB" w:rsidRPr="00EB1AE4">
        <w:t xml:space="preserve">of </w:t>
      </w:r>
      <w:r w:rsidR="008422AB" w:rsidRPr="00EB1AE4">
        <w:lastRenderedPageBreak/>
        <w:t xml:space="preserve">water from the </w:t>
      </w:r>
      <w:r w:rsidR="00115785" w:rsidRPr="00EB1AE4">
        <w:t xml:space="preserve">NP </w:t>
      </w:r>
      <w:r w:rsidR="008422AB" w:rsidRPr="00EB1AE4">
        <w:t xml:space="preserve">suspension. Compared to smaller volumes, </w:t>
      </w:r>
      <w:r w:rsidR="00B90927" w:rsidRPr="00EB1AE4">
        <w:t xml:space="preserve">it is possible to observe in </w:t>
      </w:r>
      <w:r w:rsidR="00B90927" w:rsidRPr="00EB1AE4">
        <w:rPr>
          <w:b/>
        </w:rPr>
        <w:t>Figure 2a</w:t>
      </w:r>
      <w:r w:rsidR="00B90927" w:rsidRPr="00EB1AE4">
        <w:t xml:space="preserve"> that more than 95% of the suspension weight is lost</w:t>
      </w:r>
      <w:r w:rsidR="00115785" w:rsidRPr="00EB1AE4">
        <w:t xml:space="preserve"> at the equilibrium</w:t>
      </w:r>
      <w:r w:rsidR="00B90927" w:rsidRPr="00EB1AE4">
        <w:t>. Fu</w:t>
      </w:r>
      <w:r w:rsidR="00D37B9D" w:rsidRPr="00EB1AE4">
        <w:t xml:space="preserve">rthermore, the concentration of </w:t>
      </w:r>
      <w:r w:rsidR="00B90927" w:rsidRPr="00EB1AE4">
        <w:t>PEG</w:t>
      </w:r>
      <w:r w:rsidR="00B90927" w:rsidRPr="00EB1AE4">
        <w:rPr>
          <w:vertAlign w:val="subscript"/>
        </w:rPr>
        <w:t>8000</w:t>
      </w:r>
      <w:r w:rsidR="00B90927" w:rsidRPr="00EB1AE4">
        <w:t xml:space="preserve"> in the dialysis medium significantly influences the water removal rate</w:t>
      </w:r>
      <w:r w:rsidR="00115785" w:rsidRPr="00EB1AE4">
        <w:t xml:space="preserve">, which represents a fundamental aspect for the scale-up of this method and </w:t>
      </w:r>
      <w:r w:rsidR="00751B09" w:rsidRPr="00EB1AE4">
        <w:t>its applicability in the clinic</w:t>
      </w:r>
      <w:r w:rsidR="00B90927" w:rsidRPr="00EB1AE4">
        <w:t>.</w:t>
      </w:r>
      <w:r w:rsidR="00000990" w:rsidRPr="00EB1AE4">
        <w:t xml:space="preserve"> It is worth mentioning that before</w:t>
      </w:r>
      <w:r w:rsidR="00C6651D" w:rsidRPr="00EB1AE4">
        <w:t xml:space="preserve"> reaching</w:t>
      </w:r>
      <w:r w:rsidR="00000990" w:rsidRPr="00EB1AE4">
        <w:t xml:space="preserve"> the </w:t>
      </w:r>
      <w:r w:rsidR="00C6651D" w:rsidRPr="00EB1AE4">
        <w:t>equilibrium</w:t>
      </w:r>
      <w:r w:rsidR="00000990" w:rsidRPr="00EB1AE4">
        <w:t>, the system is characterized by a linear</w:t>
      </w:r>
      <w:r w:rsidR="00C6651D" w:rsidRPr="00EB1AE4">
        <w:t xml:space="preserve"> decrease of the suspension weight during time. Hence</w:t>
      </w:r>
      <w:r w:rsidR="000D5608" w:rsidRPr="00EB1AE4">
        <w:t>,</w:t>
      </w:r>
      <w:r w:rsidR="00C6651D" w:rsidRPr="00EB1AE4">
        <w:t xml:space="preserve"> the concentration factor follows a zero-order kinetic with time with the</w:t>
      </w:r>
      <w:r w:rsidR="00000990" w:rsidRPr="00EB1AE4">
        <w:t xml:space="preserve"> slope </w:t>
      </w:r>
      <w:r w:rsidR="00CA3809" w:rsidRPr="00EB1AE4">
        <w:t>depending</w:t>
      </w:r>
      <w:r w:rsidR="00000990" w:rsidRPr="00EB1AE4">
        <w:t xml:space="preserve"> on the PEG</w:t>
      </w:r>
      <w:r w:rsidR="00000990" w:rsidRPr="00EB1AE4">
        <w:rPr>
          <w:vertAlign w:val="subscript"/>
        </w:rPr>
        <w:t>8000</w:t>
      </w:r>
      <w:r w:rsidR="00000990" w:rsidRPr="00EB1AE4">
        <w:t xml:space="preserve"> concentration. Furthermore,</w:t>
      </w:r>
      <w:r w:rsidR="00B90927" w:rsidRPr="00EB1AE4">
        <w:t xml:space="preserve"> </w:t>
      </w:r>
      <w:r w:rsidR="00000990" w:rsidRPr="00EB1AE4">
        <w:t>w</w:t>
      </w:r>
      <w:r w:rsidR="00115785" w:rsidRPr="00EB1AE4">
        <w:t>ith PEG</w:t>
      </w:r>
      <w:r w:rsidR="00115785" w:rsidRPr="00EB1AE4">
        <w:rPr>
          <w:vertAlign w:val="subscript"/>
        </w:rPr>
        <w:t>8000</w:t>
      </w:r>
      <w:r w:rsidR="00115785" w:rsidRPr="00EB1AE4">
        <w:t xml:space="preserve"> concentrations higher than </w:t>
      </w:r>
      <w:r w:rsidR="00495345" w:rsidRPr="00EB1AE4">
        <w:t>8</w:t>
      </w:r>
      <w:r w:rsidR="00495345">
        <w:t>7</w:t>
      </w:r>
      <w:r w:rsidR="00495345" w:rsidRPr="00EB1AE4">
        <w:t xml:space="preserve"> </w:t>
      </w:r>
      <w:r w:rsidR="00115785" w:rsidRPr="00EB1AE4">
        <w:t>mg/ml</w:t>
      </w:r>
      <w:r w:rsidR="00B90927" w:rsidRPr="00EB1AE4">
        <w:t>,</w:t>
      </w:r>
      <w:r w:rsidR="00115785" w:rsidRPr="00EB1AE4">
        <w:t xml:space="preserve"> the equilibrium is reached within 24 h, which is </w:t>
      </w:r>
      <w:r w:rsidR="00B90927" w:rsidRPr="00EB1AE4">
        <w:t xml:space="preserve">not much higher than </w:t>
      </w:r>
      <w:r w:rsidR="00115785" w:rsidRPr="00EB1AE4">
        <w:t>the time</w:t>
      </w:r>
      <w:r w:rsidR="00B90927" w:rsidRPr="00EB1AE4">
        <w:t xml:space="preserve"> required for the complete freeze-drying of a NP suspension. </w:t>
      </w:r>
      <w:r w:rsidR="00115785" w:rsidRPr="00EB1AE4">
        <w:t>However, if we further increase the</w:t>
      </w:r>
      <w:r w:rsidR="00B90927" w:rsidRPr="00EB1AE4">
        <w:t xml:space="preserve"> PEG</w:t>
      </w:r>
      <w:r w:rsidR="00B90927" w:rsidRPr="00EB1AE4">
        <w:rPr>
          <w:vertAlign w:val="subscript"/>
        </w:rPr>
        <w:t>8000</w:t>
      </w:r>
      <w:r w:rsidR="00B90927" w:rsidRPr="00EB1AE4">
        <w:t xml:space="preserve"> </w:t>
      </w:r>
      <w:r w:rsidR="00115785" w:rsidRPr="00EB1AE4">
        <w:t xml:space="preserve">concentration </w:t>
      </w:r>
      <w:r w:rsidR="00B90927" w:rsidRPr="00EB1AE4">
        <w:t xml:space="preserve">up to 180 </w:t>
      </w:r>
      <w:r w:rsidR="00115785" w:rsidRPr="00EB1AE4">
        <w:t>m</w:t>
      </w:r>
      <w:r w:rsidR="00B90927" w:rsidRPr="00EB1AE4">
        <w:t>g/</w:t>
      </w:r>
      <w:r w:rsidR="00115785" w:rsidRPr="00EB1AE4">
        <w:t>ml</w:t>
      </w:r>
      <w:r w:rsidR="00B90927" w:rsidRPr="00EB1AE4">
        <w:t xml:space="preserve"> </w:t>
      </w:r>
      <w:r w:rsidR="00115785" w:rsidRPr="00EB1AE4">
        <w:t xml:space="preserve">we were able to remove more than 97% of water in less than 10 h, a suitable timescale for a large scale application. </w:t>
      </w:r>
      <w:r w:rsidR="000174A4" w:rsidRPr="00EB1AE4">
        <w:t xml:space="preserve">Indeed, as shown in </w:t>
      </w:r>
      <w:r w:rsidR="000174A4" w:rsidRPr="00EB1AE4">
        <w:rPr>
          <w:b/>
        </w:rPr>
        <w:t>Figure 2b</w:t>
      </w:r>
      <w:r w:rsidR="000174A4" w:rsidRPr="00EB1AE4">
        <w:t>, the Fc at equilibrium seems to only depend on the PEG concentration and not on the buffer volume.</w:t>
      </w:r>
    </w:p>
    <w:p w14:paraId="450E4CC3" w14:textId="32AD455E" w:rsidR="00BF30BA" w:rsidRPr="00EB1AE4" w:rsidRDefault="000174A4" w:rsidP="00EE1B12">
      <w:r w:rsidRPr="00EB1AE4">
        <w:t>In fact</w:t>
      </w:r>
      <w:r w:rsidR="007E0F12" w:rsidRPr="00EB1AE4">
        <w:t xml:space="preserve">, </w:t>
      </w:r>
      <w:r w:rsidR="009E4B54" w:rsidRPr="00EB1AE4">
        <w:t xml:space="preserve">we found that </w:t>
      </w:r>
      <w:r w:rsidRPr="00EB1AE4">
        <w:t xml:space="preserve">Fc </w:t>
      </w:r>
      <w:r w:rsidR="00E07476" w:rsidRPr="00EB1AE4">
        <w:t>shows</w:t>
      </w:r>
      <w:r w:rsidRPr="00EB1AE4">
        <w:t xml:space="preserve"> an exponential increase with the osmotic pressure </w:t>
      </w:r>
      <w:r w:rsidRPr="00EB1AE4">
        <w:rPr>
          <w:rFonts w:cs="Times New Roman"/>
        </w:rPr>
        <w:t>π</w:t>
      </w:r>
      <w:r w:rsidRPr="00EB1AE4">
        <w:t xml:space="preserve">, as highlighted in </w:t>
      </w:r>
      <w:r w:rsidR="009E4B54" w:rsidRPr="00EB1AE4">
        <w:rPr>
          <w:b/>
        </w:rPr>
        <w:t>Figure 3a</w:t>
      </w:r>
      <w:r w:rsidRPr="00EB1AE4">
        <w:t>. In this Figure, it is possible to retrieve that Fc is also affected by the initial concentration of the NP suspension. Interestingly, higher Fc can be obtained at increasing NP initial concentration.</w:t>
      </w:r>
      <w:r w:rsidR="003976BB" w:rsidRPr="00EB1AE4">
        <w:t xml:space="preserve"> </w:t>
      </w:r>
      <w:r w:rsidR="00BF30BA" w:rsidRPr="00EB1AE4">
        <w:t xml:space="preserve">Specifically, this dependence follows the relation expressed in </w:t>
      </w:r>
      <w:r w:rsidR="00BF30BA" w:rsidRPr="00EB1AE4">
        <w:rPr>
          <w:b/>
        </w:rPr>
        <w:t>Equation 4</w:t>
      </w:r>
      <w:r w:rsidR="00BF30BA" w:rsidRPr="00EB1AE4">
        <w:t>.</w:t>
      </w:r>
    </w:p>
    <w:p w14:paraId="4C774CC8" w14:textId="77777777" w:rsidR="00BF30BA" w:rsidRPr="00EB1AE4" w:rsidRDefault="00BF30BA" w:rsidP="00EE1B12">
      <w:pPr>
        <w:rPr>
          <w:color w:val="FF0000"/>
        </w:rPr>
      </w:pPr>
      <w:r w:rsidRPr="00EB1AE4">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8"/>
        <w:gridCol w:w="496"/>
      </w:tblGrid>
      <w:tr w:rsidR="00BF30BA" w:rsidRPr="00EB1AE4" w14:paraId="677FDB67" w14:textId="77777777" w:rsidTr="00A33393">
        <w:tc>
          <w:tcPr>
            <w:tcW w:w="8217" w:type="dxa"/>
          </w:tcPr>
          <w:p w14:paraId="17C98354" w14:textId="1DAF0208" w:rsidR="00BF30BA" w:rsidRPr="00EB1AE4" w:rsidRDefault="00BF30BA" w:rsidP="00BF30BA">
            <w:pPr>
              <w:rPr>
                <w:rFonts w:eastAsiaTheme="minorEastAsia"/>
                <w:sz w:val="28"/>
                <w:szCs w:val="28"/>
              </w:rPr>
            </w:pPr>
            <m:oMathPara>
              <m:oMath>
                <m:r>
                  <m:rPr>
                    <m:sty m:val="p"/>
                  </m:rPr>
                  <w:rPr>
                    <w:rFonts w:ascii="Cambria Math" w:hAnsi="Cambria Math"/>
                    <w:szCs w:val="28"/>
                  </w:rPr>
                  <m:t>Fc=</m:t>
                </m:r>
                <m:r>
                  <w:rPr>
                    <w:rFonts w:ascii="Cambria Math" w:hAnsi="Cambria Math"/>
                    <w:szCs w:val="28"/>
                  </w:rPr>
                  <m:t>1.7</m:t>
                </m:r>
                <m:sSup>
                  <m:sSupPr>
                    <m:ctrlPr>
                      <w:rPr>
                        <w:rFonts w:ascii="Cambria Math" w:hAnsi="Cambria Math"/>
                        <w:i/>
                        <w:szCs w:val="28"/>
                      </w:rPr>
                    </m:ctrlPr>
                  </m:sSupPr>
                  <m:e>
                    <m:r>
                      <w:rPr>
                        <w:rFonts w:ascii="Cambria Math" w:hAnsi="Cambria Math"/>
                        <w:szCs w:val="28"/>
                      </w:rPr>
                      <m:t>e</m:t>
                    </m:r>
                  </m:e>
                  <m:sup>
                    <m:r>
                      <w:rPr>
                        <w:rFonts w:ascii="Cambria Math" w:hAnsi="Cambria Math"/>
                        <w:szCs w:val="28"/>
                      </w:rPr>
                      <m:t>Bπ</m:t>
                    </m:r>
                  </m:sup>
                </m:sSup>
              </m:oMath>
            </m:oMathPara>
          </w:p>
        </w:tc>
        <w:tc>
          <w:tcPr>
            <w:tcW w:w="277" w:type="dxa"/>
          </w:tcPr>
          <w:p w14:paraId="28BFF752" w14:textId="3A5C2F3D" w:rsidR="00BF30BA" w:rsidRPr="00EB1AE4" w:rsidRDefault="00BF30BA" w:rsidP="00BF30BA">
            <w:pPr>
              <w:rPr>
                <w:rFonts w:eastAsiaTheme="minorEastAsia"/>
              </w:rPr>
            </w:pPr>
            <w:r w:rsidRPr="00EB1AE4">
              <w:rPr>
                <w:rFonts w:eastAsiaTheme="minorEastAsia"/>
              </w:rPr>
              <w:t>(4)</w:t>
            </w:r>
          </w:p>
        </w:tc>
      </w:tr>
      <w:tr w:rsidR="00BF30BA" w:rsidRPr="00EB1AE4" w14:paraId="66807004" w14:textId="77777777" w:rsidTr="00A33393">
        <w:tc>
          <w:tcPr>
            <w:tcW w:w="8217" w:type="dxa"/>
          </w:tcPr>
          <w:p w14:paraId="112E4557" w14:textId="528800D4" w:rsidR="00BF30BA" w:rsidRPr="00EB1AE4" w:rsidRDefault="00BF30BA" w:rsidP="00BF30BA">
            <w:pPr>
              <w:rPr>
                <w:rFonts w:eastAsia="Calibri" w:cs="Arial"/>
                <w:sz w:val="28"/>
                <w:szCs w:val="28"/>
              </w:rPr>
            </w:pPr>
          </w:p>
        </w:tc>
        <w:tc>
          <w:tcPr>
            <w:tcW w:w="277" w:type="dxa"/>
          </w:tcPr>
          <w:p w14:paraId="3726CC82" w14:textId="77777777" w:rsidR="00BF30BA" w:rsidRPr="00EB1AE4" w:rsidRDefault="00BF30BA" w:rsidP="00BF30BA">
            <w:pPr>
              <w:rPr>
                <w:rFonts w:eastAsiaTheme="minorEastAsia"/>
              </w:rPr>
            </w:pPr>
          </w:p>
        </w:tc>
      </w:tr>
    </w:tbl>
    <w:p w14:paraId="4E10EAD1" w14:textId="7943E177" w:rsidR="007E0F12" w:rsidRPr="00EB1AE4" w:rsidRDefault="00BF30BA" w:rsidP="00EE1B12">
      <w:pPr>
        <w:rPr>
          <w:color w:val="000000" w:themeColor="text1"/>
          <w:szCs w:val="24"/>
        </w:rPr>
      </w:pPr>
      <w:r w:rsidRPr="00EB1AE4">
        <w:rPr>
          <w:color w:val="000000" w:themeColor="text1"/>
          <w:szCs w:val="24"/>
        </w:rPr>
        <w:t xml:space="preserve">Where </w:t>
      </w:r>
      <w:r w:rsidRPr="00EB1AE4">
        <w:rPr>
          <w:rFonts w:cs="Times New Roman"/>
          <w:color w:val="000000" w:themeColor="text1"/>
          <w:szCs w:val="24"/>
        </w:rPr>
        <w:t>π</w:t>
      </w:r>
      <w:r w:rsidRPr="00EB1AE4">
        <w:rPr>
          <w:color w:val="000000" w:themeColor="text1"/>
          <w:szCs w:val="24"/>
        </w:rPr>
        <w:t xml:space="preserve"> is </w:t>
      </w:r>
      <w:r w:rsidR="00E66149" w:rsidRPr="00EB1AE4">
        <w:rPr>
          <w:color w:val="000000" w:themeColor="text1"/>
          <w:szCs w:val="24"/>
        </w:rPr>
        <w:t xml:space="preserve">a polynomial function of the PEG concentration as </w:t>
      </w:r>
      <w:r w:rsidRPr="00EB1AE4">
        <w:rPr>
          <w:color w:val="000000" w:themeColor="text1"/>
          <w:szCs w:val="24"/>
        </w:rPr>
        <w:t xml:space="preserve">defined in </w:t>
      </w:r>
      <w:r w:rsidRPr="00EB1AE4">
        <w:rPr>
          <w:b/>
          <w:color w:val="000000" w:themeColor="text1"/>
          <w:szCs w:val="24"/>
        </w:rPr>
        <w:t xml:space="preserve">Equation 2 </w:t>
      </w:r>
      <w:r w:rsidRPr="00EB1AE4">
        <w:rPr>
          <w:color w:val="000000" w:themeColor="text1"/>
          <w:szCs w:val="24"/>
        </w:rPr>
        <w:t>and B is a linear function of the initial concentration of the NP suspension (C</w:t>
      </w:r>
      <w:r w:rsidRPr="00EB1AE4">
        <w:rPr>
          <w:color w:val="000000" w:themeColor="text1"/>
          <w:szCs w:val="24"/>
          <w:vertAlign w:val="subscript"/>
        </w:rPr>
        <w:t>0</w:t>
      </w:r>
      <w:r w:rsidRPr="00EB1AE4">
        <w:rPr>
          <w:color w:val="000000" w:themeColor="text1"/>
          <w:szCs w:val="24"/>
        </w:rPr>
        <w:t xml:space="preserve">) as described in </w:t>
      </w:r>
      <w:r w:rsidRPr="00EB1AE4">
        <w:rPr>
          <w:b/>
          <w:color w:val="000000" w:themeColor="text1"/>
          <w:szCs w:val="24"/>
        </w:rPr>
        <w:t>Equation 5</w:t>
      </w:r>
      <w:r w:rsidRPr="00EB1AE4">
        <w:rPr>
          <w:color w:val="000000" w:themeColor="text1"/>
          <w:szCs w:val="24"/>
        </w:rPr>
        <w:t>.</w:t>
      </w:r>
    </w:p>
    <w:p w14:paraId="1F5C5C26" w14:textId="77777777" w:rsidR="00BF30BA" w:rsidRPr="00EB1AE4" w:rsidRDefault="00BF30BA" w:rsidP="00EE1B12">
      <w:pPr>
        <w:rPr>
          <w:color w:val="000000" w:themeColor="text1"/>
          <w:szCs w:val="24"/>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8"/>
        <w:gridCol w:w="496"/>
      </w:tblGrid>
      <w:tr w:rsidR="00BF30BA" w:rsidRPr="00EB1AE4" w14:paraId="507EE223" w14:textId="77777777" w:rsidTr="00A33393">
        <w:tc>
          <w:tcPr>
            <w:tcW w:w="8217" w:type="dxa"/>
          </w:tcPr>
          <w:p w14:paraId="7A4039CA" w14:textId="6F59412F" w:rsidR="00BF30BA" w:rsidRPr="00EB1AE4" w:rsidRDefault="00AD1838" w:rsidP="00BF30BA">
            <w:pPr>
              <w:rPr>
                <w:rFonts w:eastAsiaTheme="minorEastAsia"/>
                <w:sz w:val="28"/>
                <w:szCs w:val="28"/>
              </w:rPr>
            </w:pPr>
            <m:oMathPara>
              <m:oMath>
                <m:r>
                  <m:rPr>
                    <m:sty m:val="p"/>
                  </m:rPr>
                  <w:rPr>
                    <w:rFonts w:ascii="Cambria Math" w:hAnsi="Cambria Math"/>
                    <w:szCs w:val="28"/>
                  </w:rPr>
                  <m:t>B=</m:t>
                </m:r>
                <m:r>
                  <w:rPr>
                    <w:rFonts w:ascii="Cambria Math" w:hAnsi="Cambria Math"/>
                    <w:szCs w:val="28"/>
                  </w:rPr>
                  <m:t>0.02</m:t>
                </m:r>
                <m:sSub>
                  <m:sSubPr>
                    <m:ctrlPr>
                      <w:rPr>
                        <w:rFonts w:ascii="Cambria Math" w:hAnsi="Cambria Math"/>
                        <w:i/>
                        <w:szCs w:val="28"/>
                      </w:rPr>
                    </m:ctrlPr>
                  </m:sSubPr>
                  <m:e>
                    <m:r>
                      <w:rPr>
                        <w:rFonts w:ascii="Cambria Math" w:hAnsi="Cambria Math"/>
                        <w:szCs w:val="28"/>
                      </w:rPr>
                      <m:t>C</m:t>
                    </m:r>
                  </m:e>
                  <m:sub>
                    <m:r>
                      <w:rPr>
                        <w:rFonts w:ascii="Cambria Math" w:hAnsi="Cambria Math"/>
                        <w:szCs w:val="28"/>
                      </w:rPr>
                      <m:t>0</m:t>
                    </m:r>
                  </m:sub>
                </m:sSub>
                <m:r>
                  <w:rPr>
                    <w:rFonts w:ascii="Cambria Math" w:hAnsi="Cambria Math"/>
                    <w:szCs w:val="28"/>
                  </w:rPr>
                  <m:t>+0.71</m:t>
                </m:r>
              </m:oMath>
            </m:oMathPara>
          </w:p>
        </w:tc>
        <w:tc>
          <w:tcPr>
            <w:tcW w:w="277" w:type="dxa"/>
          </w:tcPr>
          <w:p w14:paraId="0CF5E5D5" w14:textId="1FAA6387" w:rsidR="00BF30BA" w:rsidRPr="00EB1AE4" w:rsidRDefault="00BF30BA" w:rsidP="00BF30BA">
            <w:pPr>
              <w:rPr>
                <w:rFonts w:eastAsiaTheme="minorEastAsia"/>
              </w:rPr>
            </w:pPr>
            <w:r w:rsidRPr="00EB1AE4">
              <w:rPr>
                <w:rFonts w:eastAsiaTheme="minorEastAsia"/>
              </w:rPr>
              <w:t>(5)</w:t>
            </w:r>
          </w:p>
        </w:tc>
      </w:tr>
    </w:tbl>
    <w:p w14:paraId="53EE5BAF" w14:textId="77777777" w:rsidR="00BF30BA" w:rsidRPr="00EB1AE4" w:rsidRDefault="00BF30BA" w:rsidP="00EE1B12">
      <w:pPr>
        <w:rPr>
          <w:color w:val="000000" w:themeColor="text1"/>
          <w:szCs w:val="24"/>
        </w:rPr>
      </w:pPr>
    </w:p>
    <w:p w14:paraId="493BEB32" w14:textId="3820B2BA" w:rsidR="000174A4" w:rsidRPr="00EB1AE4" w:rsidRDefault="00BF30BA" w:rsidP="00EE1B12">
      <w:pPr>
        <w:rPr>
          <w:color w:val="000000" w:themeColor="text1"/>
          <w:szCs w:val="24"/>
        </w:rPr>
      </w:pPr>
      <w:r w:rsidRPr="00EB1AE4">
        <w:rPr>
          <w:color w:val="000000" w:themeColor="text1"/>
          <w:szCs w:val="24"/>
        </w:rPr>
        <w:t xml:space="preserve">The mathematical model expressed by </w:t>
      </w:r>
      <w:r w:rsidR="00E66149" w:rsidRPr="00EB1AE4">
        <w:rPr>
          <w:b/>
          <w:color w:val="000000" w:themeColor="text1"/>
          <w:szCs w:val="24"/>
        </w:rPr>
        <w:t>Equation</w:t>
      </w:r>
      <w:r w:rsidR="009E4B54" w:rsidRPr="00EB1AE4">
        <w:rPr>
          <w:b/>
          <w:color w:val="000000" w:themeColor="text1"/>
          <w:szCs w:val="24"/>
        </w:rPr>
        <w:t>s</w:t>
      </w:r>
      <w:r w:rsidR="00E66149" w:rsidRPr="00EB1AE4">
        <w:rPr>
          <w:b/>
          <w:color w:val="000000" w:themeColor="text1"/>
          <w:szCs w:val="24"/>
        </w:rPr>
        <w:t xml:space="preserve"> 4-5</w:t>
      </w:r>
      <w:r w:rsidR="009E4B54" w:rsidRPr="00EB1AE4">
        <w:rPr>
          <w:b/>
          <w:color w:val="000000" w:themeColor="text1"/>
          <w:szCs w:val="24"/>
        </w:rPr>
        <w:t xml:space="preserve"> </w:t>
      </w:r>
      <w:r w:rsidR="009E4B54" w:rsidRPr="00EB1AE4">
        <w:rPr>
          <w:color w:val="000000" w:themeColor="text1"/>
          <w:szCs w:val="24"/>
        </w:rPr>
        <w:t xml:space="preserve">and plotted as continuous lines in </w:t>
      </w:r>
      <w:r w:rsidR="009E4B54" w:rsidRPr="00EB1AE4">
        <w:rPr>
          <w:b/>
          <w:color w:val="000000" w:themeColor="text1"/>
          <w:szCs w:val="24"/>
        </w:rPr>
        <w:t>Figure 3a</w:t>
      </w:r>
      <w:r w:rsidR="00E66149" w:rsidRPr="00EB1AE4">
        <w:rPr>
          <w:color w:val="000000" w:themeColor="text1"/>
          <w:szCs w:val="24"/>
        </w:rPr>
        <w:t xml:space="preserve"> is in</w:t>
      </w:r>
      <w:r w:rsidR="00AD1838" w:rsidRPr="00EB1AE4">
        <w:rPr>
          <w:color w:val="000000" w:themeColor="text1"/>
          <w:szCs w:val="24"/>
        </w:rPr>
        <w:t xml:space="preserve"> good</w:t>
      </w:r>
      <w:r w:rsidR="00E66149" w:rsidRPr="00EB1AE4">
        <w:rPr>
          <w:color w:val="000000" w:themeColor="text1"/>
          <w:szCs w:val="24"/>
        </w:rPr>
        <w:t xml:space="preserve"> agreement with the set of experimental data </w:t>
      </w:r>
      <w:r w:rsidR="009E4B54" w:rsidRPr="00EB1AE4">
        <w:rPr>
          <w:color w:val="000000" w:themeColor="text1"/>
          <w:szCs w:val="24"/>
        </w:rPr>
        <w:t>(symbols) also</w:t>
      </w:r>
      <w:r w:rsidR="00E66149" w:rsidRPr="00EB1AE4">
        <w:rPr>
          <w:color w:val="000000" w:themeColor="text1"/>
          <w:szCs w:val="24"/>
        </w:rPr>
        <w:t xml:space="preserve"> showed in </w:t>
      </w:r>
      <w:r w:rsidR="00E66149" w:rsidRPr="00EB1AE4">
        <w:rPr>
          <w:b/>
          <w:color w:val="000000" w:themeColor="text1"/>
          <w:szCs w:val="24"/>
        </w:rPr>
        <w:t>Figure 3a</w:t>
      </w:r>
      <w:r w:rsidR="00E66149" w:rsidRPr="00EB1AE4">
        <w:rPr>
          <w:color w:val="000000" w:themeColor="text1"/>
          <w:szCs w:val="24"/>
        </w:rPr>
        <w:t xml:space="preserve">. Moreover, </w:t>
      </w:r>
      <w:r w:rsidR="00AD1838" w:rsidRPr="00EB1AE4">
        <w:rPr>
          <w:color w:val="000000" w:themeColor="text1"/>
          <w:szCs w:val="24"/>
        </w:rPr>
        <w:t xml:space="preserve">the </w:t>
      </w:r>
      <w:r w:rsidR="00E66149" w:rsidRPr="00EB1AE4">
        <w:rPr>
          <w:color w:val="000000" w:themeColor="text1"/>
          <w:szCs w:val="24"/>
        </w:rPr>
        <w:t xml:space="preserve">model allows to predict the trend of Fc </w:t>
      </w:r>
      <w:r w:rsidR="004B0D9F" w:rsidRPr="00EB1AE4">
        <w:rPr>
          <w:color w:val="000000" w:themeColor="text1"/>
          <w:szCs w:val="24"/>
        </w:rPr>
        <w:t xml:space="preserve">by </w:t>
      </w:r>
      <w:r w:rsidR="00E66149" w:rsidRPr="00EB1AE4">
        <w:rPr>
          <w:color w:val="000000" w:themeColor="text1"/>
          <w:szCs w:val="24"/>
        </w:rPr>
        <w:t xml:space="preserve">taking into account both the contribution of </w:t>
      </w:r>
      <w:r w:rsidR="00E66149" w:rsidRPr="00EB1AE4">
        <w:rPr>
          <w:rFonts w:cs="Times New Roman"/>
          <w:color w:val="000000" w:themeColor="text1"/>
          <w:szCs w:val="24"/>
        </w:rPr>
        <w:t xml:space="preserve">π </w:t>
      </w:r>
      <w:r w:rsidR="00CA3809" w:rsidRPr="00EB1AE4">
        <w:rPr>
          <w:rFonts w:cs="Times New Roman"/>
          <w:color w:val="000000" w:themeColor="text1"/>
          <w:szCs w:val="24"/>
        </w:rPr>
        <w:t xml:space="preserve">and </w:t>
      </w:r>
      <m:oMath>
        <m:sSub>
          <m:sSubPr>
            <m:ctrlPr>
              <w:rPr>
                <w:rFonts w:ascii="Cambria Math" w:hAnsi="Cambria Math"/>
                <w:i/>
                <w:szCs w:val="24"/>
              </w:rPr>
            </m:ctrlPr>
          </m:sSubPr>
          <m:e>
            <m:r>
              <w:rPr>
                <w:rFonts w:ascii="Cambria Math" w:hAnsi="Cambria Math"/>
                <w:szCs w:val="24"/>
              </w:rPr>
              <m:t>C</m:t>
            </m:r>
          </m:e>
          <m:sub>
            <m:r>
              <w:rPr>
                <w:rFonts w:ascii="Cambria Math" w:hAnsi="Cambria Math"/>
                <w:szCs w:val="24"/>
              </w:rPr>
              <m:t>0</m:t>
            </m:r>
          </m:sub>
        </m:sSub>
      </m:oMath>
      <w:r w:rsidR="00E66149" w:rsidRPr="00EB1AE4">
        <w:rPr>
          <w:rFonts w:eastAsiaTheme="minorEastAsia" w:cs="Times New Roman"/>
          <w:szCs w:val="24"/>
        </w:rPr>
        <w:t>.</w:t>
      </w:r>
      <w:r w:rsidR="00AD1838" w:rsidRPr="00EB1AE4">
        <w:rPr>
          <w:rFonts w:eastAsiaTheme="minorEastAsia" w:cs="Times New Roman"/>
          <w:sz w:val="28"/>
          <w:szCs w:val="28"/>
        </w:rPr>
        <w:t xml:space="preserve"> </w:t>
      </w:r>
      <w:r w:rsidR="00AD1838" w:rsidRPr="00EB1AE4">
        <w:rPr>
          <w:rFonts w:eastAsiaTheme="minorEastAsia" w:cs="Times New Roman"/>
          <w:szCs w:val="24"/>
        </w:rPr>
        <w:t xml:space="preserve">In fact, </w:t>
      </w:r>
      <w:r w:rsidR="004B0D9F" w:rsidRPr="00EB1AE4">
        <w:rPr>
          <w:rFonts w:eastAsiaTheme="minorEastAsia" w:cs="Times New Roman"/>
          <w:szCs w:val="24"/>
        </w:rPr>
        <w:t xml:space="preserve">it </w:t>
      </w:r>
      <w:r w:rsidR="00AD1838" w:rsidRPr="00EB1AE4">
        <w:rPr>
          <w:rFonts w:eastAsiaTheme="minorEastAsia" w:cs="Times New Roman"/>
          <w:szCs w:val="24"/>
        </w:rPr>
        <w:t>can be used as guideline</w:t>
      </w:r>
      <w:r w:rsidR="00154558">
        <w:rPr>
          <w:rFonts w:eastAsiaTheme="minorEastAsia" w:cs="Times New Roman"/>
          <w:szCs w:val="24"/>
        </w:rPr>
        <w:t>s</w:t>
      </w:r>
      <w:r w:rsidR="00AD1838" w:rsidRPr="00EB1AE4">
        <w:rPr>
          <w:rFonts w:eastAsiaTheme="minorEastAsia" w:cs="Times New Roman"/>
          <w:szCs w:val="24"/>
        </w:rPr>
        <w:t xml:space="preserve"> </w:t>
      </w:r>
      <w:r w:rsidR="00154558">
        <w:rPr>
          <w:rFonts w:eastAsiaTheme="minorEastAsia" w:cs="Times New Roman"/>
          <w:szCs w:val="24"/>
        </w:rPr>
        <w:t>in the</w:t>
      </w:r>
      <w:r w:rsidR="00154558" w:rsidRPr="00EB1AE4">
        <w:rPr>
          <w:rFonts w:eastAsiaTheme="minorEastAsia" w:cs="Times New Roman"/>
          <w:szCs w:val="24"/>
        </w:rPr>
        <w:t xml:space="preserve"> tun</w:t>
      </w:r>
      <w:r w:rsidR="00154558">
        <w:rPr>
          <w:rFonts w:eastAsiaTheme="minorEastAsia" w:cs="Times New Roman"/>
          <w:szCs w:val="24"/>
        </w:rPr>
        <w:t>ing of</w:t>
      </w:r>
      <w:r w:rsidR="00154558" w:rsidRPr="00EB1AE4">
        <w:rPr>
          <w:rFonts w:eastAsiaTheme="minorEastAsia" w:cs="Times New Roman"/>
          <w:szCs w:val="24"/>
        </w:rPr>
        <w:t xml:space="preserve"> </w:t>
      </w:r>
      <w:r w:rsidR="00AD1838" w:rsidRPr="00EB1AE4">
        <w:rPr>
          <w:rFonts w:eastAsiaTheme="minorEastAsia" w:cs="Times New Roman"/>
          <w:szCs w:val="24"/>
        </w:rPr>
        <w:t xml:space="preserve">the </w:t>
      </w:r>
      <w:r w:rsidR="00AD1838" w:rsidRPr="00EB1AE4">
        <w:rPr>
          <w:rFonts w:eastAsiaTheme="minorEastAsia" w:cs="Times New Roman"/>
          <w:szCs w:val="24"/>
        </w:rPr>
        <w:lastRenderedPageBreak/>
        <w:t xml:space="preserve">concentration factor at the equilibrium by </w:t>
      </w:r>
      <w:r w:rsidR="004B0D9F" w:rsidRPr="00EB1AE4">
        <w:rPr>
          <w:rFonts w:eastAsiaTheme="minorEastAsia" w:cs="Times New Roman"/>
          <w:szCs w:val="24"/>
        </w:rPr>
        <w:t>varying</w:t>
      </w:r>
      <w:r w:rsidR="00AD1838" w:rsidRPr="00EB1AE4">
        <w:rPr>
          <w:rFonts w:eastAsiaTheme="minorEastAsia" w:cs="Times New Roman"/>
          <w:szCs w:val="24"/>
        </w:rPr>
        <w:t xml:space="preserve"> the initial concentration of NP</w:t>
      </w:r>
      <w:r w:rsidR="00154558">
        <w:rPr>
          <w:rFonts w:eastAsiaTheme="minorEastAsia" w:cs="Times New Roman"/>
          <w:szCs w:val="24"/>
        </w:rPr>
        <w:t>s</w:t>
      </w:r>
      <w:r w:rsidR="00AD1838" w:rsidRPr="00EB1AE4">
        <w:rPr>
          <w:rFonts w:eastAsiaTheme="minorEastAsia" w:cs="Times New Roman"/>
          <w:szCs w:val="24"/>
        </w:rPr>
        <w:t xml:space="preserve"> and the polymer concentration</w:t>
      </w:r>
      <w:r w:rsidR="004B0D9F" w:rsidRPr="00EB1AE4">
        <w:rPr>
          <w:rFonts w:eastAsiaTheme="minorEastAsia" w:cs="Times New Roman"/>
          <w:szCs w:val="24"/>
        </w:rPr>
        <w:t xml:space="preserve"> as depicted in </w:t>
      </w:r>
      <w:r w:rsidR="004B0D9F" w:rsidRPr="00EB1AE4">
        <w:rPr>
          <w:rFonts w:eastAsiaTheme="minorEastAsia" w:cs="Times New Roman"/>
          <w:b/>
          <w:szCs w:val="24"/>
        </w:rPr>
        <w:t>Figure 3b</w:t>
      </w:r>
      <w:r w:rsidR="00AD1838" w:rsidRPr="00EB1AE4">
        <w:rPr>
          <w:rFonts w:eastAsiaTheme="minorEastAsia" w:cs="Times New Roman"/>
          <w:szCs w:val="24"/>
        </w:rPr>
        <w:t>.</w:t>
      </w:r>
    </w:p>
    <w:p w14:paraId="0394CDC1" w14:textId="2419AD96" w:rsidR="000D5608" w:rsidRPr="002272EA" w:rsidRDefault="000174A4" w:rsidP="002272EA">
      <w:pPr>
        <w:keepNext/>
        <w:rPr>
          <w:noProof/>
          <w:lang w:eastAsia="it-IT"/>
        </w:rPr>
      </w:pPr>
      <w:r w:rsidRPr="00EB1AE4">
        <w:t xml:space="preserve">Finally, after </w:t>
      </w:r>
      <w:r w:rsidR="009E4B54" w:rsidRPr="00EB1AE4">
        <w:t>having demonstrated that high Fc can be obtained in an industrially-relevant time scale</w:t>
      </w:r>
      <w:r w:rsidRPr="00EB1AE4">
        <w:t>, we also confirmed that through this method, the NP stability after concentration and dilution is preserved. In fact, independently from the initial concentration of the NP suspension, no aggregate formation was observed. Furthermore, the NPs showed almost unchanged particle size distribution before and after dialysis (</w:t>
      </w:r>
      <w:r w:rsidRPr="00EB1AE4">
        <w:rPr>
          <w:b/>
        </w:rPr>
        <w:t>Figure S8</w:t>
      </w:r>
      <w:r w:rsidRPr="00EB1AE4">
        <w:t>)</w:t>
      </w:r>
      <w:r w:rsidR="003D7617">
        <w:t>, with polydispersity indexes always lower than 0.1, a clear indication that the NP aggregation was avoided</w:t>
      </w:r>
      <w:r w:rsidR="00A87BD9">
        <w:fldChar w:fldCharType="begin" w:fldLock="1"/>
      </w:r>
      <w:r w:rsidR="00475714">
        <w:instrText>ADDIN CSL_CITATION {"citationItems":[{"id":"ITEM-1","itemData":{"DOI":"10.1021/es200157h","ISSN":"0013-936X","abstract":"The aggregation kinetics of silver nanoparticles (AgNPs) that were coated with two commonly used capping agents—citrate and polyvinylpyrrolidone (PVP)—were investigated. Time-resolved dynamic light scattering (DLS) was employed to measure the aggregation kinetics of the AgNPs over a range of monovalent and divalent electrolyte concentrations. The aggregation behavior of citrate-coated AgNPs in NaCl was in excellent agreement with the predictions based on Derjaguin–Landau–Verwey–Overbeek (DLVO) theory, and the Hamaker constant of citrate-coated AgNPs in aqueous solutions was derived to be 3.7 × 10–20 J. Divalent electrolytes were more efficient in destabilizing the citrate-coated AgNPs, as indicated by the considerably lower critical coagulation concentrations (2.1 mM CaCl2 and 2.7 mM MgCl2 vs 47.6 mM NaCl). The PVP-coated AgNPs were significantly more stable than citrate-coated AgNPs in both NaCl and CaCl2, which is likely due to steric repulsion imparted by the large, noncharged polymers. The addition of humic acid resulted in the adsorption of the macromolecules on both citrate- and PVP-coated AgNPs. The adsorption of humic acid induced additional electrosteric repulsion that elevated the stability of both nanoparticles in suspensions containing NaCl or low concentrations of CaCl2. Conversely, enhanced aggregation occurred for both nanoparticles at high CaCl2 concentrations due to interparticle bridging by humic acid aggregates.","author":[{"dropping-particle":"","family":"Huynh","given":"Khanh An","non-dropping-particle":"","parse-names":false,"suffix":""},{"dropping-particle":"","family":"Chen","given":"Kai Loon","non-dropping-particle":"","parse-names":false,"suffix":""}],"container-title":"Environmental Science &amp; Technology","id":"ITEM-1","issue":"13","issued":{"date-parts":[["2011","7"]]},"page":"5564-5571","publisher":"American Chemical Society","title":"Aggregation Kinetics of Citrate and Polyvinylpyrrolidone Coated Silver Nanoparticles in Monovalent and Divalent Electrolyte Solutions","type":"article-journal","volume":"45"},"uris":["http://www.mendeley.com/documents/?uuid=ce84cf9f-0adc-4e08-aed1-65617bd24f9b","http://www.mendeley.com/documents/?uuid=db044d2c-4c14-4bb5-86d5-79a0d5677575"]},{"id":"ITEM-2","itemData":{"DOI":"10.1021/nn304045q","ISSN":"1936-0851","abstract":"Superparamagnetic iron oxide nanoparticles (SPIONs) have been widely used experimentally and also clinically tested in diverse areas of biology and medicine. Applications include magnetic resonance imaging, cell sorting, drug delivery, and hyperthermia. Physicochemical surface properties are particularly relevant in the context of achieving high colloidal nanoparticle (NP) stability and preventing agglomeration (particularly challenging in biological fluids), increasing blood circulation time, and possibly targeting specific cells or tissues through the presentation of bioligands. Traditionally, NP surfaces are sterically stabilized with hydrophilic polymeric matrices, such as dextran or linear poly(ethylene glycol) brushes. While dendrimers have found applications as drug carriers, dispersants with dendritic (“dendrons”) or hyperbranched strufile:///C:/Users/maral/Desktop/es200157h.risctures have been comparatively neglected despite their unique properties, such as a precisely defined molecular structure and the ability to present biofunctionalities at high density at the NP periphery. This work covers the synthesis of SPIONs and their stabilization based on poly(ethylene glycol) (PEG) and oligo(ethylene glycol) (OEG) chemistry and compares the physicochemical properties of NPs stabilized with linear and dendritic macromolecules of comparable molecular weight. The results highlight the impact of the polymeric interface architecture on solubility, colloidal stability, hydrodynamic radius, and thermoresponsive behavior. Dendron-stabilized NPs were found to provide excellent colloidal stability, despite a smaller hydrodynamic radius and lower degree of soft shell hydration compared to linear PEG analogues. Moreover, for the same grafting density and molecular weight of the stabilizers, OEG dendron-stabilized NPs show a reversible temperature-induced aggregation behavior, in contrast to the essentially irreversible aggregation and sedimentation observed for the linear PEG analogues. This new class of dendritically stabilized NPs is believed to have a potential for future biomedical and other applications, in which stability, resistance to (or reversible) aggregation, ultrasmall size (for crossing biological barriers or inclusion in responsive artificial membranes), and/or high corona density of (bio)active ligands are key.","author":[{"dropping-particle":"","family":"Gillich","given":"Torben","non-dropping-particle":"","parse-names":false,"suffix":""},{"dropping-particle":"","family":"Acikgöz","given":"Canet","non-dropping-particle":"","parse-names":false,"suffix":""},{"dropping-particle":"","family":"Isa","given":"Lucio","non-dropping-particle":"","parse-names":false,"suffix":""},{"dropping-particle":"","family":"Schlüter","given":"A Dieter","non-dropping-particle":"","parse-names":false,"suffix":""},{"dropping-particle":"","family":"Spencer","given":"Nicholas D","non-dropping-particle":"","parse-names":false,"suffix":""},{"dropping-particle":"","family":"Textor","given":"Marcus","non-dropping-particle":"","parse-names":false,"suffix":""}],"container-title":"ACS Nano","id":"ITEM-2","issue":"1","issued":{"date-parts":[["2013","1"]]},"page":"316-329","publisher":"American Chemical Society","title":"PEG-Stabilized Core–Shell Nanoparticles: Impact of Linear versus Dendritic Polymer Shell Architecture on Colloidal Properties and the Reversibility of Temperature-Induced Aggregation","type":"article-journal","volume":"7"},"uris":["http://www.mendeley.com/documents/?uuid=44c0c416-183d-4c85-a760-449e956ee90b","http://www.mendeley.com/documents/?uuid=acceaffc-3d69-48f3-8126-082b36b99927"]}],"mendeley":{"formattedCitation":"&lt;sup&gt;49,50&lt;/sup&gt;","plainTextFormattedCitation":"49,50","previouslyFormattedCitation":"&lt;sup&gt;49,50&lt;/sup&gt;"},"properties":{"noteIndex":0},"schema":"https://github.com/citation-style-language/schema/raw/master/csl-citation.json"}</w:instrText>
      </w:r>
      <w:r w:rsidR="00A87BD9">
        <w:fldChar w:fldCharType="separate"/>
      </w:r>
      <w:r w:rsidR="00BE213A" w:rsidRPr="00BE213A">
        <w:rPr>
          <w:noProof/>
          <w:vertAlign w:val="superscript"/>
        </w:rPr>
        <w:t>49,50</w:t>
      </w:r>
      <w:r w:rsidR="00A87BD9">
        <w:fldChar w:fldCharType="end"/>
      </w:r>
      <w:r w:rsidRPr="00EB1AE4">
        <w:t>.</w:t>
      </w:r>
    </w:p>
    <w:p w14:paraId="269954F7" w14:textId="0748F3C5" w:rsidR="003A4572" w:rsidRPr="00EB1AE4" w:rsidRDefault="00C81EDA" w:rsidP="00EB1AE4">
      <w:pPr>
        <w:spacing w:after="160"/>
      </w:pPr>
      <w:r w:rsidRPr="00EB1AE4">
        <w:t xml:space="preserve">Overall, for PEG-based NPs, the lyophilization is not a valuable option for </w:t>
      </w:r>
      <w:r w:rsidR="00154558">
        <w:t>the removal of water,</w:t>
      </w:r>
      <w:r w:rsidR="00154558" w:rsidRPr="00EB1AE4">
        <w:t xml:space="preserve"> </w:t>
      </w:r>
      <w:r w:rsidRPr="00EB1AE4">
        <w:t xml:space="preserve">due to the impossibility of reconstituting the NPs to their original particle size distribution. However, the dialysis demonstrated to be an efficient process to remove up to </w:t>
      </w:r>
      <w:r w:rsidR="000F38F1" w:rsidRPr="00EB1AE4">
        <w:t>97</w:t>
      </w:r>
      <w:r w:rsidRPr="00EB1AE4">
        <w:t>% of the water present in the formulation without inducing destabilization of the NPs and in an industrially-relevant time</w:t>
      </w:r>
      <w:r w:rsidR="00D7409E" w:rsidRPr="00EB1AE4">
        <w:t>scale</w:t>
      </w:r>
      <w:r w:rsidRPr="00EB1AE4">
        <w:t>.</w:t>
      </w:r>
      <w:r w:rsidR="004B0D9F" w:rsidRPr="00EB1AE4">
        <w:t xml:space="preserve"> This phenomenon is particularly interesting considering also the exponential dependence of the </w:t>
      </w:r>
      <w:r w:rsidR="00E07476" w:rsidRPr="00EB1AE4">
        <w:t>Fc</w:t>
      </w:r>
      <w:r w:rsidR="004B0D9F" w:rsidRPr="00EB1AE4">
        <w:t xml:space="preserve"> on the osmotic pressure and thus on the PEG</w:t>
      </w:r>
      <w:r w:rsidR="004B0D9F" w:rsidRPr="00EB1AE4">
        <w:rPr>
          <w:vertAlign w:val="subscript"/>
        </w:rPr>
        <w:t>8000</w:t>
      </w:r>
      <w:r w:rsidR="004B0D9F" w:rsidRPr="00EB1AE4">
        <w:t xml:space="preserve"> concentration that can further enhance significantly the removal of water from the system.</w:t>
      </w:r>
      <w:r w:rsidRPr="00EB1AE4">
        <w:t xml:space="preserve"> This can be taken in consideration for reducing the costs for transportation as well as to limit the premature drug diffusion from the NP core.</w:t>
      </w:r>
    </w:p>
    <w:p w14:paraId="333D8E1D" w14:textId="1629B81B" w:rsidR="00D41832" w:rsidRPr="00EB1AE4" w:rsidRDefault="002C53C4" w:rsidP="008C5875">
      <w:pPr>
        <w:pStyle w:val="Titolo2"/>
        <w:rPr>
          <w:b w:val="0"/>
          <w:i/>
        </w:rPr>
      </w:pPr>
      <w:r w:rsidRPr="00EB1AE4">
        <w:rPr>
          <w:b w:val="0"/>
          <w:i/>
        </w:rPr>
        <w:t>MPC</w:t>
      </w:r>
      <w:r w:rsidR="00C81EDA" w:rsidRPr="00EB1AE4">
        <w:rPr>
          <w:b w:val="0"/>
          <w:i/>
        </w:rPr>
        <w:t>-based NPs</w:t>
      </w:r>
    </w:p>
    <w:p w14:paraId="1558C364" w14:textId="204D7194" w:rsidR="00F468F0" w:rsidRPr="00EB1AE4" w:rsidRDefault="00F468F0" w:rsidP="00362C4A">
      <w:r w:rsidRPr="00EB1AE4">
        <w:t>First,</w:t>
      </w:r>
      <w:r w:rsidR="00D74D39">
        <w:t xml:space="preserve"> we </w:t>
      </w:r>
      <w:r w:rsidR="00865983">
        <w:t>wanted to demonstrate</w:t>
      </w:r>
      <w:r w:rsidR="00D74D39">
        <w:t xml:space="preserve"> that the dialysis is an effective method for concentrating MPC-based NPs as well as for the PEGylated ones.</w:t>
      </w:r>
      <w:r w:rsidRPr="00EB1AE4">
        <w:t xml:space="preserve"> Therefore, </w:t>
      </w:r>
      <w:r w:rsidR="002639B5" w:rsidRPr="00EB1AE4">
        <w:t xml:space="preserve">we </w:t>
      </w:r>
      <w:r w:rsidR="00D74D39">
        <w:t>tracked the Fc of the</w:t>
      </w:r>
      <w:r w:rsidR="002639B5" w:rsidRPr="00EB1AE4">
        <w:t xml:space="preserve"> MPC-based biodegradable NPs </w:t>
      </w:r>
      <w:r w:rsidR="00D74D39">
        <w:t xml:space="preserve">during time </w:t>
      </w:r>
      <w:r w:rsidRPr="00EB1AE4">
        <w:t xml:space="preserve">at a concentration of </w:t>
      </w:r>
      <w:r w:rsidR="00D74D39" w:rsidRPr="00EB1AE4">
        <w:t>PEG</w:t>
      </w:r>
      <w:r w:rsidR="00D74D39" w:rsidRPr="00EB1AE4">
        <w:rPr>
          <w:vertAlign w:val="subscript"/>
        </w:rPr>
        <w:t>8000</w:t>
      </w:r>
      <w:r w:rsidR="00D74D39">
        <w:rPr>
          <w:vertAlign w:val="subscript"/>
        </w:rPr>
        <w:t xml:space="preserve"> </w:t>
      </w:r>
      <w:r w:rsidR="00D74D39">
        <w:t xml:space="preserve">in the dialysis medium of </w:t>
      </w:r>
      <w:r w:rsidRPr="00EB1AE4">
        <w:t>1</w:t>
      </w:r>
      <w:r w:rsidR="00547541" w:rsidRPr="00EB1AE4">
        <w:t>3</w:t>
      </w:r>
      <w:r w:rsidRPr="00EB1AE4">
        <w:t>0 mg/ml</w:t>
      </w:r>
      <w:r w:rsidR="00F24485" w:rsidRPr="00EB1AE4">
        <w:t xml:space="preserve">. As shown in </w:t>
      </w:r>
      <w:r w:rsidR="00F24485" w:rsidRPr="00EB1AE4">
        <w:rPr>
          <w:b/>
        </w:rPr>
        <w:t xml:space="preserve">Figure </w:t>
      </w:r>
      <w:r w:rsidR="00B12D7E" w:rsidRPr="00EB1AE4">
        <w:rPr>
          <w:b/>
        </w:rPr>
        <w:t>4</w:t>
      </w:r>
      <w:r w:rsidR="00C31B59" w:rsidRPr="00EB1AE4">
        <w:t xml:space="preserve">, the </w:t>
      </w:r>
      <w:r w:rsidR="00F71B74" w:rsidRPr="00EB1AE4">
        <w:t xml:space="preserve">dialysis proved to be </w:t>
      </w:r>
      <w:r w:rsidR="00066229" w:rsidRPr="00EB1AE4">
        <w:t>effective</w:t>
      </w:r>
      <w:r w:rsidR="00F71B74" w:rsidRPr="00EB1AE4">
        <w:t xml:space="preserve"> for both </w:t>
      </w:r>
      <w:r w:rsidR="002B4D34">
        <w:t xml:space="preserve">the </w:t>
      </w:r>
      <w:r w:rsidR="00F71B74" w:rsidRPr="00EB1AE4">
        <w:t xml:space="preserve">types of NPs. In fact, the colloidal system stabilized by the MPC block achieved the same </w:t>
      </w:r>
      <w:r w:rsidR="00066229" w:rsidRPr="00EB1AE4">
        <w:t>Fc</w:t>
      </w:r>
      <w:r w:rsidR="00F71B74" w:rsidRPr="00EB1AE4">
        <w:t xml:space="preserve"> </w:t>
      </w:r>
      <w:r w:rsidR="002B4D34">
        <w:t>as</w:t>
      </w:r>
      <w:r w:rsidR="002B4D34" w:rsidRPr="00EB1AE4">
        <w:t xml:space="preserve"> </w:t>
      </w:r>
      <w:r w:rsidR="003F1BC2" w:rsidRPr="00EB1AE4">
        <w:t>th</w:t>
      </w:r>
      <w:r w:rsidR="002B4D34">
        <w:t>at of PEGylated NPs</w:t>
      </w:r>
      <w:r w:rsidR="00F71B74" w:rsidRPr="00EB1AE4">
        <w:t xml:space="preserve">. Furthermore, the </w:t>
      </w:r>
      <w:r w:rsidR="003F1BC2" w:rsidRPr="00EB1AE4">
        <w:t>rate</w:t>
      </w:r>
      <w:r w:rsidR="00F71B74" w:rsidRPr="00EB1AE4">
        <w:t xml:space="preserve"> of </w:t>
      </w:r>
      <w:r w:rsidR="003F1BC2" w:rsidRPr="00EB1AE4">
        <w:t xml:space="preserve">water </w:t>
      </w:r>
      <w:r w:rsidR="00F71B74" w:rsidRPr="00EB1AE4">
        <w:t xml:space="preserve">removal was </w:t>
      </w:r>
      <w:r w:rsidR="002639B5" w:rsidRPr="00EB1AE4">
        <w:t xml:space="preserve">similar </w:t>
      </w:r>
      <w:r w:rsidR="00F71B74" w:rsidRPr="00EB1AE4">
        <w:t xml:space="preserve">for the two systems, confirming that the ability </w:t>
      </w:r>
      <w:r w:rsidR="00066229" w:rsidRPr="00EB1AE4">
        <w:t>of concentrating</w:t>
      </w:r>
      <w:r w:rsidR="00F71B74" w:rsidRPr="00EB1AE4">
        <w:t xml:space="preserve"> the suspension depends mainly on the process itself and not on the composition of the </w:t>
      </w:r>
      <w:r w:rsidR="002B4D34">
        <w:t>NPs</w:t>
      </w:r>
      <w:r w:rsidR="00F71B74" w:rsidRPr="00EB1AE4">
        <w:t>.</w:t>
      </w:r>
    </w:p>
    <w:p w14:paraId="62C50BD4" w14:textId="7F506D91" w:rsidR="00A41C49" w:rsidRPr="00EB1AE4" w:rsidRDefault="00927801" w:rsidP="00362C4A">
      <w:r w:rsidRPr="00EB1AE4">
        <w:t>Once the dialysis method was proved to be ef</w:t>
      </w:r>
      <w:r w:rsidR="007C3C37" w:rsidRPr="00EB1AE4">
        <w:t xml:space="preserve">ficient for </w:t>
      </w:r>
      <w:r w:rsidRPr="00EB1AE4">
        <w:t xml:space="preserve">this type of NPs, the lyophilization was performed in order to achieve a complete removal of water from the </w:t>
      </w:r>
      <w:r w:rsidR="002639B5" w:rsidRPr="00EB1AE4">
        <w:t>suspension</w:t>
      </w:r>
      <w:r w:rsidRPr="00EB1AE4">
        <w:t>. MPC</w:t>
      </w:r>
      <w:r w:rsidR="002639B5" w:rsidRPr="00EB1AE4">
        <w:t>-</w:t>
      </w:r>
      <w:r w:rsidRPr="00EB1AE4">
        <w:t xml:space="preserve">based NPs </w:t>
      </w:r>
      <w:r w:rsidR="005C5FC8" w:rsidRPr="00EB1AE4">
        <w:t>were concentrated by lyophilization</w:t>
      </w:r>
      <w:r w:rsidR="00A41C49" w:rsidRPr="00EB1AE4">
        <w:t xml:space="preserve"> using 1% w/w of </w:t>
      </w:r>
      <w:r w:rsidR="00A41C49" w:rsidRPr="00EB1AE4">
        <w:lastRenderedPageBreak/>
        <w:t xml:space="preserve">glucose as cryoprotectant. </w:t>
      </w:r>
      <w:r w:rsidR="002639B5" w:rsidRPr="00EB1AE4">
        <w:t xml:space="preserve">The </w:t>
      </w:r>
      <w:r w:rsidR="00A41C49" w:rsidRPr="00EB1AE4">
        <w:t xml:space="preserve">NPs were </w:t>
      </w:r>
      <w:r w:rsidR="000F38F1" w:rsidRPr="00EB1AE4">
        <w:t>then re</w:t>
      </w:r>
      <w:r w:rsidR="00F03C80" w:rsidRPr="00EB1AE4">
        <w:t>-</w:t>
      </w:r>
      <w:r w:rsidR="000F38F1" w:rsidRPr="00EB1AE4">
        <w:t xml:space="preserve">suspended in water and their particle size distribution before and after freeze-drying compared in </w:t>
      </w:r>
      <w:r w:rsidR="000F38F1" w:rsidRPr="00EB1AE4">
        <w:rPr>
          <w:b/>
        </w:rPr>
        <w:t xml:space="preserve">Figure </w:t>
      </w:r>
      <w:r w:rsidR="00B12D7E" w:rsidRPr="00EB1AE4">
        <w:rPr>
          <w:b/>
        </w:rPr>
        <w:t>5</w:t>
      </w:r>
      <w:r w:rsidR="000F38F1" w:rsidRPr="00EB1AE4">
        <w:t>.</w:t>
      </w:r>
    </w:p>
    <w:p w14:paraId="5F46A441" w14:textId="5684BB17" w:rsidR="000B6DA8" w:rsidRPr="00EB1AE4" w:rsidRDefault="00A41C49" w:rsidP="00362C4A">
      <w:r w:rsidRPr="00EB1AE4">
        <w:t xml:space="preserve">The result shows a </w:t>
      </w:r>
      <w:r w:rsidR="000C5BBF" w:rsidRPr="00EB1AE4">
        <w:t xml:space="preserve">small increase </w:t>
      </w:r>
      <w:r w:rsidR="000F38F1" w:rsidRPr="00EB1AE4">
        <w:t xml:space="preserve">in </w:t>
      </w:r>
      <w:r w:rsidR="000C5BBF" w:rsidRPr="00EB1AE4">
        <w:t xml:space="preserve">the NP size after the </w:t>
      </w:r>
      <w:r w:rsidR="003F1BC2" w:rsidRPr="00EB1AE4">
        <w:t>lyophilization</w:t>
      </w:r>
      <w:r w:rsidR="000C5BBF" w:rsidRPr="00EB1AE4">
        <w:t xml:space="preserve"> and re-dispersion. </w:t>
      </w:r>
      <w:r w:rsidR="007C3C37" w:rsidRPr="00EB1AE4">
        <w:t>However</w:t>
      </w:r>
      <w:r w:rsidR="000C5BBF" w:rsidRPr="00EB1AE4">
        <w:t>,</w:t>
      </w:r>
      <w:r w:rsidR="002639B5" w:rsidRPr="00EB1AE4">
        <w:t xml:space="preserve"> the average size is still in an acceptable range for drug delivery (30-300 nm). In addition</w:t>
      </w:r>
      <w:r w:rsidR="003F1BC2" w:rsidRPr="00EB1AE4">
        <w:t>,</w:t>
      </w:r>
      <w:r w:rsidR="000C5BBF" w:rsidRPr="00EB1AE4">
        <w:t xml:space="preserve"> the </w:t>
      </w:r>
      <w:r w:rsidR="002639B5" w:rsidRPr="00EB1AE4">
        <w:t>NPs preserve their narrow distribution</w:t>
      </w:r>
      <w:r w:rsidR="007C3C37" w:rsidRPr="00EB1AE4">
        <w:t xml:space="preserve">, thus confirming an efficient re-dispersability of the formulation differently from the </w:t>
      </w:r>
      <w:r w:rsidR="000F38F1" w:rsidRPr="00EB1AE4">
        <w:t>PEG-</w:t>
      </w:r>
      <w:r w:rsidR="007C3C37" w:rsidRPr="00EB1AE4">
        <w:t xml:space="preserve">based </w:t>
      </w:r>
      <w:r w:rsidR="003F1BC2" w:rsidRPr="00EB1AE4">
        <w:t>NPs</w:t>
      </w:r>
      <w:r w:rsidR="007C3C37" w:rsidRPr="00EB1AE4">
        <w:t>.</w:t>
      </w:r>
      <w:r w:rsidR="00366BEC" w:rsidRPr="00EB1AE4">
        <w:t xml:space="preserve"> This </w:t>
      </w:r>
      <w:r w:rsidR="003F1BC2" w:rsidRPr="00EB1AE4">
        <w:t>may be</w:t>
      </w:r>
      <w:r w:rsidR="00366BEC" w:rsidRPr="00EB1AE4">
        <w:t xml:space="preserve"> due to the ability of the MPC to </w:t>
      </w:r>
      <w:r w:rsidR="003F1BC2" w:rsidRPr="00EB1AE4">
        <w:t>crystallize</w:t>
      </w:r>
      <w:r w:rsidR="00366BEC" w:rsidRPr="00EB1AE4">
        <w:t xml:space="preserve"> at low temperature</w:t>
      </w:r>
      <w:r w:rsidR="003F1BC2" w:rsidRPr="00EB1AE4">
        <w:t>.</w:t>
      </w:r>
      <w:r w:rsidR="00366BEC" w:rsidRPr="00EB1AE4">
        <w:t xml:space="preserve"> </w:t>
      </w:r>
      <w:r w:rsidR="003F1BC2" w:rsidRPr="00EB1AE4">
        <w:t>This phenomenon</w:t>
      </w:r>
      <w:r w:rsidR="00366BEC" w:rsidRPr="00EB1AE4">
        <w:t xml:space="preserve"> stabili</w:t>
      </w:r>
      <w:r w:rsidR="003B5243" w:rsidRPr="00EB1AE4">
        <w:t>ze</w:t>
      </w:r>
      <w:r w:rsidR="003F1BC2" w:rsidRPr="00EB1AE4">
        <w:t>s</w:t>
      </w:r>
      <w:r w:rsidR="003B5243" w:rsidRPr="00EB1AE4">
        <w:t xml:space="preserve"> the formulation avoiding the coalescence of the polymeric particles</w:t>
      </w:r>
      <w:r w:rsidR="002639B5" w:rsidRPr="00EB1AE4">
        <w:t>. However, even in this case, a low percentage of cryoprotectant was required to enable the re</w:t>
      </w:r>
      <w:r w:rsidR="00F03C80" w:rsidRPr="00EB1AE4">
        <w:t>-</w:t>
      </w:r>
      <w:r w:rsidR="002639B5" w:rsidRPr="00EB1AE4">
        <w:t>dispersion of the NPs preserving the original size</w:t>
      </w:r>
      <w:r w:rsidR="003F1BC2" w:rsidRPr="00EB1AE4">
        <w:t>. Therefore,</w:t>
      </w:r>
      <w:r w:rsidR="000F38F1" w:rsidRPr="00EB1AE4">
        <w:t xml:space="preserve"> the dialysis method</w:t>
      </w:r>
      <w:r w:rsidR="003F1BC2" w:rsidRPr="00EB1AE4">
        <w:t xml:space="preserve"> is still</w:t>
      </w:r>
      <w:r w:rsidR="000F38F1" w:rsidRPr="00EB1AE4">
        <w:t xml:space="preserve"> a valuable alternative when the addition of exogenous compounds is unacceptable.</w:t>
      </w:r>
    </w:p>
    <w:p w14:paraId="162B54B7" w14:textId="77777777" w:rsidR="008141BB" w:rsidRPr="00EB1AE4" w:rsidRDefault="008141BB" w:rsidP="00362C4A"/>
    <w:p w14:paraId="71270D26" w14:textId="0AB5D0BF" w:rsidR="006C4CBC" w:rsidRPr="00EB1AE4" w:rsidRDefault="006C4CBC" w:rsidP="006C4CBC">
      <w:pPr>
        <w:pStyle w:val="Titolo1"/>
      </w:pPr>
      <w:r w:rsidRPr="00EB1AE4">
        <w:t>Conclusions</w:t>
      </w:r>
    </w:p>
    <w:p w14:paraId="3D5BF11C" w14:textId="62CD269A" w:rsidR="002A2370" w:rsidRDefault="008914EF" w:rsidP="00470EE9">
      <w:pPr>
        <w:spacing w:after="160"/>
      </w:pPr>
      <w:r w:rsidRPr="00EB1AE4">
        <w:t>In this work</w:t>
      </w:r>
      <w:r w:rsidR="008A1620" w:rsidRPr="00EB1AE4">
        <w:t xml:space="preserve">, </w:t>
      </w:r>
      <w:r w:rsidR="002A2370">
        <w:t>we optimized an alternative method to the traditional freeze-drying for the removal of water from biodegradable polymer NP suspensions</w:t>
      </w:r>
      <w:r w:rsidR="008A1620" w:rsidRPr="00EB1AE4">
        <w:t xml:space="preserve">. </w:t>
      </w:r>
      <w:r w:rsidR="002A2370">
        <w:t xml:space="preserve">In fact, we demonstrated that lyophilization leads to irreversible aggregation in the case of PEGylated NPs, the current golden standard as drug carriers. </w:t>
      </w:r>
      <w:r w:rsidR="004C0AF3">
        <w:t>Therefore, we proposed and optimized the dialysis of NP suspensions against a concentrated PEG</w:t>
      </w:r>
      <w:r w:rsidR="004C0AF3" w:rsidRPr="00056ACE">
        <w:rPr>
          <w:vertAlign w:val="subscript"/>
        </w:rPr>
        <w:t>8000</w:t>
      </w:r>
      <w:r w:rsidR="004C0AF3">
        <w:t xml:space="preserve"> solution</w:t>
      </w:r>
      <w:r w:rsidR="00C32E68">
        <w:t xml:space="preserve"> as an efficient process for the NP concentration</w:t>
      </w:r>
      <w:r w:rsidR="004C0AF3">
        <w:t>. Through this method, at a PEG concentration of 180 mg/ml</w:t>
      </w:r>
      <w:r w:rsidR="004C0AF3" w:rsidRPr="004C0AF3">
        <w:t xml:space="preserve"> </w:t>
      </w:r>
      <w:r w:rsidR="004C0AF3">
        <w:t xml:space="preserve">it was possible to obtain </w:t>
      </w:r>
      <w:r w:rsidR="004C0AF3" w:rsidRPr="00EB1AE4">
        <w:t>Fc up to 40 in less than 10 h, without inducing the NP destabilization. We propose</w:t>
      </w:r>
      <w:r w:rsidR="00445E6E">
        <w:t>d</w:t>
      </w:r>
      <w:r w:rsidR="004C0AF3" w:rsidRPr="00EB1AE4">
        <w:t xml:space="preserve"> an exponential dependency of </w:t>
      </w:r>
      <w:r w:rsidR="004C0AF3">
        <w:t xml:space="preserve">the </w:t>
      </w:r>
      <w:r w:rsidR="004C0AF3" w:rsidRPr="00EB1AE4">
        <w:t xml:space="preserve">Fc </w:t>
      </w:r>
      <w:r w:rsidR="004C0AF3">
        <w:t xml:space="preserve">reached at the equilibrium </w:t>
      </w:r>
      <w:r w:rsidR="00445E6E">
        <w:t>on</w:t>
      </w:r>
      <w:r w:rsidR="004C0AF3" w:rsidRPr="00EB1AE4">
        <w:t xml:space="preserve"> the osmotic pressure, being the exponent a linear function of the initial NP concentration. The same protocol demonstrated to be efficient also for the concentration of MPC-based NPs. Indeed, for these NPs also the lyophilization enabled to obtain a redispersible product, provided that 1% w/w of cryoprotectant is added. Then, the dialysis can be a valuable solution when cryoprotectants are not tolerated.</w:t>
      </w:r>
    </w:p>
    <w:p w14:paraId="29143E32" w14:textId="77777777" w:rsidR="00BD551F" w:rsidRPr="00EB1AE4" w:rsidRDefault="00BD551F" w:rsidP="00F11436"/>
    <w:p w14:paraId="41B69D5D" w14:textId="726875E1" w:rsidR="00B12D7E" w:rsidRPr="00EB1AE4" w:rsidRDefault="00B12D7E" w:rsidP="0089045D">
      <w:pPr>
        <w:rPr>
          <w:szCs w:val="32"/>
        </w:rPr>
      </w:pPr>
      <w:r w:rsidRPr="00EB1AE4">
        <w:rPr>
          <w:b/>
          <w:szCs w:val="32"/>
        </w:rPr>
        <w:t xml:space="preserve">Supporting Material: </w:t>
      </w:r>
      <w:r w:rsidRPr="00EB1AE4">
        <w:rPr>
          <w:szCs w:val="32"/>
        </w:rPr>
        <w:t xml:space="preserve">Electronic supporting information are available on the publisher website and report the full </w:t>
      </w:r>
      <w:r w:rsidRPr="00EB1AE4">
        <w:rPr>
          <w:szCs w:val="32"/>
          <w:vertAlign w:val="superscript"/>
        </w:rPr>
        <w:t>1</w:t>
      </w:r>
      <w:r w:rsidRPr="00EB1AE4">
        <w:rPr>
          <w:szCs w:val="32"/>
        </w:rPr>
        <w:t>H NMR characterization of the synthesized polymers, the detailed parameters of the dialysis experiments and the proof of preserved NP stability after dialysis.</w:t>
      </w:r>
    </w:p>
    <w:p w14:paraId="6A35974D" w14:textId="77777777" w:rsidR="00B12D7E" w:rsidRPr="00EB1AE4" w:rsidRDefault="00B12D7E" w:rsidP="0089045D">
      <w:pPr>
        <w:rPr>
          <w:szCs w:val="32"/>
        </w:rPr>
      </w:pPr>
    </w:p>
    <w:p w14:paraId="2CCF89D0" w14:textId="2A636216" w:rsidR="00047990" w:rsidRPr="00EB1AE4" w:rsidRDefault="0089045D" w:rsidP="0089045D">
      <w:r w:rsidRPr="00EB1AE4">
        <w:rPr>
          <w:b/>
          <w:szCs w:val="32"/>
        </w:rPr>
        <w:t>Acknowledgments</w:t>
      </w:r>
      <w:r w:rsidR="00B12D7E" w:rsidRPr="00EB1AE4">
        <w:rPr>
          <w:b/>
          <w:szCs w:val="32"/>
        </w:rPr>
        <w:t xml:space="preserve">: </w:t>
      </w:r>
      <w:r w:rsidR="00B12D7E" w:rsidRPr="00EB1AE4">
        <w:rPr>
          <w:szCs w:val="32"/>
        </w:rPr>
        <w:t>The authors are grateful to</w:t>
      </w:r>
      <w:r w:rsidRPr="00EB1AE4">
        <w:t xml:space="preserve"> Luca Garghentini for </w:t>
      </w:r>
      <w:r w:rsidR="00B12D7E" w:rsidRPr="00EB1AE4">
        <w:t>his</w:t>
      </w:r>
      <w:r w:rsidRPr="00EB1AE4">
        <w:t xml:space="preserve"> help </w:t>
      </w:r>
      <w:r w:rsidR="00B12D7E" w:rsidRPr="00EB1AE4">
        <w:t>with</w:t>
      </w:r>
      <w:r w:rsidRPr="00EB1AE4">
        <w:t xml:space="preserve"> the </w:t>
      </w:r>
      <w:r w:rsidR="00B12D7E" w:rsidRPr="00EB1AE4">
        <w:t>freeze-drying experiments</w:t>
      </w:r>
      <w:r w:rsidRPr="00EB1AE4">
        <w:t>.</w:t>
      </w:r>
    </w:p>
    <w:p w14:paraId="07DA107F" w14:textId="77777777" w:rsidR="00B12D7E" w:rsidRPr="00EB1AE4" w:rsidRDefault="00B12D7E" w:rsidP="0089045D"/>
    <w:p w14:paraId="01BC690D" w14:textId="7A840041" w:rsidR="00047990" w:rsidRPr="00EB1AE4" w:rsidRDefault="00B12D7E" w:rsidP="00047990">
      <w:pPr>
        <w:widowControl w:val="0"/>
        <w:autoSpaceDE w:val="0"/>
        <w:autoSpaceDN w:val="0"/>
        <w:adjustRightInd w:val="0"/>
        <w:rPr>
          <w:rFonts w:cs="Times New Roman"/>
          <w:szCs w:val="24"/>
        </w:rPr>
      </w:pPr>
      <w:r w:rsidRPr="00EB1AE4">
        <w:rPr>
          <w:rFonts w:cs="Times New Roman"/>
          <w:b/>
          <w:szCs w:val="24"/>
        </w:rPr>
        <w:t>Conflict of Interests:</w:t>
      </w:r>
      <w:r w:rsidRPr="00EB1AE4">
        <w:rPr>
          <w:rFonts w:cs="Times New Roman"/>
          <w:szCs w:val="24"/>
        </w:rPr>
        <w:t xml:space="preserve"> The authors declare no conflict of interests for this work.</w:t>
      </w:r>
    </w:p>
    <w:p w14:paraId="78406B52" w14:textId="77777777" w:rsidR="00B12D7E" w:rsidRPr="00EB1AE4" w:rsidRDefault="00B12D7E" w:rsidP="00E45C5E">
      <w:pPr>
        <w:pStyle w:val="Titolo1"/>
        <w:numPr>
          <w:ilvl w:val="0"/>
          <w:numId w:val="0"/>
        </w:numPr>
        <w:ind w:left="862" w:hanging="862"/>
      </w:pPr>
    </w:p>
    <w:p w14:paraId="5CEB638B" w14:textId="350ABEA4" w:rsidR="00047990" w:rsidRPr="00EB1AE4" w:rsidRDefault="00A52F12" w:rsidP="00E45C5E">
      <w:pPr>
        <w:pStyle w:val="Titolo1"/>
        <w:numPr>
          <w:ilvl w:val="0"/>
          <w:numId w:val="0"/>
        </w:numPr>
        <w:ind w:left="862" w:hanging="862"/>
      </w:pPr>
      <w:r w:rsidRPr="00EB1AE4">
        <w:t>References</w:t>
      </w:r>
    </w:p>
    <w:p w14:paraId="44C1C2DE" w14:textId="585DA7B2" w:rsidR="00F9205E" w:rsidRPr="00EB1AE4" w:rsidRDefault="00F9205E" w:rsidP="00D01894"/>
    <w:p w14:paraId="7C7DEE14" w14:textId="298099F9" w:rsidR="00475714" w:rsidRPr="00475714" w:rsidRDefault="00F9205E" w:rsidP="00475714">
      <w:pPr>
        <w:widowControl w:val="0"/>
        <w:autoSpaceDE w:val="0"/>
        <w:autoSpaceDN w:val="0"/>
        <w:adjustRightInd w:val="0"/>
        <w:ind w:left="640" w:hanging="640"/>
        <w:rPr>
          <w:rFonts w:cs="Times New Roman"/>
          <w:noProof/>
          <w:szCs w:val="24"/>
        </w:rPr>
      </w:pPr>
      <w:r w:rsidRPr="00EB1AE4">
        <w:fldChar w:fldCharType="begin" w:fldLock="1"/>
      </w:r>
      <w:r w:rsidRPr="00EB1AE4">
        <w:instrText xml:space="preserve">ADDIN Mendeley Bibliography CSL_BIBLIOGRAPHY </w:instrText>
      </w:r>
      <w:r w:rsidRPr="00EB1AE4">
        <w:fldChar w:fldCharType="separate"/>
      </w:r>
      <w:r w:rsidR="00475714" w:rsidRPr="00475714">
        <w:rPr>
          <w:rFonts w:cs="Times New Roman"/>
          <w:noProof/>
          <w:szCs w:val="24"/>
        </w:rPr>
        <w:t>1.</w:t>
      </w:r>
      <w:r w:rsidR="00475714" w:rsidRPr="00475714">
        <w:rPr>
          <w:rFonts w:cs="Times New Roman"/>
          <w:noProof/>
          <w:szCs w:val="24"/>
        </w:rPr>
        <w:tab/>
        <w:t xml:space="preserve">Ferrari, R., Sponchioni, M., Morbidelli, M. &amp; Moscatelli, D. Polymer nanoparticles for the intravenous delivery of anticancer drugs: the checkpoints on the road from the synthesis to clinical translation. </w:t>
      </w:r>
      <w:r w:rsidR="00475714" w:rsidRPr="00475714">
        <w:rPr>
          <w:rFonts w:cs="Times New Roman"/>
          <w:i/>
          <w:iCs/>
          <w:noProof/>
          <w:szCs w:val="24"/>
        </w:rPr>
        <w:t>Nanoscale</w:t>
      </w:r>
      <w:r w:rsidR="00475714" w:rsidRPr="00475714">
        <w:rPr>
          <w:rFonts w:cs="Times New Roman"/>
          <w:noProof/>
          <w:szCs w:val="24"/>
        </w:rPr>
        <w:t xml:space="preserve"> </w:t>
      </w:r>
      <w:r w:rsidR="00475714" w:rsidRPr="00475714">
        <w:rPr>
          <w:rFonts w:cs="Times New Roman"/>
          <w:b/>
          <w:bCs/>
          <w:noProof/>
          <w:szCs w:val="24"/>
        </w:rPr>
        <w:t>10</w:t>
      </w:r>
      <w:r w:rsidR="00475714" w:rsidRPr="00475714">
        <w:rPr>
          <w:rFonts w:cs="Times New Roman"/>
          <w:noProof/>
          <w:szCs w:val="24"/>
        </w:rPr>
        <w:t>, 22701–22719 (2018).</w:t>
      </w:r>
    </w:p>
    <w:p w14:paraId="06236B0F"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w:t>
      </w:r>
      <w:r w:rsidRPr="00475714">
        <w:rPr>
          <w:rFonts w:cs="Times New Roman"/>
          <w:noProof/>
          <w:szCs w:val="24"/>
        </w:rPr>
        <w:tab/>
        <w:t xml:space="preserve">Salata, O. V. Applications of nanoparticles in biology and medicine. </w:t>
      </w:r>
      <w:r w:rsidRPr="00475714">
        <w:rPr>
          <w:rFonts w:cs="Times New Roman"/>
          <w:i/>
          <w:iCs/>
          <w:noProof/>
          <w:szCs w:val="24"/>
        </w:rPr>
        <w:t>J. Nanobiotechnology</w:t>
      </w:r>
      <w:r w:rsidRPr="00475714">
        <w:rPr>
          <w:rFonts w:cs="Times New Roman"/>
          <w:noProof/>
          <w:szCs w:val="24"/>
        </w:rPr>
        <w:t xml:space="preserve"> </w:t>
      </w:r>
      <w:r w:rsidRPr="00475714">
        <w:rPr>
          <w:rFonts w:cs="Times New Roman"/>
          <w:b/>
          <w:bCs/>
          <w:noProof/>
          <w:szCs w:val="24"/>
        </w:rPr>
        <w:t>2</w:t>
      </w:r>
      <w:r w:rsidRPr="00475714">
        <w:rPr>
          <w:rFonts w:cs="Times New Roman"/>
          <w:noProof/>
          <w:szCs w:val="24"/>
        </w:rPr>
        <w:t>, 3 (2004).</w:t>
      </w:r>
    </w:p>
    <w:p w14:paraId="17CEC03F"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w:t>
      </w:r>
      <w:r w:rsidRPr="00475714">
        <w:rPr>
          <w:rFonts w:cs="Times New Roman"/>
          <w:noProof/>
          <w:szCs w:val="24"/>
        </w:rPr>
        <w:tab/>
        <w:t xml:space="preserve">Zhang, L. </w:t>
      </w:r>
      <w:r w:rsidRPr="00475714">
        <w:rPr>
          <w:rFonts w:cs="Times New Roman"/>
          <w:i/>
          <w:iCs/>
          <w:noProof/>
          <w:szCs w:val="24"/>
        </w:rPr>
        <w:t>et al.</w:t>
      </w:r>
      <w:r w:rsidRPr="00475714">
        <w:rPr>
          <w:rFonts w:cs="Times New Roman"/>
          <w:noProof/>
          <w:szCs w:val="24"/>
        </w:rPr>
        <w:t xml:space="preserve"> Nanoparticles in Medicine: Therapeutic Applications and Developments. </w:t>
      </w:r>
      <w:r w:rsidRPr="00475714">
        <w:rPr>
          <w:rFonts w:cs="Times New Roman"/>
          <w:i/>
          <w:iCs/>
          <w:noProof/>
          <w:szCs w:val="24"/>
        </w:rPr>
        <w:t>Clin. Pharmacol. Ther.</w:t>
      </w:r>
      <w:r w:rsidRPr="00475714">
        <w:rPr>
          <w:rFonts w:cs="Times New Roman"/>
          <w:noProof/>
          <w:szCs w:val="24"/>
        </w:rPr>
        <w:t xml:space="preserve"> </w:t>
      </w:r>
      <w:r w:rsidRPr="00475714">
        <w:rPr>
          <w:rFonts w:cs="Times New Roman"/>
          <w:b/>
          <w:bCs/>
          <w:noProof/>
          <w:szCs w:val="24"/>
        </w:rPr>
        <w:t>83</w:t>
      </w:r>
      <w:r w:rsidRPr="00475714">
        <w:rPr>
          <w:rFonts w:cs="Times New Roman"/>
          <w:noProof/>
          <w:szCs w:val="24"/>
        </w:rPr>
        <w:t>, 761–769 (2008).</w:t>
      </w:r>
    </w:p>
    <w:p w14:paraId="71B1E14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w:t>
      </w:r>
      <w:r w:rsidRPr="00475714">
        <w:rPr>
          <w:rFonts w:cs="Times New Roman"/>
          <w:noProof/>
          <w:szCs w:val="24"/>
        </w:rPr>
        <w:tab/>
        <w:t xml:space="preserve">Panyam, J. &amp; Labhasetwar, V. Biodegradable nanoparticles for drug and gene delivery to cells and tissue. </w:t>
      </w:r>
      <w:r w:rsidRPr="00475714">
        <w:rPr>
          <w:rFonts w:cs="Times New Roman"/>
          <w:i/>
          <w:iCs/>
          <w:noProof/>
          <w:szCs w:val="24"/>
        </w:rPr>
        <w:t>Adv. Drug Deliv. Rev.</w:t>
      </w:r>
      <w:r w:rsidRPr="00475714">
        <w:rPr>
          <w:rFonts w:cs="Times New Roman"/>
          <w:noProof/>
          <w:szCs w:val="24"/>
        </w:rPr>
        <w:t xml:space="preserve"> </w:t>
      </w:r>
      <w:r w:rsidRPr="00475714">
        <w:rPr>
          <w:rFonts w:cs="Times New Roman"/>
          <w:b/>
          <w:bCs/>
          <w:noProof/>
          <w:szCs w:val="24"/>
        </w:rPr>
        <w:t>55</w:t>
      </w:r>
      <w:r w:rsidRPr="00475714">
        <w:rPr>
          <w:rFonts w:cs="Times New Roman"/>
          <w:noProof/>
          <w:szCs w:val="24"/>
        </w:rPr>
        <w:t>, 329–347 (2003).</w:t>
      </w:r>
    </w:p>
    <w:p w14:paraId="501CBAC2"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5.</w:t>
      </w:r>
      <w:r w:rsidRPr="00475714">
        <w:rPr>
          <w:rFonts w:cs="Times New Roman"/>
          <w:noProof/>
          <w:szCs w:val="24"/>
        </w:rPr>
        <w:tab/>
        <w:t xml:space="preserve">Moscatelli, D. &amp; Sponchioni, M. Bioresorbable polymer nanoparticles in the medical and pharmaceutical fields. in </w:t>
      </w:r>
      <w:r w:rsidRPr="00475714">
        <w:rPr>
          <w:rFonts w:cs="Times New Roman"/>
          <w:i/>
          <w:iCs/>
          <w:noProof/>
          <w:szCs w:val="24"/>
        </w:rPr>
        <w:t>Bioresorbable Polymers for Biomedical Applications</w:t>
      </w:r>
      <w:r w:rsidRPr="00475714">
        <w:rPr>
          <w:rFonts w:cs="Times New Roman"/>
          <w:noProof/>
          <w:szCs w:val="24"/>
        </w:rPr>
        <w:t xml:space="preserve"> 265–283 (Elsevier, 2017). doi:10.1016/B978-0-08-100262-9.00012-4.</w:t>
      </w:r>
    </w:p>
    <w:p w14:paraId="79358D7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6.</w:t>
      </w:r>
      <w:r w:rsidRPr="00475714">
        <w:rPr>
          <w:rFonts w:cs="Times New Roman"/>
          <w:noProof/>
          <w:szCs w:val="24"/>
        </w:rPr>
        <w:tab/>
        <w:t xml:space="preserve">Hans, M. L. &amp; Lowman, A. M. Biodegradable nanoparticles for drug delivery and targeting. </w:t>
      </w:r>
      <w:r w:rsidRPr="00475714">
        <w:rPr>
          <w:rFonts w:cs="Times New Roman"/>
          <w:i/>
          <w:iCs/>
          <w:noProof/>
          <w:szCs w:val="24"/>
        </w:rPr>
        <w:t>Curr. Opin. Solid State Mater. Sci.</w:t>
      </w:r>
      <w:r w:rsidRPr="00475714">
        <w:rPr>
          <w:rFonts w:cs="Times New Roman"/>
          <w:noProof/>
          <w:szCs w:val="24"/>
        </w:rPr>
        <w:t xml:space="preserve"> </w:t>
      </w:r>
      <w:r w:rsidRPr="00475714">
        <w:rPr>
          <w:rFonts w:cs="Times New Roman"/>
          <w:b/>
          <w:bCs/>
          <w:noProof/>
          <w:szCs w:val="24"/>
        </w:rPr>
        <w:t>6</w:t>
      </w:r>
      <w:r w:rsidRPr="00475714">
        <w:rPr>
          <w:rFonts w:cs="Times New Roman"/>
          <w:noProof/>
          <w:szCs w:val="24"/>
        </w:rPr>
        <w:t>, 319–327 (2002).</w:t>
      </w:r>
    </w:p>
    <w:p w14:paraId="168060F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7.</w:t>
      </w:r>
      <w:r w:rsidRPr="00475714">
        <w:rPr>
          <w:rFonts w:cs="Times New Roman"/>
          <w:noProof/>
          <w:szCs w:val="24"/>
        </w:rPr>
        <w:tab/>
        <w:t xml:space="preserve">Kamaly, N., Yameen, B., Wu, J. &amp; Farokhzad, O. C. Degradable Controlled-Release Polymers and Polymeric Nanoparticles: Mechanisms of Controlling Drug Release. </w:t>
      </w:r>
      <w:r w:rsidRPr="00475714">
        <w:rPr>
          <w:rFonts w:cs="Times New Roman"/>
          <w:i/>
          <w:iCs/>
          <w:noProof/>
          <w:szCs w:val="24"/>
        </w:rPr>
        <w:t>Chem. Rev.</w:t>
      </w:r>
      <w:r w:rsidRPr="00475714">
        <w:rPr>
          <w:rFonts w:cs="Times New Roman"/>
          <w:noProof/>
          <w:szCs w:val="24"/>
        </w:rPr>
        <w:t xml:space="preserve"> </w:t>
      </w:r>
      <w:r w:rsidRPr="00475714">
        <w:rPr>
          <w:rFonts w:cs="Times New Roman"/>
          <w:b/>
          <w:bCs/>
          <w:noProof/>
          <w:szCs w:val="24"/>
        </w:rPr>
        <w:t>116</w:t>
      </w:r>
      <w:r w:rsidRPr="00475714">
        <w:rPr>
          <w:rFonts w:cs="Times New Roman"/>
          <w:noProof/>
          <w:szCs w:val="24"/>
        </w:rPr>
        <w:t>, 2602–2663 (2016).</w:t>
      </w:r>
    </w:p>
    <w:p w14:paraId="56151562"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8.</w:t>
      </w:r>
      <w:r w:rsidRPr="00475714">
        <w:rPr>
          <w:rFonts w:cs="Times New Roman"/>
          <w:noProof/>
          <w:szCs w:val="24"/>
        </w:rPr>
        <w:tab/>
        <w:t xml:space="preserve">Sponchioni, M., Palmiero, U. C. &amp; Moscatelli, D. HPMA-PEG Surfmers and Their Use in Stabilizing Fully Biodegradable Polymer Nanoparticles. </w:t>
      </w:r>
      <w:r w:rsidRPr="00475714">
        <w:rPr>
          <w:rFonts w:cs="Times New Roman"/>
          <w:i/>
          <w:iCs/>
          <w:noProof/>
          <w:szCs w:val="24"/>
        </w:rPr>
        <w:t>Macromol. Chem. Phys.</w:t>
      </w:r>
      <w:r w:rsidRPr="00475714">
        <w:rPr>
          <w:rFonts w:cs="Times New Roman"/>
          <w:noProof/>
          <w:szCs w:val="24"/>
        </w:rPr>
        <w:t xml:space="preserve"> </w:t>
      </w:r>
      <w:r w:rsidRPr="00475714">
        <w:rPr>
          <w:rFonts w:cs="Times New Roman"/>
          <w:b/>
          <w:bCs/>
          <w:noProof/>
          <w:szCs w:val="24"/>
        </w:rPr>
        <w:t>218</w:t>
      </w:r>
      <w:r w:rsidRPr="00475714">
        <w:rPr>
          <w:rFonts w:cs="Times New Roman"/>
          <w:noProof/>
          <w:szCs w:val="24"/>
        </w:rPr>
        <w:t>, 1700380 (2017).</w:t>
      </w:r>
    </w:p>
    <w:p w14:paraId="01E24425"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lastRenderedPageBreak/>
        <w:t>9.</w:t>
      </w:r>
      <w:r w:rsidRPr="00475714">
        <w:rPr>
          <w:rFonts w:cs="Times New Roman"/>
          <w:noProof/>
          <w:szCs w:val="24"/>
        </w:rPr>
        <w:tab/>
        <w:t xml:space="preserve">Wang, F., Bronich, T. K., Kabanov, A. V, Rauh, R. D. &amp; Roovers, J. Synthesis and Evaluation of a Star Amphiphilic Block Copolymer from Poly(ε-caprolactone) and Poly(ethylene glycol) as a Potential Drug Delivery Carrier. </w:t>
      </w:r>
      <w:r w:rsidRPr="00475714">
        <w:rPr>
          <w:rFonts w:cs="Times New Roman"/>
          <w:i/>
          <w:iCs/>
          <w:noProof/>
          <w:szCs w:val="24"/>
        </w:rPr>
        <w:t>Bioconjug. Chem.</w:t>
      </w:r>
      <w:r w:rsidRPr="00475714">
        <w:rPr>
          <w:rFonts w:cs="Times New Roman"/>
          <w:noProof/>
          <w:szCs w:val="24"/>
        </w:rPr>
        <w:t xml:space="preserve"> </w:t>
      </w:r>
      <w:r w:rsidRPr="00475714">
        <w:rPr>
          <w:rFonts w:cs="Times New Roman"/>
          <w:b/>
          <w:bCs/>
          <w:noProof/>
          <w:szCs w:val="24"/>
        </w:rPr>
        <w:t>16</w:t>
      </w:r>
      <w:r w:rsidRPr="00475714">
        <w:rPr>
          <w:rFonts w:cs="Times New Roman"/>
          <w:noProof/>
          <w:szCs w:val="24"/>
        </w:rPr>
        <w:t>, 397–405 (2005).</w:t>
      </w:r>
    </w:p>
    <w:p w14:paraId="605CF65D"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10.</w:t>
      </w:r>
      <w:r w:rsidRPr="00475714">
        <w:rPr>
          <w:rFonts w:cs="Times New Roman"/>
          <w:noProof/>
          <w:szCs w:val="24"/>
        </w:rPr>
        <w:tab/>
        <w:t xml:space="preserve">Adams, M. L., Lavasanifar, A. &amp; Kwon, G. S. Amphiphilic block copolymers for drug delivery. </w:t>
      </w:r>
      <w:r w:rsidRPr="00475714">
        <w:rPr>
          <w:rFonts w:cs="Times New Roman"/>
          <w:i/>
          <w:iCs/>
          <w:noProof/>
          <w:szCs w:val="24"/>
        </w:rPr>
        <w:t>J. Pharm. Sci.</w:t>
      </w:r>
      <w:r w:rsidRPr="00475714">
        <w:rPr>
          <w:rFonts w:cs="Times New Roman"/>
          <w:noProof/>
          <w:szCs w:val="24"/>
        </w:rPr>
        <w:t xml:space="preserve"> </w:t>
      </w:r>
      <w:r w:rsidRPr="00475714">
        <w:rPr>
          <w:rFonts w:cs="Times New Roman"/>
          <w:b/>
          <w:bCs/>
          <w:noProof/>
          <w:szCs w:val="24"/>
        </w:rPr>
        <w:t>92</w:t>
      </w:r>
      <w:r w:rsidRPr="00475714">
        <w:rPr>
          <w:rFonts w:cs="Times New Roman"/>
          <w:noProof/>
          <w:szCs w:val="24"/>
        </w:rPr>
        <w:t>, 1343–1355 (2003).</w:t>
      </w:r>
    </w:p>
    <w:p w14:paraId="69642D18"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11.</w:t>
      </w:r>
      <w:r w:rsidRPr="00475714">
        <w:rPr>
          <w:rFonts w:cs="Times New Roman"/>
          <w:noProof/>
          <w:szCs w:val="24"/>
        </w:rPr>
        <w:tab/>
        <w:t>Kabanov, A. V &amp; Alakhov, V. Y. Micelles of amphiphilic block copolymers as vehicles for drug delivery. in (eds. Alexandridis, P. &amp; Lindman, B. B. T.-A. B. C.) 347–376 (Elsevier Science B.V., 2000). doi:https://doi.org/10.1016/B978-044482441-7/50016-5.</w:t>
      </w:r>
    </w:p>
    <w:p w14:paraId="4322E45C"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12.</w:t>
      </w:r>
      <w:r w:rsidRPr="00475714">
        <w:rPr>
          <w:rFonts w:cs="Times New Roman"/>
          <w:noProof/>
          <w:szCs w:val="24"/>
        </w:rPr>
        <w:tab/>
        <w:t xml:space="preserve">Rösler, A., Vandermeulen, G. W. M. &amp; Klok, H.-A. Advanced drug delivery devices via self-assembly of amphiphilic block copolymers. </w:t>
      </w:r>
      <w:r w:rsidRPr="00475714">
        <w:rPr>
          <w:rFonts w:cs="Times New Roman"/>
          <w:i/>
          <w:iCs/>
          <w:noProof/>
          <w:szCs w:val="24"/>
        </w:rPr>
        <w:t>Adv. Drug Deliv. Rev.</w:t>
      </w:r>
      <w:r w:rsidRPr="00475714">
        <w:rPr>
          <w:rFonts w:cs="Times New Roman"/>
          <w:noProof/>
          <w:szCs w:val="24"/>
        </w:rPr>
        <w:t xml:space="preserve"> </w:t>
      </w:r>
      <w:r w:rsidRPr="00475714">
        <w:rPr>
          <w:rFonts w:cs="Times New Roman"/>
          <w:b/>
          <w:bCs/>
          <w:noProof/>
          <w:szCs w:val="24"/>
        </w:rPr>
        <w:t>64</w:t>
      </w:r>
      <w:r w:rsidRPr="00475714">
        <w:rPr>
          <w:rFonts w:cs="Times New Roman"/>
          <w:noProof/>
          <w:szCs w:val="24"/>
        </w:rPr>
        <w:t>, 270–279 (2012).</w:t>
      </w:r>
    </w:p>
    <w:p w14:paraId="2C9F73D1"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13.</w:t>
      </w:r>
      <w:r w:rsidRPr="00475714">
        <w:rPr>
          <w:rFonts w:cs="Times New Roman"/>
          <w:noProof/>
          <w:szCs w:val="24"/>
        </w:rPr>
        <w:tab/>
        <w:t xml:space="preserve">Capasso Palmiero, U., Sponchioni, M., Manfredini, N., Maraldi, M. &amp; Moscatelli, D. Strategies to combine ROP with ATRP or RAFT polymerization for the synthesis of biodegradable polymeric nanoparticles for biomedical applications. </w:t>
      </w:r>
      <w:r w:rsidRPr="00475714">
        <w:rPr>
          <w:rFonts w:cs="Times New Roman"/>
          <w:i/>
          <w:iCs/>
          <w:noProof/>
          <w:szCs w:val="24"/>
        </w:rPr>
        <w:t>Polym. Chem.</w:t>
      </w:r>
      <w:r w:rsidRPr="00475714">
        <w:rPr>
          <w:rFonts w:cs="Times New Roman"/>
          <w:noProof/>
          <w:szCs w:val="24"/>
        </w:rPr>
        <w:t xml:space="preserve"> </w:t>
      </w:r>
      <w:r w:rsidRPr="00475714">
        <w:rPr>
          <w:rFonts w:cs="Times New Roman"/>
          <w:b/>
          <w:bCs/>
          <w:noProof/>
          <w:szCs w:val="24"/>
        </w:rPr>
        <w:t>9</w:t>
      </w:r>
      <w:r w:rsidRPr="00475714">
        <w:rPr>
          <w:rFonts w:cs="Times New Roman"/>
          <w:noProof/>
          <w:szCs w:val="24"/>
        </w:rPr>
        <w:t>, 4084–4099 (2018).</w:t>
      </w:r>
    </w:p>
    <w:p w14:paraId="7C2ADCF5"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14.</w:t>
      </w:r>
      <w:r w:rsidRPr="00475714">
        <w:rPr>
          <w:rFonts w:cs="Times New Roman"/>
          <w:noProof/>
          <w:szCs w:val="24"/>
        </w:rPr>
        <w:tab/>
        <w:t xml:space="preserve">Veronese, F. M. &amp; Pasut, G. PEGylation, successful approach to drug delivery. </w:t>
      </w:r>
      <w:r w:rsidRPr="00475714">
        <w:rPr>
          <w:rFonts w:cs="Times New Roman"/>
          <w:i/>
          <w:iCs/>
          <w:noProof/>
          <w:szCs w:val="24"/>
        </w:rPr>
        <w:t>Drug Discov. Today</w:t>
      </w:r>
      <w:r w:rsidRPr="00475714">
        <w:rPr>
          <w:rFonts w:cs="Times New Roman"/>
          <w:noProof/>
          <w:szCs w:val="24"/>
        </w:rPr>
        <w:t xml:space="preserve"> </w:t>
      </w:r>
      <w:r w:rsidRPr="00475714">
        <w:rPr>
          <w:rFonts w:cs="Times New Roman"/>
          <w:b/>
          <w:bCs/>
          <w:noProof/>
          <w:szCs w:val="24"/>
        </w:rPr>
        <w:t>10</w:t>
      </w:r>
      <w:r w:rsidRPr="00475714">
        <w:rPr>
          <w:rFonts w:cs="Times New Roman"/>
          <w:noProof/>
          <w:szCs w:val="24"/>
        </w:rPr>
        <w:t>, 1451–1458 (2005).</w:t>
      </w:r>
    </w:p>
    <w:p w14:paraId="136BA08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15.</w:t>
      </w:r>
      <w:r w:rsidRPr="00475714">
        <w:rPr>
          <w:rFonts w:cs="Times New Roman"/>
          <w:noProof/>
          <w:szCs w:val="24"/>
        </w:rPr>
        <w:tab/>
        <w:t xml:space="preserve">Jokerst, J. V, Lobovkina, T., Zare, R. N. &amp; Gambhir, S. S. Nanoparticle PEGylation for imaging and therapy. </w:t>
      </w:r>
      <w:r w:rsidRPr="00475714">
        <w:rPr>
          <w:rFonts w:cs="Times New Roman"/>
          <w:i/>
          <w:iCs/>
          <w:noProof/>
          <w:szCs w:val="24"/>
        </w:rPr>
        <w:t>Nanomedicine</w:t>
      </w:r>
      <w:r w:rsidRPr="00475714">
        <w:rPr>
          <w:rFonts w:cs="Times New Roman"/>
          <w:noProof/>
          <w:szCs w:val="24"/>
        </w:rPr>
        <w:t xml:space="preserve"> </w:t>
      </w:r>
      <w:r w:rsidRPr="00475714">
        <w:rPr>
          <w:rFonts w:cs="Times New Roman"/>
          <w:b/>
          <w:bCs/>
          <w:noProof/>
          <w:szCs w:val="24"/>
        </w:rPr>
        <w:t>6</w:t>
      </w:r>
      <w:r w:rsidRPr="00475714">
        <w:rPr>
          <w:rFonts w:cs="Times New Roman"/>
          <w:noProof/>
          <w:szCs w:val="24"/>
        </w:rPr>
        <w:t>, 715–728 (2011).</w:t>
      </w:r>
    </w:p>
    <w:p w14:paraId="22F97EA9"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16.</w:t>
      </w:r>
      <w:r w:rsidRPr="00475714">
        <w:rPr>
          <w:rFonts w:cs="Times New Roman"/>
          <w:noProof/>
          <w:szCs w:val="24"/>
        </w:rPr>
        <w:tab/>
        <w:t xml:space="preserve">Shimizu, T. </w:t>
      </w:r>
      <w:r w:rsidRPr="00475714">
        <w:rPr>
          <w:rFonts w:cs="Times New Roman"/>
          <w:i/>
          <w:iCs/>
          <w:noProof/>
          <w:szCs w:val="24"/>
        </w:rPr>
        <w:t>et al.</w:t>
      </w:r>
      <w:r w:rsidRPr="00475714">
        <w:rPr>
          <w:rFonts w:cs="Times New Roman"/>
          <w:noProof/>
          <w:szCs w:val="24"/>
        </w:rPr>
        <w:t xml:space="preserve"> Anti-PEG IgM and complement system are required for the association of second doses of PEGylated liposomes with splenic marginal zone B cells. </w:t>
      </w:r>
      <w:r w:rsidRPr="00475714">
        <w:rPr>
          <w:rFonts w:cs="Times New Roman"/>
          <w:i/>
          <w:iCs/>
          <w:noProof/>
          <w:szCs w:val="24"/>
        </w:rPr>
        <w:t>Immunobiology</w:t>
      </w:r>
      <w:r w:rsidRPr="00475714">
        <w:rPr>
          <w:rFonts w:cs="Times New Roman"/>
          <w:noProof/>
          <w:szCs w:val="24"/>
        </w:rPr>
        <w:t xml:space="preserve"> </w:t>
      </w:r>
      <w:r w:rsidRPr="00475714">
        <w:rPr>
          <w:rFonts w:cs="Times New Roman"/>
          <w:b/>
          <w:bCs/>
          <w:noProof/>
          <w:szCs w:val="24"/>
        </w:rPr>
        <w:t>220</w:t>
      </w:r>
      <w:r w:rsidRPr="00475714">
        <w:rPr>
          <w:rFonts w:cs="Times New Roman"/>
          <w:noProof/>
          <w:szCs w:val="24"/>
        </w:rPr>
        <w:t>, 1151–1160 (2015).</w:t>
      </w:r>
    </w:p>
    <w:p w14:paraId="587CCE4B"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17.</w:t>
      </w:r>
      <w:r w:rsidRPr="00475714">
        <w:rPr>
          <w:rFonts w:cs="Times New Roman"/>
          <w:noProof/>
          <w:szCs w:val="24"/>
        </w:rPr>
        <w:tab/>
        <w:t xml:space="preserve">Shiraishi, K. </w:t>
      </w:r>
      <w:r w:rsidRPr="00475714">
        <w:rPr>
          <w:rFonts w:cs="Times New Roman"/>
          <w:i/>
          <w:iCs/>
          <w:noProof/>
          <w:szCs w:val="24"/>
        </w:rPr>
        <w:t>et al.</w:t>
      </w:r>
      <w:r w:rsidRPr="00475714">
        <w:rPr>
          <w:rFonts w:cs="Times New Roman"/>
          <w:noProof/>
          <w:szCs w:val="24"/>
        </w:rPr>
        <w:t xml:space="preserve"> Exploring the relationship between anti-PEG IgM behaviors and PEGylated nanoparticles and its significance for accelerated blood clearance. </w:t>
      </w:r>
      <w:r w:rsidRPr="00475714">
        <w:rPr>
          <w:rFonts w:cs="Times New Roman"/>
          <w:i/>
          <w:iCs/>
          <w:noProof/>
          <w:szCs w:val="24"/>
        </w:rPr>
        <w:t>J. Control. Release</w:t>
      </w:r>
      <w:r w:rsidRPr="00475714">
        <w:rPr>
          <w:rFonts w:cs="Times New Roman"/>
          <w:noProof/>
          <w:szCs w:val="24"/>
        </w:rPr>
        <w:t xml:space="preserve"> </w:t>
      </w:r>
      <w:r w:rsidRPr="00475714">
        <w:rPr>
          <w:rFonts w:cs="Times New Roman"/>
          <w:b/>
          <w:bCs/>
          <w:noProof/>
          <w:szCs w:val="24"/>
        </w:rPr>
        <w:t>234</w:t>
      </w:r>
      <w:r w:rsidRPr="00475714">
        <w:rPr>
          <w:rFonts w:cs="Times New Roman"/>
          <w:noProof/>
          <w:szCs w:val="24"/>
        </w:rPr>
        <w:t>, 59–67 (2016).</w:t>
      </w:r>
    </w:p>
    <w:p w14:paraId="4702F63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18.</w:t>
      </w:r>
      <w:r w:rsidRPr="00475714">
        <w:rPr>
          <w:rFonts w:cs="Times New Roman"/>
          <w:noProof/>
          <w:szCs w:val="24"/>
        </w:rPr>
        <w:tab/>
        <w:t xml:space="preserve">Ishihara, T. </w:t>
      </w:r>
      <w:r w:rsidRPr="00475714">
        <w:rPr>
          <w:rFonts w:cs="Times New Roman"/>
          <w:i/>
          <w:iCs/>
          <w:noProof/>
          <w:szCs w:val="24"/>
        </w:rPr>
        <w:t>et al.</w:t>
      </w:r>
      <w:r w:rsidRPr="00475714">
        <w:rPr>
          <w:rFonts w:cs="Times New Roman"/>
          <w:noProof/>
          <w:szCs w:val="24"/>
        </w:rPr>
        <w:t xml:space="preserve"> Accelerated Blood Clearance Phenomenon Upon Repeated Injection of PEG-modified PLA-nanoparticles. </w:t>
      </w:r>
      <w:r w:rsidRPr="00475714">
        <w:rPr>
          <w:rFonts w:cs="Times New Roman"/>
          <w:i/>
          <w:iCs/>
          <w:noProof/>
          <w:szCs w:val="24"/>
        </w:rPr>
        <w:t>Pharm. Res.</w:t>
      </w:r>
      <w:r w:rsidRPr="00475714">
        <w:rPr>
          <w:rFonts w:cs="Times New Roman"/>
          <w:noProof/>
          <w:szCs w:val="24"/>
        </w:rPr>
        <w:t xml:space="preserve"> </w:t>
      </w:r>
      <w:r w:rsidRPr="00475714">
        <w:rPr>
          <w:rFonts w:cs="Times New Roman"/>
          <w:b/>
          <w:bCs/>
          <w:noProof/>
          <w:szCs w:val="24"/>
        </w:rPr>
        <w:t>26</w:t>
      </w:r>
      <w:r w:rsidRPr="00475714">
        <w:rPr>
          <w:rFonts w:cs="Times New Roman"/>
          <w:noProof/>
          <w:szCs w:val="24"/>
        </w:rPr>
        <w:t>, 2270–2279 (2009).</w:t>
      </w:r>
    </w:p>
    <w:p w14:paraId="57ACE6E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19.</w:t>
      </w:r>
      <w:r w:rsidRPr="00475714">
        <w:rPr>
          <w:rFonts w:cs="Times New Roman"/>
          <w:noProof/>
          <w:szCs w:val="24"/>
        </w:rPr>
        <w:tab/>
        <w:t xml:space="preserve">Ishida, T. &amp; Kiwada, H. Accelerated blood clearance (ABC) phenomenon upon repeated injection of PEGylated liposomes. </w:t>
      </w:r>
      <w:r w:rsidRPr="00475714">
        <w:rPr>
          <w:rFonts w:cs="Times New Roman"/>
          <w:i/>
          <w:iCs/>
          <w:noProof/>
          <w:szCs w:val="24"/>
        </w:rPr>
        <w:t>Int. J. Pharm.</w:t>
      </w:r>
      <w:r w:rsidRPr="00475714">
        <w:rPr>
          <w:rFonts w:cs="Times New Roman"/>
          <w:noProof/>
          <w:szCs w:val="24"/>
        </w:rPr>
        <w:t xml:space="preserve"> </w:t>
      </w:r>
      <w:r w:rsidRPr="00475714">
        <w:rPr>
          <w:rFonts w:cs="Times New Roman"/>
          <w:b/>
          <w:bCs/>
          <w:noProof/>
          <w:szCs w:val="24"/>
        </w:rPr>
        <w:t>354</w:t>
      </w:r>
      <w:r w:rsidRPr="00475714">
        <w:rPr>
          <w:rFonts w:cs="Times New Roman"/>
          <w:noProof/>
          <w:szCs w:val="24"/>
        </w:rPr>
        <w:t>, 56–62 (2008).</w:t>
      </w:r>
    </w:p>
    <w:p w14:paraId="1F2267CF"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lastRenderedPageBreak/>
        <w:t>20.</w:t>
      </w:r>
      <w:r w:rsidRPr="00475714">
        <w:rPr>
          <w:rFonts w:cs="Times New Roman"/>
          <w:noProof/>
          <w:szCs w:val="24"/>
        </w:rPr>
        <w:tab/>
        <w:t xml:space="preserve">Sponchioni, M., Morosi, L., Lupi, M. &amp; Capasso Palmiero, U. Poly(HPMA)-based copolymers with biodegradable side chains able to self assemble into nanoparticles. </w:t>
      </w:r>
      <w:r w:rsidRPr="00475714">
        <w:rPr>
          <w:rFonts w:cs="Times New Roman"/>
          <w:i/>
          <w:iCs/>
          <w:noProof/>
          <w:szCs w:val="24"/>
        </w:rPr>
        <w:t>RSC Adv.</w:t>
      </w:r>
      <w:r w:rsidRPr="00475714">
        <w:rPr>
          <w:rFonts w:cs="Times New Roman"/>
          <w:noProof/>
          <w:szCs w:val="24"/>
        </w:rPr>
        <w:t xml:space="preserve"> </w:t>
      </w:r>
      <w:r w:rsidRPr="00475714">
        <w:rPr>
          <w:rFonts w:cs="Times New Roman"/>
          <w:b/>
          <w:bCs/>
          <w:noProof/>
          <w:szCs w:val="24"/>
        </w:rPr>
        <w:t>7</w:t>
      </w:r>
      <w:r w:rsidRPr="00475714">
        <w:rPr>
          <w:rFonts w:cs="Times New Roman"/>
          <w:noProof/>
          <w:szCs w:val="24"/>
        </w:rPr>
        <w:t>, 50981–50992 (2017).</w:t>
      </w:r>
    </w:p>
    <w:p w14:paraId="05F545C5"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21.</w:t>
      </w:r>
      <w:r w:rsidRPr="00475714">
        <w:rPr>
          <w:rFonts w:cs="Times New Roman"/>
          <w:noProof/>
          <w:szCs w:val="24"/>
        </w:rPr>
        <w:tab/>
        <w:t xml:space="preserve">Sponchioni, M., Rodrigues Bassam, P., Moscatelli, D., Arosio, P. &amp; Capasso Palmiero, U. Biodegradable zwitterionic nanoparticles with tunable UCST-type phase separation under physiological conditions. </w:t>
      </w:r>
      <w:r w:rsidRPr="00475714">
        <w:rPr>
          <w:rFonts w:cs="Times New Roman"/>
          <w:i/>
          <w:iCs/>
          <w:noProof/>
          <w:szCs w:val="24"/>
        </w:rPr>
        <w:t>Nanoscale</w:t>
      </w:r>
      <w:r w:rsidRPr="00475714">
        <w:rPr>
          <w:rFonts w:cs="Times New Roman"/>
          <w:noProof/>
          <w:szCs w:val="24"/>
        </w:rPr>
        <w:t xml:space="preserve"> </w:t>
      </w:r>
      <w:r w:rsidRPr="00475714">
        <w:rPr>
          <w:rFonts w:cs="Times New Roman"/>
          <w:b/>
          <w:bCs/>
          <w:noProof/>
          <w:szCs w:val="24"/>
        </w:rPr>
        <w:t>11</w:t>
      </w:r>
      <w:r w:rsidRPr="00475714">
        <w:rPr>
          <w:rFonts w:cs="Times New Roman"/>
          <w:noProof/>
          <w:szCs w:val="24"/>
        </w:rPr>
        <w:t>, 16582–16591 (2019).</w:t>
      </w:r>
    </w:p>
    <w:p w14:paraId="2D825AAD"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22.</w:t>
      </w:r>
      <w:r w:rsidRPr="00475714">
        <w:rPr>
          <w:rFonts w:cs="Times New Roman"/>
          <w:noProof/>
          <w:szCs w:val="24"/>
        </w:rPr>
        <w:tab/>
        <w:t xml:space="preserve">Cao, Z., Yu, Q., Xue, H., Cheng, G. &amp; Jiang, S. Nanoparticles for Drug Delivery Prepared from Amphiphilic PLGA Zwitterionic Block Copolymers with Sharp Contrast in Polarity between Two Blocks. </w:t>
      </w:r>
      <w:r w:rsidRPr="00475714">
        <w:rPr>
          <w:rFonts w:cs="Times New Roman"/>
          <w:i/>
          <w:iCs/>
          <w:noProof/>
          <w:szCs w:val="24"/>
        </w:rPr>
        <w:t>Angew. Chemie Int. Ed.</w:t>
      </w:r>
      <w:r w:rsidRPr="00475714">
        <w:rPr>
          <w:rFonts w:cs="Times New Roman"/>
          <w:noProof/>
          <w:szCs w:val="24"/>
        </w:rPr>
        <w:t xml:space="preserve"> </w:t>
      </w:r>
      <w:r w:rsidRPr="00475714">
        <w:rPr>
          <w:rFonts w:cs="Times New Roman"/>
          <w:b/>
          <w:bCs/>
          <w:noProof/>
          <w:szCs w:val="24"/>
        </w:rPr>
        <w:t>49</w:t>
      </w:r>
      <w:r w:rsidRPr="00475714">
        <w:rPr>
          <w:rFonts w:cs="Times New Roman"/>
          <w:noProof/>
          <w:szCs w:val="24"/>
        </w:rPr>
        <w:t>, 3771–3776 (2010).</w:t>
      </w:r>
    </w:p>
    <w:p w14:paraId="7CDD7CF4"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23.</w:t>
      </w:r>
      <w:r w:rsidRPr="00475714">
        <w:rPr>
          <w:rFonts w:cs="Times New Roman"/>
          <w:noProof/>
          <w:szCs w:val="24"/>
        </w:rPr>
        <w:tab/>
        <w:t xml:space="preserve">Ladd, J., Zhang, Z., Chen, S., Hower, J. C. &amp; Jiang, S. Zwitterionic Polymers Exhibiting High Resistance to Nonspecific Protein Adsorption from Human Serum and Plasma. </w:t>
      </w:r>
      <w:r w:rsidRPr="00475714">
        <w:rPr>
          <w:rFonts w:cs="Times New Roman"/>
          <w:i/>
          <w:iCs/>
          <w:noProof/>
          <w:szCs w:val="24"/>
        </w:rPr>
        <w:t>Biomacromolecules</w:t>
      </w:r>
      <w:r w:rsidRPr="00475714">
        <w:rPr>
          <w:rFonts w:cs="Times New Roman"/>
          <w:noProof/>
          <w:szCs w:val="24"/>
        </w:rPr>
        <w:t xml:space="preserve"> </w:t>
      </w:r>
      <w:r w:rsidRPr="00475714">
        <w:rPr>
          <w:rFonts w:cs="Times New Roman"/>
          <w:b/>
          <w:bCs/>
          <w:noProof/>
          <w:szCs w:val="24"/>
        </w:rPr>
        <w:t>9</w:t>
      </w:r>
      <w:r w:rsidRPr="00475714">
        <w:rPr>
          <w:rFonts w:cs="Times New Roman"/>
          <w:noProof/>
          <w:szCs w:val="24"/>
        </w:rPr>
        <w:t>, 1357–1361 (2008).</w:t>
      </w:r>
    </w:p>
    <w:p w14:paraId="580FA23D"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24.</w:t>
      </w:r>
      <w:r w:rsidRPr="00475714">
        <w:rPr>
          <w:rFonts w:cs="Times New Roman"/>
          <w:noProof/>
          <w:szCs w:val="24"/>
        </w:rPr>
        <w:tab/>
        <w:t xml:space="preserve">Capasso Palmiero, U., Maraldi, M., Manfredini, N. &amp; Moscatelli, D. Zwitterionic Polyester-Based Nanoparticles with Tunable Size, Polymer Molecular Weight, and Degradation Time. </w:t>
      </w:r>
      <w:r w:rsidRPr="00475714">
        <w:rPr>
          <w:rFonts w:cs="Times New Roman"/>
          <w:i/>
          <w:iCs/>
          <w:noProof/>
          <w:szCs w:val="24"/>
        </w:rPr>
        <w:t>Biomacromolecules</w:t>
      </w:r>
      <w:r w:rsidRPr="00475714">
        <w:rPr>
          <w:rFonts w:cs="Times New Roman"/>
          <w:noProof/>
          <w:szCs w:val="24"/>
        </w:rPr>
        <w:t xml:space="preserve"> </w:t>
      </w:r>
      <w:r w:rsidRPr="00475714">
        <w:rPr>
          <w:rFonts w:cs="Times New Roman"/>
          <w:b/>
          <w:bCs/>
          <w:noProof/>
          <w:szCs w:val="24"/>
        </w:rPr>
        <w:t>19</w:t>
      </w:r>
      <w:r w:rsidRPr="00475714">
        <w:rPr>
          <w:rFonts w:cs="Times New Roman"/>
          <w:noProof/>
          <w:szCs w:val="24"/>
        </w:rPr>
        <w:t>, 1314–1323 (2018).</w:t>
      </w:r>
    </w:p>
    <w:p w14:paraId="6ACFD2E7"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25.</w:t>
      </w:r>
      <w:r w:rsidRPr="00475714">
        <w:rPr>
          <w:rFonts w:cs="Times New Roman"/>
          <w:noProof/>
          <w:szCs w:val="24"/>
        </w:rPr>
        <w:tab/>
        <w:t xml:space="preserve">KADOMA &amp; Y. Synthesis and Hemolysis Test of the Polymer Containing Phosphorylcholine Groups. </w:t>
      </w:r>
      <w:r w:rsidRPr="00475714">
        <w:rPr>
          <w:rFonts w:cs="Times New Roman"/>
          <w:i/>
          <w:iCs/>
          <w:noProof/>
          <w:szCs w:val="24"/>
        </w:rPr>
        <w:t>Koubunshi Ronbunshu</w:t>
      </w:r>
      <w:r w:rsidRPr="00475714">
        <w:rPr>
          <w:rFonts w:cs="Times New Roman"/>
          <w:noProof/>
          <w:szCs w:val="24"/>
        </w:rPr>
        <w:t xml:space="preserve"> </w:t>
      </w:r>
      <w:r w:rsidRPr="00475714">
        <w:rPr>
          <w:rFonts w:cs="Times New Roman"/>
          <w:b/>
          <w:bCs/>
          <w:noProof/>
          <w:szCs w:val="24"/>
        </w:rPr>
        <w:t>35</w:t>
      </w:r>
      <w:r w:rsidRPr="00475714">
        <w:rPr>
          <w:rFonts w:cs="Times New Roman"/>
          <w:noProof/>
          <w:szCs w:val="24"/>
        </w:rPr>
        <w:t>, 423–427 (1978).</w:t>
      </w:r>
    </w:p>
    <w:p w14:paraId="41DAD277"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26.</w:t>
      </w:r>
      <w:r w:rsidRPr="00475714">
        <w:rPr>
          <w:rFonts w:cs="Times New Roman"/>
          <w:noProof/>
          <w:szCs w:val="24"/>
        </w:rPr>
        <w:tab/>
        <w:t xml:space="preserve">Konno, T., Kurita, K., Iwasaki, Y., Nakabayashi, N. &amp; Ishihara, K. Preparation of nanoparticles composed with bioinspired 2-methacryloyloxyethyl phosphorylcholine polymer. </w:t>
      </w:r>
      <w:r w:rsidRPr="00475714">
        <w:rPr>
          <w:rFonts w:cs="Times New Roman"/>
          <w:i/>
          <w:iCs/>
          <w:noProof/>
          <w:szCs w:val="24"/>
        </w:rPr>
        <w:t>Biomaterials</w:t>
      </w:r>
      <w:r w:rsidRPr="00475714">
        <w:rPr>
          <w:rFonts w:cs="Times New Roman"/>
          <w:noProof/>
          <w:szCs w:val="24"/>
        </w:rPr>
        <w:t xml:space="preserve"> </w:t>
      </w:r>
      <w:r w:rsidRPr="00475714">
        <w:rPr>
          <w:rFonts w:cs="Times New Roman"/>
          <w:b/>
          <w:bCs/>
          <w:noProof/>
          <w:szCs w:val="24"/>
        </w:rPr>
        <w:t>22</w:t>
      </w:r>
      <w:r w:rsidRPr="00475714">
        <w:rPr>
          <w:rFonts w:cs="Times New Roman"/>
          <w:noProof/>
          <w:szCs w:val="24"/>
        </w:rPr>
        <w:t>, 1883–1889 (2001).</w:t>
      </w:r>
    </w:p>
    <w:p w14:paraId="02C90476"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27.</w:t>
      </w:r>
      <w:r w:rsidRPr="00475714">
        <w:rPr>
          <w:rFonts w:cs="Times New Roman"/>
          <w:noProof/>
          <w:szCs w:val="24"/>
        </w:rPr>
        <w:tab/>
        <w:t xml:space="preserve">Lomas, H. </w:t>
      </w:r>
      <w:r w:rsidRPr="00475714">
        <w:rPr>
          <w:rFonts w:cs="Times New Roman"/>
          <w:i/>
          <w:iCs/>
          <w:noProof/>
          <w:szCs w:val="24"/>
        </w:rPr>
        <w:t>et al.</w:t>
      </w:r>
      <w:r w:rsidRPr="00475714">
        <w:rPr>
          <w:rFonts w:cs="Times New Roman"/>
          <w:noProof/>
          <w:szCs w:val="24"/>
        </w:rPr>
        <w:t xml:space="preserve"> Biomimetic pH Sensitive Polymersomes for Efficient DNA Encapsulation and Delivery. </w:t>
      </w:r>
      <w:r w:rsidRPr="00475714">
        <w:rPr>
          <w:rFonts w:cs="Times New Roman"/>
          <w:i/>
          <w:iCs/>
          <w:noProof/>
          <w:szCs w:val="24"/>
        </w:rPr>
        <w:t>Adv. Mater.</w:t>
      </w:r>
      <w:r w:rsidRPr="00475714">
        <w:rPr>
          <w:rFonts w:cs="Times New Roman"/>
          <w:noProof/>
          <w:szCs w:val="24"/>
        </w:rPr>
        <w:t xml:space="preserve"> </w:t>
      </w:r>
      <w:r w:rsidRPr="00475714">
        <w:rPr>
          <w:rFonts w:cs="Times New Roman"/>
          <w:b/>
          <w:bCs/>
          <w:noProof/>
          <w:szCs w:val="24"/>
        </w:rPr>
        <w:t>19</w:t>
      </w:r>
      <w:r w:rsidRPr="00475714">
        <w:rPr>
          <w:rFonts w:cs="Times New Roman"/>
          <w:noProof/>
          <w:szCs w:val="24"/>
        </w:rPr>
        <w:t>, 4238–4243 (2007).</w:t>
      </w:r>
    </w:p>
    <w:p w14:paraId="74BCE58D"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28.</w:t>
      </w:r>
      <w:r w:rsidRPr="00475714">
        <w:rPr>
          <w:rFonts w:cs="Times New Roman"/>
          <w:noProof/>
          <w:szCs w:val="24"/>
        </w:rPr>
        <w:tab/>
        <w:t xml:space="preserve">Chacón, M., Molpeceres, J., Berges, L., Guzmán, M. &amp; Aberturas, M. R. Stability and freeze-drying of cyclosporine loaded poly(d,l lactide–glycolide) carriers. </w:t>
      </w:r>
      <w:r w:rsidRPr="00475714">
        <w:rPr>
          <w:rFonts w:cs="Times New Roman"/>
          <w:i/>
          <w:iCs/>
          <w:noProof/>
          <w:szCs w:val="24"/>
        </w:rPr>
        <w:t>Eur. J. Pharm. Sci.</w:t>
      </w:r>
      <w:r w:rsidRPr="00475714">
        <w:rPr>
          <w:rFonts w:cs="Times New Roman"/>
          <w:noProof/>
          <w:szCs w:val="24"/>
        </w:rPr>
        <w:t xml:space="preserve"> </w:t>
      </w:r>
      <w:r w:rsidRPr="00475714">
        <w:rPr>
          <w:rFonts w:cs="Times New Roman"/>
          <w:b/>
          <w:bCs/>
          <w:noProof/>
          <w:szCs w:val="24"/>
        </w:rPr>
        <w:t>8</w:t>
      </w:r>
      <w:r w:rsidRPr="00475714">
        <w:rPr>
          <w:rFonts w:cs="Times New Roman"/>
          <w:noProof/>
          <w:szCs w:val="24"/>
        </w:rPr>
        <w:t>, 99–107 (1999).</w:t>
      </w:r>
    </w:p>
    <w:p w14:paraId="0DBF4565"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29.</w:t>
      </w:r>
      <w:r w:rsidRPr="00475714">
        <w:rPr>
          <w:rFonts w:cs="Times New Roman"/>
          <w:noProof/>
          <w:szCs w:val="24"/>
        </w:rPr>
        <w:tab/>
        <w:t xml:space="preserve">De Jaeghere, F. </w:t>
      </w:r>
      <w:r w:rsidRPr="00475714">
        <w:rPr>
          <w:rFonts w:cs="Times New Roman"/>
          <w:i/>
          <w:iCs/>
          <w:noProof/>
          <w:szCs w:val="24"/>
        </w:rPr>
        <w:t>et al.</w:t>
      </w:r>
      <w:r w:rsidRPr="00475714">
        <w:rPr>
          <w:rFonts w:cs="Times New Roman"/>
          <w:noProof/>
          <w:szCs w:val="24"/>
        </w:rPr>
        <w:t xml:space="preserve"> Formulation and Lyoprotection of Poly(Lactic Acid-Co-Ethylene Oxide) Nanoparticles: Influence on Physical Stability and In Vitro Cell Uptake. </w:t>
      </w:r>
      <w:r w:rsidRPr="00475714">
        <w:rPr>
          <w:rFonts w:cs="Times New Roman"/>
          <w:i/>
          <w:iCs/>
          <w:noProof/>
          <w:szCs w:val="24"/>
        </w:rPr>
        <w:t>Pharm. Res.</w:t>
      </w:r>
      <w:r w:rsidRPr="00475714">
        <w:rPr>
          <w:rFonts w:cs="Times New Roman"/>
          <w:noProof/>
          <w:szCs w:val="24"/>
        </w:rPr>
        <w:t xml:space="preserve"> </w:t>
      </w:r>
      <w:r w:rsidRPr="00475714">
        <w:rPr>
          <w:rFonts w:cs="Times New Roman"/>
          <w:b/>
          <w:bCs/>
          <w:noProof/>
          <w:szCs w:val="24"/>
        </w:rPr>
        <w:t>16</w:t>
      </w:r>
      <w:r w:rsidRPr="00475714">
        <w:rPr>
          <w:rFonts w:cs="Times New Roman"/>
          <w:noProof/>
          <w:szCs w:val="24"/>
        </w:rPr>
        <w:t>, 859–866 (1999).</w:t>
      </w:r>
    </w:p>
    <w:p w14:paraId="7DD5DEC6"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30.</w:t>
      </w:r>
      <w:r w:rsidRPr="00475714">
        <w:rPr>
          <w:rFonts w:cs="Times New Roman"/>
          <w:noProof/>
          <w:szCs w:val="24"/>
        </w:rPr>
        <w:tab/>
        <w:t xml:space="preserve">Lemoine, D. </w:t>
      </w:r>
      <w:r w:rsidRPr="00475714">
        <w:rPr>
          <w:rFonts w:cs="Times New Roman"/>
          <w:i/>
          <w:iCs/>
          <w:noProof/>
          <w:szCs w:val="24"/>
        </w:rPr>
        <w:t>et al.</w:t>
      </w:r>
      <w:r w:rsidRPr="00475714">
        <w:rPr>
          <w:rFonts w:cs="Times New Roman"/>
          <w:noProof/>
          <w:szCs w:val="24"/>
        </w:rPr>
        <w:t xml:space="preserve"> Stability study of nanoparticles of poly(ɛ-caprolactone), poly(d,l-lactide) and poly(d,l-lactide-co-glycolide). </w:t>
      </w:r>
      <w:r w:rsidRPr="00475714">
        <w:rPr>
          <w:rFonts w:cs="Times New Roman"/>
          <w:i/>
          <w:iCs/>
          <w:noProof/>
          <w:szCs w:val="24"/>
        </w:rPr>
        <w:t>Biomaterials</w:t>
      </w:r>
      <w:r w:rsidRPr="00475714">
        <w:rPr>
          <w:rFonts w:cs="Times New Roman"/>
          <w:noProof/>
          <w:szCs w:val="24"/>
        </w:rPr>
        <w:t xml:space="preserve"> </w:t>
      </w:r>
      <w:r w:rsidRPr="00475714">
        <w:rPr>
          <w:rFonts w:cs="Times New Roman"/>
          <w:b/>
          <w:bCs/>
          <w:noProof/>
          <w:szCs w:val="24"/>
        </w:rPr>
        <w:t>17</w:t>
      </w:r>
      <w:r w:rsidRPr="00475714">
        <w:rPr>
          <w:rFonts w:cs="Times New Roman"/>
          <w:noProof/>
          <w:szCs w:val="24"/>
        </w:rPr>
        <w:t xml:space="preserve">, 2191–2197 </w:t>
      </w:r>
      <w:r w:rsidRPr="00475714">
        <w:rPr>
          <w:rFonts w:cs="Times New Roman"/>
          <w:noProof/>
          <w:szCs w:val="24"/>
        </w:rPr>
        <w:lastRenderedPageBreak/>
        <w:t>(1996).</w:t>
      </w:r>
    </w:p>
    <w:p w14:paraId="10D03CC8"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31.</w:t>
      </w:r>
      <w:r w:rsidRPr="00475714">
        <w:rPr>
          <w:rFonts w:cs="Times New Roman"/>
          <w:noProof/>
          <w:szCs w:val="24"/>
        </w:rPr>
        <w:tab/>
        <w:t xml:space="preserve">Cingolani, A. </w:t>
      </w:r>
      <w:r w:rsidRPr="00475714">
        <w:rPr>
          <w:rFonts w:cs="Times New Roman"/>
          <w:i/>
          <w:iCs/>
          <w:noProof/>
          <w:szCs w:val="24"/>
        </w:rPr>
        <w:t>et al.</w:t>
      </w:r>
      <w:r w:rsidRPr="00475714">
        <w:rPr>
          <w:rFonts w:cs="Times New Roman"/>
          <w:noProof/>
          <w:szCs w:val="24"/>
        </w:rPr>
        <w:t xml:space="preserve"> A Methodologic Approach for the Selection of Bio-Resorbable Polymers in the Development of Medical Devices: The Case of Poly(l-lactide-co-ε-caprolactone). </w:t>
      </w:r>
      <w:r w:rsidRPr="00475714">
        <w:rPr>
          <w:rFonts w:cs="Times New Roman"/>
          <w:i/>
          <w:iCs/>
          <w:noProof/>
          <w:szCs w:val="24"/>
        </w:rPr>
        <w:t>Polymers (Basel).</w:t>
      </w:r>
      <w:r w:rsidRPr="00475714">
        <w:rPr>
          <w:rFonts w:cs="Times New Roman"/>
          <w:noProof/>
          <w:szCs w:val="24"/>
        </w:rPr>
        <w:t xml:space="preserve"> </w:t>
      </w:r>
      <w:r w:rsidRPr="00475714">
        <w:rPr>
          <w:rFonts w:cs="Times New Roman"/>
          <w:b/>
          <w:bCs/>
          <w:noProof/>
          <w:szCs w:val="24"/>
        </w:rPr>
        <w:t>10</w:t>
      </w:r>
      <w:r w:rsidRPr="00475714">
        <w:rPr>
          <w:rFonts w:cs="Times New Roman"/>
          <w:noProof/>
          <w:szCs w:val="24"/>
        </w:rPr>
        <w:t>, 851 (2018).</w:t>
      </w:r>
    </w:p>
    <w:p w14:paraId="1FB87909"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32.</w:t>
      </w:r>
      <w:r w:rsidRPr="00475714">
        <w:rPr>
          <w:rFonts w:cs="Times New Roman"/>
          <w:noProof/>
          <w:szCs w:val="24"/>
        </w:rPr>
        <w:tab/>
        <w:t xml:space="preserve">Coffin, M. D. &amp; McGinity, J. W. Biodegradable Pseudolatexes: The Chemical Stability of Poly(D,L-Lactide) and Poly (ε-Caprolactone) Nanoparticles in Aqueous Media. </w:t>
      </w:r>
      <w:r w:rsidRPr="00475714">
        <w:rPr>
          <w:rFonts w:cs="Times New Roman"/>
          <w:i/>
          <w:iCs/>
          <w:noProof/>
          <w:szCs w:val="24"/>
        </w:rPr>
        <w:t>Pharm. Res.</w:t>
      </w:r>
      <w:r w:rsidRPr="00475714">
        <w:rPr>
          <w:rFonts w:cs="Times New Roman"/>
          <w:noProof/>
          <w:szCs w:val="24"/>
        </w:rPr>
        <w:t xml:space="preserve"> </w:t>
      </w:r>
      <w:r w:rsidRPr="00475714">
        <w:rPr>
          <w:rFonts w:cs="Times New Roman"/>
          <w:b/>
          <w:bCs/>
          <w:noProof/>
          <w:szCs w:val="24"/>
        </w:rPr>
        <w:t>9</w:t>
      </w:r>
      <w:r w:rsidRPr="00475714">
        <w:rPr>
          <w:rFonts w:cs="Times New Roman"/>
          <w:noProof/>
          <w:szCs w:val="24"/>
        </w:rPr>
        <w:t>, 200–205 (1992).</w:t>
      </w:r>
    </w:p>
    <w:p w14:paraId="0308007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33.</w:t>
      </w:r>
      <w:r w:rsidRPr="00475714">
        <w:rPr>
          <w:rFonts w:cs="Times New Roman"/>
          <w:noProof/>
          <w:szCs w:val="24"/>
        </w:rPr>
        <w:tab/>
        <w:t xml:space="preserve">Tagalakis, A. D. </w:t>
      </w:r>
      <w:r w:rsidRPr="00475714">
        <w:rPr>
          <w:rFonts w:cs="Times New Roman"/>
          <w:i/>
          <w:iCs/>
          <w:noProof/>
          <w:szCs w:val="24"/>
        </w:rPr>
        <w:t>et al.</w:t>
      </w:r>
      <w:r w:rsidRPr="00475714">
        <w:rPr>
          <w:rFonts w:cs="Times New Roman"/>
          <w:noProof/>
          <w:szCs w:val="24"/>
        </w:rPr>
        <w:t xml:space="preserve"> A method for concentrating lipid peptide DNA and siRNA nanocomplexes that retains their structure and transfection efficiency. </w:t>
      </w:r>
      <w:r w:rsidRPr="00475714">
        <w:rPr>
          <w:rFonts w:cs="Times New Roman"/>
          <w:i/>
          <w:iCs/>
          <w:noProof/>
          <w:szCs w:val="24"/>
        </w:rPr>
        <w:t>Int. J. Nanomedicine</w:t>
      </w:r>
      <w:r w:rsidRPr="00475714">
        <w:rPr>
          <w:rFonts w:cs="Times New Roman"/>
          <w:noProof/>
          <w:szCs w:val="24"/>
        </w:rPr>
        <w:t xml:space="preserve"> </w:t>
      </w:r>
      <w:r w:rsidRPr="00475714">
        <w:rPr>
          <w:rFonts w:cs="Times New Roman"/>
          <w:b/>
          <w:bCs/>
          <w:noProof/>
          <w:szCs w:val="24"/>
        </w:rPr>
        <w:t>10</w:t>
      </w:r>
      <w:r w:rsidRPr="00475714">
        <w:rPr>
          <w:rFonts w:cs="Times New Roman"/>
          <w:noProof/>
          <w:szCs w:val="24"/>
        </w:rPr>
        <w:t>, 2673–2683 (2015).</w:t>
      </w:r>
    </w:p>
    <w:p w14:paraId="6506F041"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34.</w:t>
      </w:r>
      <w:r w:rsidRPr="00475714">
        <w:rPr>
          <w:rFonts w:cs="Times New Roman"/>
          <w:noProof/>
          <w:szCs w:val="24"/>
        </w:rPr>
        <w:tab/>
        <w:t xml:space="preserve">Dalwadi, G., Benson, H. A. E. &amp; Chen, Y. Comparison of Diafiltration and Tangential Flow Filtration for Purification of Nanoparticle Suspensions. </w:t>
      </w:r>
      <w:r w:rsidRPr="00475714">
        <w:rPr>
          <w:rFonts w:cs="Times New Roman"/>
          <w:i/>
          <w:iCs/>
          <w:noProof/>
          <w:szCs w:val="24"/>
        </w:rPr>
        <w:t>Pharm. Res.</w:t>
      </w:r>
      <w:r w:rsidRPr="00475714">
        <w:rPr>
          <w:rFonts w:cs="Times New Roman"/>
          <w:noProof/>
          <w:szCs w:val="24"/>
        </w:rPr>
        <w:t xml:space="preserve"> </w:t>
      </w:r>
      <w:r w:rsidRPr="00475714">
        <w:rPr>
          <w:rFonts w:cs="Times New Roman"/>
          <w:b/>
          <w:bCs/>
          <w:noProof/>
          <w:szCs w:val="24"/>
        </w:rPr>
        <w:t>22</w:t>
      </w:r>
      <w:r w:rsidRPr="00475714">
        <w:rPr>
          <w:rFonts w:cs="Times New Roman"/>
          <w:noProof/>
          <w:szCs w:val="24"/>
        </w:rPr>
        <w:t>, 2152–2162 (2005).</w:t>
      </w:r>
    </w:p>
    <w:p w14:paraId="563BE6B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35.</w:t>
      </w:r>
      <w:r w:rsidRPr="00475714">
        <w:rPr>
          <w:rFonts w:cs="Times New Roman"/>
          <w:noProof/>
          <w:szCs w:val="24"/>
        </w:rPr>
        <w:tab/>
        <w:t xml:space="preserve">Abdelwahed, W., Degobert, G., Stainmesse, S. &amp; Fessi, H. Freeze-drying of nanoparticles: Formulation, process and storage considerations. </w:t>
      </w:r>
      <w:r w:rsidRPr="00475714">
        <w:rPr>
          <w:rFonts w:cs="Times New Roman"/>
          <w:i/>
          <w:iCs/>
          <w:noProof/>
          <w:szCs w:val="24"/>
        </w:rPr>
        <w:t>Adv. Drug Deliv. Rev.</w:t>
      </w:r>
      <w:r w:rsidRPr="00475714">
        <w:rPr>
          <w:rFonts w:cs="Times New Roman"/>
          <w:noProof/>
          <w:szCs w:val="24"/>
        </w:rPr>
        <w:t xml:space="preserve"> </w:t>
      </w:r>
      <w:r w:rsidRPr="00475714">
        <w:rPr>
          <w:rFonts w:cs="Times New Roman"/>
          <w:b/>
          <w:bCs/>
          <w:noProof/>
          <w:szCs w:val="24"/>
        </w:rPr>
        <w:t>58</w:t>
      </w:r>
      <w:r w:rsidRPr="00475714">
        <w:rPr>
          <w:rFonts w:cs="Times New Roman"/>
          <w:noProof/>
          <w:szCs w:val="24"/>
        </w:rPr>
        <w:t>, 1688–1713 (2006).</w:t>
      </w:r>
    </w:p>
    <w:p w14:paraId="530E3FE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36.</w:t>
      </w:r>
      <w:r w:rsidRPr="00475714">
        <w:rPr>
          <w:rFonts w:cs="Times New Roman"/>
          <w:noProof/>
          <w:szCs w:val="24"/>
        </w:rPr>
        <w:tab/>
        <w:t>Harivardhan Reddy, L., Vivek, K., Bakshi, N. &amp; Murthy, R. S. R. Tamoxifen Citrate Loaded Solid Lipid Nanoparticles (SLN</w:t>
      </w:r>
      <w:r w:rsidRPr="00475714">
        <w:rPr>
          <w:rFonts w:cs="Times New Roman"/>
          <w:noProof/>
          <w:szCs w:val="24"/>
          <w:vertAlign w:val="superscript"/>
        </w:rPr>
        <w:t>TM</w:t>
      </w:r>
      <w:r w:rsidRPr="00475714">
        <w:rPr>
          <w:rFonts w:cs="Times New Roman"/>
          <w:noProof/>
          <w:szCs w:val="24"/>
        </w:rPr>
        <w:t xml:space="preserve">): Preparation, Characterization, In Vitro Drug Release, and Pharmacokinetic Evaluation. </w:t>
      </w:r>
      <w:r w:rsidRPr="00475714">
        <w:rPr>
          <w:rFonts w:cs="Times New Roman"/>
          <w:i/>
          <w:iCs/>
          <w:noProof/>
          <w:szCs w:val="24"/>
        </w:rPr>
        <w:t>Pharm. Dev. Technol.</w:t>
      </w:r>
      <w:r w:rsidRPr="00475714">
        <w:rPr>
          <w:rFonts w:cs="Times New Roman"/>
          <w:noProof/>
          <w:szCs w:val="24"/>
        </w:rPr>
        <w:t xml:space="preserve"> </w:t>
      </w:r>
      <w:r w:rsidRPr="00475714">
        <w:rPr>
          <w:rFonts w:cs="Times New Roman"/>
          <w:b/>
          <w:bCs/>
          <w:noProof/>
          <w:szCs w:val="24"/>
        </w:rPr>
        <w:t>11</w:t>
      </w:r>
      <w:r w:rsidRPr="00475714">
        <w:rPr>
          <w:rFonts w:cs="Times New Roman"/>
          <w:noProof/>
          <w:szCs w:val="24"/>
        </w:rPr>
        <w:t>, 167–177 (2006).</w:t>
      </w:r>
    </w:p>
    <w:p w14:paraId="64B5BFA7"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37.</w:t>
      </w:r>
      <w:r w:rsidRPr="00475714">
        <w:rPr>
          <w:rFonts w:cs="Times New Roman"/>
          <w:noProof/>
          <w:szCs w:val="24"/>
        </w:rPr>
        <w:tab/>
        <w:t xml:space="preserve">Franks, F. Freeze-drying of bioproducts: putting principles into practice. </w:t>
      </w:r>
      <w:r w:rsidRPr="00475714">
        <w:rPr>
          <w:rFonts w:cs="Times New Roman"/>
          <w:i/>
          <w:iCs/>
          <w:noProof/>
          <w:szCs w:val="24"/>
        </w:rPr>
        <w:t>Eur. J. Pharm. Biopharm.</w:t>
      </w:r>
      <w:r w:rsidRPr="00475714">
        <w:rPr>
          <w:rFonts w:cs="Times New Roman"/>
          <w:noProof/>
          <w:szCs w:val="24"/>
        </w:rPr>
        <w:t xml:space="preserve"> </w:t>
      </w:r>
      <w:r w:rsidRPr="00475714">
        <w:rPr>
          <w:rFonts w:cs="Times New Roman"/>
          <w:b/>
          <w:bCs/>
          <w:noProof/>
          <w:szCs w:val="24"/>
        </w:rPr>
        <w:t>45</w:t>
      </w:r>
      <w:r w:rsidRPr="00475714">
        <w:rPr>
          <w:rFonts w:cs="Times New Roman"/>
          <w:noProof/>
          <w:szCs w:val="24"/>
        </w:rPr>
        <w:t>, 221–229 (1998).</w:t>
      </w:r>
    </w:p>
    <w:p w14:paraId="2B8661DB"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38.</w:t>
      </w:r>
      <w:r w:rsidRPr="00475714">
        <w:rPr>
          <w:rFonts w:cs="Times New Roman"/>
          <w:noProof/>
          <w:szCs w:val="24"/>
        </w:rPr>
        <w:tab/>
        <w:t xml:space="preserve">Choi, M. J., Briançon, S., Andrieu, J., Min, S. G. &amp; Fessi, H. Effect of Freeze-Drying Process Conditions on the Stability of Nanoparticles. </w:t>
      </w:r>
      <w:r w:rsidRPr="00475714">
        <w:rPr>
          <w:rFonts w:cs="Times New Roman"/>
          <w:i/>
          <w:iCs/>
          <w:noProof/>
          <w:szCs w:val="24"/>
        </w:rPr>
        <w:t>Dry. Technol.</w:t>
      </w:r>
      <w:r w:rsidRPr="00475714">
        <w:rPr>
          <w:rFonts w:cs="Times New Roman"/>
          <w:noProof/>
          <w:szCs w:val="24"/>
        </w:rPr>
        <w:t xml:space="preserve"> </w:t>
      </w:r>
      <w:r w:rsidRPr="00475714">
        <w:rPr>
          <w:rFonts w:cs="Times New Roman"/>
          <w:b/>
          <w:bCs/>
          <w:noProof/>
          <w:szCs w:val="24"/>
        </w:rPr>
        <w:t>22</w:t>
      </w:r>
      <w:r w:rsidRPr="00475714">
        <w:rPr>
          <w:rFonts w:cs="Times New Roman"/>
          <w:noProof/>
          <w:szCs w:val="24"/>
        </w:rPr>
        <w:t>, 335–346 (2004).</w:t>
      </w:r>
    </w:p>
    <w:p w14:paraId="5D64CF85"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39.</w:t>
      </w:r>
      <w:r w:rsidRPr="00475714">
        <w:rPr>
          <w:rFonts w:cs="Times New Roman"/>
          <w:noProof/>
          <w:szCs w:val="24"/>
        </w:rPr>
        <w:tab/>
        <w:t xml:space="preserve">Abdelwahed, W., Degobert, G. &amp; Fessi, H. A pilot study of freeze drying of poly(epsilon-caprolactone) nanocapsules stabilized by poly(vinyl alcohol): Formulation and process optimization. </w:t>
      </w:r>
      <w:r w:rsidRPr="00475714">
        <w:rPr>
          <w:rFonts w:cs="Times New Roman"/>
          <w:i/>
          <w:iCs/>
          <w:noProof/>
          <w:szCs w:val="24"/>
        </w:rPr>
        <w:t>Int. J. Pharm.</w:t>
      </w:r>
      <w:r w:rsidRPr="00475714">
        <w:rPr>
          <w:rFonts w:cs="Times New Roman"/>
          <w:noProof/>
          <w:szCs w:val="24"/>
        </w:rPr>
        <w:t xml:space="preserve"> </w:t>
      </w:r>
      <w:r w:rsidRPr="00475714">
        <w:rPr>
          <w:rFonts w:cs="Times New Roman"/>
          <w:b/>
          <w:bCs/>
          <w:noProof/>
          <w:szCs w:val="24"/>
        </w:rPr>
        <w:t>309</w:t>
      </w:r>
      <w:r w:rsidRPr="00475714">
        <w:rPr>
          <w:rFonts w:cs="Times New Roman"/>
          <w:noProof/>
          <w:szCs w:val="24"/>
        </w:rPr>
        <w:t>, 178–188 (2006).</w:t>
      </w:r>
    </w:p>
    <w:p w14:paraId="7F7A0DA9"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40.</w:t>
      </w:r>
      <w:r w:rsidRPr="00475714">
        <w:rPr>
          <w:rFonts w:cs="Times New Roman"/>
          <w:noProof/>
          <w:szCs w:val="24"/>
        </w:rPr>
        <w:tab/>
        <w:t xml:space="preserve">Fonte, P. </w:t>
      </w:r>
      <w:r w:rsidRPr="00475714">
        <w:rPr>
          <w:rFonts w:cs="Times New Roman"/>
          <w:i/>
          <w:iCs/>
          <w:noProof/>
          <w:szCs w:val="24"/>
        </w:rPr>
        <w:t>et al.</w:t>
      </w:r>
      <w:r w:rsidRPr="00475714">
        <w:rPr>
          <w:rFonts w:cs="Times New Roman"/>
          <w:noProof/>
          <w:szCs w:val="24"/>
        </w:rPr>
        <w:t xml:space="preserve"> Stability Study Perspective of the Effect of Freeze-Drying Using Cryoprotectants on the Structure of Insulin Loaded into PLGA Nanoparticles. </w:t>
      </w:r>
      <w:r w:rsidRPr="00475714">
        <w:rPr>
          <w:rFonts w:cs="Times New Roman"/>
          <w:i/>
          <w:iCs/>
          <w:noProof/>
          <w:szCs w:val="24"/>
        </w:rPr>
        <w:t>Biomacromolecules</w:t>
      </w:r>
      <w:r w:rsidRPr="00475714">
        <w:rPr>
          <w:rFonts w:cs="Times New Roman"/>
          <w:noProof/>
          <w:szCs w:val="24"/>
        </w:rPr>
        <w:t xml:space="preserve"> </w:t>
      </w:r>
      <w:r w:rsidRPr="00475714">
        <w:rPr>
          <w:rFonts w:cs="Times New Roman"/>
          <w:b/>
          <w:bCs/>
          <w:noProof/>
          <w:szCs w:val="24"/>
        </w:rPr>
        <w:t>15</w:t>
      </w:r>
      <w:r w:rsidRPr="00475714">
        <w:rPr>
          <w:rFonts w:cs="Times New Roman"/>
          <w:noProof/>
          <w:szCs w:val="24"/>
        </w:rPr>
        <w:t>, 3753–3765 (2014).</w:t>
      </w:r>
    </w:p>
    <w:p w14:paraId="086AFF4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41.</w:t>
      </w:r>
      <w:r w:rsidRPr="00475714">
        <w:rPr>
          <w:rFonts w:cs="Times New Roman"/>
          <w:noProof/>
          <w:szCs w:val="24"/>
        </w:rPr>
        <w:tab/>
        <w:t xml:space="preserve">Date, P. V, Samad, A. &amp; Devarajan, P. V. Freeze Thaw: A Simple Approach for </w:t>
      </w:r>
      <w:r w:rsidRPr="00475714">
        <w:rPr>
          <w:rFonts w:cs="Times New Roman"/>
          <w:noProof/>
          <w:szCs w:val="24"/>
        </w:rPr>
        <w:lastRenderedPageBreak/>
        <w:t xml:space="preserve">Prediction of Optimal Cryoprotectant for Freeze Drying. </w:t>
      </w:r>
      <w:r w:rsidRPr="00475714">
        <w:rPr>
          <w:rFonts w:cs="Times New Roman"/>
          <w:i/>
          <w:iCs/>
          <w:noProof/>
          <w:szCs w:val="24"/>
        </w:rPr>
        <w:t>AAPS PharmSciTech</w:t>
      </w:r>
      <w:r w:rsidRPr="00475714">
        <w:rPr>
          <w:rFonts w:cs="Times New Roman"/>
          <w:noProof/>
          <w:szCs w:val="24"/>
        </w:rPr>
        <w:t xml:space="preserve"> </w:t>
      </w:r>
      <w:r w:rsidRPr="00475714">
        <w:rPr>
          <w:rFonts w:cs="Times New Roman"/>
          <w:b/>
          <w:bCs/>
          <w:noProof/>
          <w:szCs w:val="24"/>
        </w:rPr>
        <w:t>11</w:t>
      </w:r>
      <w:r w:rsidRPr="00475714">
        <w:rPr>
          <w:rFonts w:cs="Times New Roman"/>
          <w:noProof/>
          <w:szCs w:val="24"/>
        </w:rPr>
        <w:t>, 304–313 (2010).</w:t>
      </w:r>
    </w:p>
    <w:p w14:paraId="0BCF725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42.</w:t>
      </w:r>
      <w:r w:rsidRPr="00475714">
        <w:rPr>
          <w:rFonts w:cs="Times New Roman"/>
          <w:noProof/>
          <w:szCs w:val="24"/>
        </w:rPr>
        <w:tab/>
        <w:t xml:space="preserve">Bozdag, S., Dillen, K., Vandervoort, J. &amp; Ludwig, A. The effect of freeze-drying with different cryoprotectants and gamma-irradiation sterilization on the characteristics of ciprofloxacin HCl-loaded poly(D,L-lactide-glycolide) nanoparticles. </w:t>
      </w:r>
      <w:r w:rsidRPr="00475714">
        <w:rPr>
          <w:rFonts w:cs="Times New Roman"/>
          <w:i/>
          <w:iCs/>
          <w:noProof/>
          <w:szCs w:val="24"/>
        </w:rPr>
        <w:t>J. Pharm. Pharmacol.</w:t>
      </w:r>
      <w:r w:rsidRPr="00475714">
        <w:rPr>
          <w:rFonts w:cs="Times New Roman"/>
          <w:noProof/>
          <w:szCs w:val="24"/>
        </w:rPr>
        <w:t xml:space="preserve"> </w:t>
      </w:r>
      <w:r w:rsidRPr="00475714">
        <w:rPr>
          <w:rFonts w:cs="Times New Roman"/>
          <w:b/>
          <w:bCs/>
          <w:noProof/>
          <w:szCs w:val="24"/>
        </w:rPr>
        <w:t>57</w:t>
      </w:r>
      <w:r w:rsidRPr="00475714">
        <w:rPr>
          <w:rFonts w:cs="Times New Roman"/>
          <w:noProof/>
          <w:szCs w:val="24"/>
        </w:rPr>
        <w:t>, 699–707 (2005).</w:t>
      </w:r>
    </w:p>
    <w:p w14:paraId="3062A556"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43.</w:t>
      </w:r>
      <w:r w:rsidRPr="00475714">
        <w:rPr>
          <w:rFonts w:cs="Times New Roman"/>
          <w:noProof/>
          <w:szCs w:val="24"/>
        </w:rPr>
        <w:tab/>
        <w:t xml:space="preserve">Anchordoquy, T. J., Armstrong, T. K. &amp; Molina, M. d. C. Low Molecular Weight Dextrans Stabilize Nonviral Vectors During Lyophilization at Low Osmolalities: Concentrating Suspensions by Rehydration to Reduced Volumes. </w:t>
      </w:r>
      <w:r w:rsidRPr="00475714">
        <w:rPr>
          <w:rFonts w:cs="Times New Roman"/>
          <w:i/>
          <w:iCs/>
          <w:noProof/>
          <w:szCs w:val="24"/>
        </w:rPr>
        <w:t>J. Pharm. Sci.</w:t>
      </w:r>
      <w:r w:rsidRPr="00475714">
        <w:rPr>
          <w:rFonts w:cs="Times New Roman"/>
          <w:noProof/>
          <w:szCs w:val="24"/>
        </w:rPr>
        <w:t xml:space="preserve"> </w:t>
      </w:r>
      <w:r w:rsidRPr="00475714">
        <w:rPr>
          <w:rFonts w:cs="Times New Roman"/>
          <w:b/>
          <w:bCs/>
          <w:noProof/>
          <w:szCs w:val="24"/>
        </w:rPr>
        <w:t>94</w:t>
      </w:r>
      <w:r w:rsidRPr="00475714">
        <w:rPr>
          <w:rFonts w:cs="Times New Roman"/>
          <w:noProof/>
          <w:szCs w:val="24"/>
        </w:rPr>
        <w:t>, 1226–1236 (2005).</w:t>
      </w:r>
    </w:p>
    <w:p w14:paraId="536DA863"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44.</w:t>
      </w:r>
      <w:r w:rsidRPr="00475714">
        <w:rPr>
          <w:rFonts w:cs="Times New Roman"/>
          <w:noProof/>
          <w:szCs w:val="24"/>
        </w:rPr>
        <w:tab/>
        <w:t xml:space="preserve">Lu, Q., Yi, M., Zhang, M., Shi, Z. &amp; Zhang, S. Folate-Conjugated Cell Membrane Mimetic Polymer Micelles for Tumor-Cell-Targeted Delivery of Doxorubicin. </w:t>
      </w:r>
      <w:r w:rsidRPr="00475714">
        <w:rPr>
          <w:rFonts w:cs="Times New Roman"/>
          <w:i/>
          <w:iCs/>
          <w:noProof/>
          <w:szCs w:val="24"/>
        </w:rPr>
        <w:t>Langmuir</w:t>
      </w:r>
      <w:r w:rsidRPr="00475714">
        <w:rPr>
          <w:rFonts w:cs="Times New Roman"/>
          <w:noProof/>
          <w:szCs w:val="24"/>
        </w:rPr>
        <w:t xml:space="preserve"> </w:t>
      </w:r>
      <w:r w:rsidRPr="00475714">
        <w:rPr>
          <w:rFonts w:cs="Times New Roman"/>
          <w:b/>
          <w:bCs/>
          <w:noProof/>
          <w:szCs w:val="24"/>
        </w:rPr>
        <w:t>35</w:t>
      </w:r>
      <w:r w:rsidRPr="00475714">
        <w:rPr>
          <w:rFonts w:cs="Times New Roman"/>
          <w:noProof/>
          <w:szCs w:val="24"/>
        </w:rPr>
        <w:t>, 504–512 (2019).</w:t>
      </w:r>
    </w:p>
    <w:p w14:paraId="30E1B721"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45.</w:t>
      </w:r>
      <w:r w:rsidRPr="00475714">
        <w:rPr>
          <w:rFonts w:cs="Times New Roman"/>
          <w:noProof/>
          <w:szCs w:val="24"/>
        </w:rPr>
        <w:tab/>
        <w:t xml:space="preserve">Ferrari, R. </w:t>
      </w:r>
      <w:r w:rsidRPr="00475714">
        <w:rPr>
          <w:rFonts w:cs="Times New Roman"/>
          <w:i/>
          <w:iCs/>
          <w:noProof/>
          <w:szCs w:val="24"/>
        </w:rPr>
        <w:t>et al.</w:t>
      </w:r>
      <w:r w:rsidRPr="00475714">
        <w:rPr>
          <w:rFonts w:cs="Times New Roman"/>
          <w:noProof/>
          <w:szCs w:val="24"/>
        </w:rPr>
        <w:t xml:space="preserve"> Biocompatible Polymer Nanoformulation To Improve the Release and Safety of a Drug Mimic Molecule Detectable via ICP-MS. </w:t>
      </w:r>
      <w:r w:rsidRPr="00475714">
        <w:rPr>
          <w:rFonts w:cs="Times New Roman"/>
          <w:i/>
          <w:iCs/>
          <w:noProof/>
          <w:szCs w:val="24"/>
        </w:rPr>
        <w:t>Mol. Pharm.</w:t>
      </w:r>
      <w:r w:rsidRPr="00475714">
        <w:rPr>
          <w:rFonts w:cs="Times New Roman"/>
          <w:noProof/>
          <w:szCs w:val="24"/>
        </w:rPr>
        <w:t xml:space="preserve"> </w:t>
      </w:r>
      <w:r w:rsidRPr="00475714">
        <w:rPr>
          <w:rFonts w:cs="Times New Roman"/>
          <w:b/>
          <w:bCs/>
          <w:noProof/>
          <w:szCs w:val="24"/>
        </w:rPr>
        <w:t>14</w:t>
      </w:r>
      <w:r w:rsidRPr="00475714">
        <w:rPr>
          <w:rFonts w:cs="Times New Roman"/>
          <w:noProof/>
          <w:szCs w:val="24"/>
        </w:rPr>
        <w:t>, 124–134 (2017).</w:t>
      </w:r>
    </w:p>
    <w:p w14:paraId="5E3B4CAC"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46.</w:t>
      </w:r>
      <w:r w:rsidRPr="00475714">
        <w:rPr>
          <w:rFonts w:cs="Times New Roman"/>
          <w:noProof/>
          <w:szCs w:val="24"/>
        </w:rPr>
        <w:tab/>
        <w:t xml:space="preserve">Sponchioni, M., Capasso Palmiero, U., Manfredini, N. &amp; Moscatelli, D. RAFT copolymerization of oppositely charged monomers and its use to tailor the composition of nonfouling polyampholytes with an UCST behaviour. </w:t>
      </w:r>
      <w:r w:rsidRPr="00475714">
        <w:rPr>
          <w:rFonts w:cs="Times New Roman"/>
          <w:i/>
          <w:iCs/>
          <w:noProof/>
          <w:szCs w:val="24"/>
        </w:rPr>
        <w:t>React. Chem. Eng.</w:t>
      </w:r>
      <w:r w:rsidRPr="00475714">
        <w:rPr>
          <w:rFonts w:cs="Times New Roman"/>
          <w:noProof/>
          <w:szCs w:val="24"/>
        </w:rPr>
        <w:t xml:space="preserve"> </w:t>
      </w:r>
      <w:r w:rsidRPr="00475714">
        <w:rPr>
          <w:rFonts w:cs="Times New Roman"/>
          <w:b/>
          <w:bCs/>
          <w:noProof/>
          <w:szCs w:val="24"/>
        </w:rPr>
        <w:t>4</w:t>
      </w:r>
      <w:r w:rsidRPr="00475714">
        <w:rPr>
          <w:rFonts w:cs="Times New Roman"/>
          <w:noProof/>
          <w:szCs w:val="24"/>
        </w:rPr>
        <w:t>, 436–446 (2019).</w:t>
      </w:r>
    </w:p>
    <w:p w14:paraId="23F93A9A"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47.</w:t>
      </w:r>
      <w:r w:rsidRPr="00475714">
        <w:rPr>
          <w:rFonts w:cs="Times New Roman"/>
          <w:noProof/>
          <w:szCs w:val="24"/>
        </w:rPr>
        <w:tab/>
        <w:t xml:space="preserve">Vauthier, C., Cabane, B. &amp; Labarre, D. How to concentrate nanoparticles and avoid aggregation? </w:t>
      </w:r>
      <w:r w:rsidRPr="00475714">
        <w:rPr>
          <w:rFonts w:cs="Times New Roman"/>
          <w:i/>
          <w:iCs/>
          <w:noProof/>
          <w:szCs w:val="24"/>
        </w:rPr>
        <w:t>Eur. J. Pharm. Biopharm.</w:t>
      </w:r>
      <w:r w:rsidRPr="00475714">
        <w:rPr>
          <w:rFonts w:cs="Times New Roman"/>
          <w:noProof/>
          <w:szCs w:val="24"/>
        </w:rPr>
        <w:t xml:space="preserve"> </w:t>
      </w:r>
      <w:r w:rsidRPr="00475714">
        <w:rPr>
          <w:rFonts w:cs="Times New Roman"/>
          <w:b/>
          <w:bCs/>
          <w:noProof/>
          <w:szCs w:val="24"/>
        </w:rPr>
        <w:t>69</w:t>
      </w:r>
      <w:r w:rsidRPr="00475714">
        <w:rPr>
          <w:rFonts w:cs="Times New Roman"/>
          <w:noProof/>
          <w:szCs w:val="24"/>
        </w:rPr>
        <w:t>, 466–475 (2008).</w:t>
      </w:r>
    </w:p>
    <w:p w14:paraId="2B49F0CD"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48.</w:t>
      </w:r>
      <w:r w:rsidRPr="00475714">
        <w:rPr>
          <w:rFonts w:cs="Times New Roman"/>
          <w:noProof/>
          <w:szCs w:val="24"/>
        </w:rPr>
        <w:tab/>
        <w:t xml:space="preserve">Stanley, C. B. &amp; Strey, H. H. Measuring Osmotic Pressure of Poly(ethylene glycol) Solutions by Sedimentation Equilibrium Ultracentrifugation. </w:t>
      </w:r>
      <w:r w:rsidRPr="00475714">
        <w:rPr>
          <w:rFonts w:cs="Times New Roman"/>
          <w:i/>
          <w:iCs/>
          <w:noProof/>
          <w:szCs w:val="24"/>
        </w:rPr>
        <w:t>Macromolecules</w:t>
      </w:r>
      <w:r w:rsidRPr="00475714">
        <w:rPr>
          <w:rFonts w:cs="Times New Roman"/>
          <w:noProof/>
          <w:szCs w:val="24"/>
        </w:rPr>
        <w:t xml:space="preserve"> </w:t>
      </w:r>
      <w:r w:rsidRPr="00475714">
        <w:rPr>
          <w:rFonts w:cs="Times New Roman"/>
          <w:b/>
          <w:bCs/>
          <w:noProof/>
          <w:szCs w:val="24"/>
        </w:rPr>
        <w:t>36</w:t>
      </w:r>
      <w:r w:rsidRPr="00475714">
        <w:rPr>
          <w:rFonts w:cs="Times New Roman"/>
          <w:noProof/>
          <w:szCs w:val="24"/>
        </w:rPr>
        <w:t>, 6888–6893 (2003).</w:t>
      </w:r>
    </w:p>
    <w:p w14:paraId="4EA7AD8E" w14:textId="77777777" w:rsidR="00475714" w:rsidRPr="00475714" w:rsidRDefault="00475714" w:rsidP="00475714">
      <w:pPr>
        <w:widowControl w:val="0"/>
        <w:autoSpaceDE w:val="0"/>
        <w:autoSpaceDN w:val="0"/>
        <w:adjustRightInd w:val="0"/>
        <w:ind w:left="640" w:hanging="640"/>
        <w:rPr>
          <w:rFonts w:cs="Times New Roman"/>
          <w:noProof/>
          <w:szCs w:val="24"/>
        </w:rPr>
      </w:pPr>
      <w:r w:rsidRPr="00475714">
        <w:rPr>
          <w:rFonts w:cs="Times New Roman"/>
          <w:noProof/>
          <w:szCs w:val="24"/>
        </w:rPr>
        <w:t>49.</w:t>
      </w:r>
      <w:r w:rsidRPr="00475714">
        <w:rPr>
          <w:rFonts w:cs="Times New Roman"/>
          <w:noProof/>
          <w:szCs w:val="24"/>
        </w:rPr>
        <w:tab/>
        <w:t xml:space="preserve">Huynh, K. A. &amp; Chen, K. L. Aggregation Kinetics of Citrate and Polyvinylpyrrolidone Coated Silver Nanoparticles in Monovalent and Divalent Electrolyte Solutions. </w:t>
      </w:r>
      <w:r w:rsidRPr="00475714">
        <w:rPr>
          <w:rFonts w:cs="Times New Roman"/>
          <w:i/>
          <w:iCs/>
          <w:noProof/>
          <w:szCs w:val="24"/>
        </w:rPr>
        <w:t>Environ. Sci. Technol.</w:t>
      </w:r>
      <w:r w:rsidRPr="00475714">
        <w:rPr>
          <w:rFonts w:cs="Times New Roman"/>
          <w:noProof/>
          <w:szCs w:val="24"/>
        </w:rPr>
        <w:t xml:space="preserve"> </w:t>
      </w:r>
      <w:r w:rsidRPr="00475714">
        <w:rPr>
          <w:rFonts w:cs="Times New Roman"/>
          <w:b/>
          <w:bCs/>
          <w:noProof/>
          <w:szCs w:val="24"/>
        </w:rPr>
        <w:t>45</w:t>
      </w:r>
      <w:r w:rsidRPr="00475714">
        <w:rPr>
          <w:rFonts w:cs="Times New Roman"/>
          <w:noProof/>
          <w:szCs w:val="24"/>
        </w:rPr>
        <w:t>, 5564–5571 (2011).</w:t>
      </w:r>
    </w:p>
    <w:p w14:paraId="662CC833" w14:textId="2A54C160" w:rsidR="009A2201" w:rsidRPr="002272EA" w:rsidRDefault="00475714" w:rsidP="002272EA">
      <w:pPr>
        <w:widowControl w:val="0"/>
        <w:autoSpaceDE w:val="0"/>
        <w:autoSpaceDN w:val="0"/>
        <w:adjustRightInd w:val="0"/>
        <w:ind w:left="640" w:hanging="640"/>
        <w:rPr>
          <w:b/>
          <w:sz w:val="40"/>
          <w:szCs w:val="40"/>
        </w:rPr>
      </w:pPr>
      <w:r w:rsidRPr="00475714">
        <w:rPr>
          <w:rFonts w:cs="Times New Roman"/>
          <w:noProof/>
          <w:szCs w:val="24"/>
        </w:rPr>
        <w:t>50.</w:t>
      </w:r>
      <w:r w:rsidRPr="00475714">
        <w:rPr>
          <w:rFonts w:cs="Times New Roman"/>
          <w:noProof/>
          <w:szCs w:val="24"/>
        </w:rPr>
        <w:tab/>
        <w:t xml:space="preserve">Gillich, T. </w:t>
      </w:r>
      <w:r w:rsidRPr="00475714">
        <w:rPr>
          <w:rFonts w:cs="Times New Roman"/>
          <w:i/>
          <w:iCs/>
          <w:noProof/>
          <w:szCs w:val="24"/>
        </w:rPr>
        <w:t>et al.</w:t>
      </w:r>
      <w:r w:rsidRPr="00475714">
        <w:rPr>
          <w:rFonts w:cs="Times New Roman"/>
          <w:noProof/>
          <w:szCs w:val="24"/>
        </w:rPr>
        <w:t xml:space="preserve"> PEG-Stabilized Core–Shell Nanoparticles: Impact of Linear versus Dendritic Polymer Shell Architecture on Colloidal Properties and the Reversibility of Temperature-Induced Aggregation. </w:t>
      </w:r>
      <w:r w:rsidRPr="00475714">
        <w:rPr>
          <w:rFonts w:cs="Times New Roman"/>
          <w:i/>
          <w:iCs/>
          <w:noProof/>
          <w:szCs w:val="24"/>
        </w:rPr>
        <w:t>ACS Nano</w:t>
      </w:r>
      <w:r w:rsidRPr="00475714">
        <w:rPr>
          <w:rFonts w:cs="Times New Roman"/>
          <w:noProof/>
          <w:szCs w:val="24"/>
        </w:rPr>
        <w:t xml:space="preserve"> </w:t>
      </w:r>
      <w:r w:rsidRPr="00475714">
        <w:rPr>
          <w:rFonts w:cs="Times New Roman"/>
          <w:b/>
          <w:bCs/>
          <w:noProof/>
          <w:szCs w:val="24"/>
        </w:rPr>
        <w:t>7</w:t>
      </w:r>
      <w:r w:rsidRPr="00475714">
        <w:rPr>
          <w:rFonts w:cs="Times New Roman"/>
          <w:noProof/>
          <w:szCs w:val="24"/>
        </w:rPr>
        <w:t>, 316–329 (2013).</w:t>
      </w:r>
      <w:r w:rsidR="00F9205E" w:rsidRPr="00EB1AE4">
        <w:fldChar w:fldCharType="end"/>
      </w:r>
      <w:bookmarkStart w:id="0" w:name="_GoBack"/>
      <w:bookmarkEnd w:id="0"/>
    </w:p>
    <w:p w14:paraId="7AA29B42" w14:textId="6A5A3094" w:rsidR="00143816" w:rsidRPr="00EB1AE4" w:rsidRDefault="00143816" w:rsidP="009A2201"/>
    <w:sectPr w:rsidR="00143816" w:rsidRPr="00EB1AE4" w:rsidSect="00F66D94">
      <w:pgSz w:w="11906" w:h="16838"/>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F9A18B" w14:textId="77777777" w:rsidR="001F0E77" w:rsidRDefault="001F0E77" w:rsidP="00403D52">
      <w:pPr>
        <w:spacing w:line="240" w:lineRule="auto"/>
      </w:pPr>
      <w:r>
        <w:separator/>
      </w:r>
    </w:p>
  </w:endnote>
  <w:endnote w:type="continuationSeparator" w:id="0">
    <w:p w14:paraId="760A38D7" w14:textId="77777777" w:rsidR="001F0E77" w:rsidRDefault="001F0E77" w:rsidP="00403D5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AdvOTce3d9a73+fb">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Times">
    <w:altName w:val="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2F229" w14:textId="77777777" w:rsidR="001F0E77" w:rsidRDefault="001F0E77" w:rsidP="00403D52">
      <w:pPr>
        <w:spacing w:line="240" w:lineRule="auto"/>
      </w:pPr>
      <w:r>
        <w:separator/>
      </w:r>
    </w:p>
  </w:footnote>
  <w:footnote w:type="continuationSeparator" w:id="0">
    <w:p w14:paraId="3DF3883E" w14:textId="77777777" w:rsidR="001F0E77" w:rsidRDefault="001F0E77" w:rsidP="00403D52">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B7C00"/>
    <w:multiLevelType w:val="hybridMultilevel"/>
    <w:tmpl w:val="D1506164"/>
    <w:lvl w:ilvl="0" w:tplc="0416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8D90E16"/>
    <w:multiLevelType w:val="hybridMultilevel"/>
    <w:tmpl w:val="006A5B9A"/>
    <w:lvl w:ilvl="0" w:tplc="B4E41F38">
      <w:start w:val="1"/>
      <w:numFmt w:val="decimal"/>
      <w:lvlText w:val="%1."/>
      <w:lvlJc w:val="left"/>
      <w:pPr>
        <w:ind w:left="720" w:hanging="360"/>
      </w:pPr>
      <w:rPr>
        <w:rFonts w:ascii="Times New Roman" w:hAnsi="Times New Roman"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4E3961"/>
    <w:multiLevelType w:val="hybridMultilevel"/>
    <w:tmpl w:val="71C88690"/>
    <w:lvl w:ilvl="0" w:tplc="38F6823A">
      <w:start w:val="1"/>
      <w:numFmt w:val="decimal"/>
      <w:lvlText w:val="%1."/>
      <w:lvlJc w:val="left"/>
      <w:pPr>
        <w:ind w:left="890" w:hanging="5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AB0F77"/>
    <w:multiLevelType w:val="multilevel"/>
    <w:tmpl w:val="E442507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2CB241D"/>
    <w:multiLevelType w:val="multilevel"/>
    <w:tmpl w:val="C4EADFEC"/>
    <w:lvl w:ilvl="0">
      <w:start w:val="1"/>
      <w:numFmt w:val="decimal"/>
      <w:pStyle w:val="Titolo1"/>
      <w:lvlText w:val="%1"/>
      <w:lvlJc w:val="left"/>
      <w:pPr>
        <w:ind w:left="432" w:hanging="432"/>
      </w:pPr>
    </w:lvl>
    <w:lvl w:ilvl="1">
      <w:start w:val="1"/>
      <w:numFmt w:val="decimal"/>
      <w:pStyle w:val="Titolo2"/>
      <w:lvlText w:val="%1.%2"/>
      <w:lvlJc w:val="left"/>
      <w:pPr>
        <w:ind w:left="576" w:hanging="576"/>
      </w:pPr>
      <w:rPr>
        <w:rFonts w:ascii="Times New Roman" w:hAnsi="Times New Roman"/>
        <w:b w:val="0"/>
        <w:bCs w:val="0"/>
        <w:i/>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5" w15:restartNumberingAfterBreak="0">
    <w:nsid w:val="174B3A87"/>
    <w:multiLevelType w:val="hybridMultilevel"/>
    <w:tmpl w:val="DC147CD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B5CD7"/>
    <w:multiLevelType w:val="hybridMultilevel"/>
    <w:tmpl w:val="3998F0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03510F"/>
    <w:multiLevelType w:val="hybridMultilevel"/>
    <w:tmpl w:val="52E452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3CA24A5"/>
    <w:multiLevelType w:val="hybridMultilevel"/>
    <w:tmpl w:val="489632E8"/>
    <w:lvl w:ilvl="0" w:tplc="02722A9E">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3D71CF"/>
    <w:multiLevelType w:val="hybridMultilevel"/>
    <w:tmpl w:val="A0C2AFC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0" w15:restartNumberingAfterBreak="0">
    <w:nsid w:val="28D353EE"/>
    <w:multiLevelType w:val="hybridMultilevel"/>
    <w:tmpl w:val="E58486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8A769A"/>
    <w:multiLevelType w:val="hybridMultilevel"/>
    <w:tmpl w:val="72081B2A"/>
    <w:lvl w:ilvl="0" w:tplc="0416000F">
      <w:start w:val="1"/>
      <w:numFmt w:val="decimal"/>
      <w:lvlText w:val="%1."/>
      <w:lvlJc w:val="left"/>
      <w:pPr>
        <w:ind w:left="780" w:hanging="360"/>
      </w:pPr>
    </w:lvl>
    <w:lvl w:ilvl="1" w:tplc="04160019" w:tentative="1">
      <w:start w:val="1"/>
      <w:numFmt w:val="lowerLetter"/>
      <w:lvlText w:val="%2."/>
      <w:lvlJc w:val="left"/>
      <w:pPr>
        <w:ind w:left="1500" w:hanging="360"/>
      </w:pPr>
    </w:lvl>
    <w:lvl w:ilvl="2" w:tplc="0416001B" w:tentative="1">
      <w:start w:val="1"/>
      <w:numFmt w:val="lowerRoman"/>
      <w:lvlText w:val="%3."/>
      <w:lvlJc w:val="right"/>
      <w:pPr>
        <w:ind w:left="2220" w:hanging="180"/>
      </w:pPr>
    </w:lvl>
    <w:lvl w:ilvl="3" w:tplc="0416000F" w:tentative="1">
      <w:start w:val="1"/>
      <w:numFmt w:val="decimal"/>
      <w:lvlText w:val="%4."/>
      <w:lvlJc w:val="left"/>
      <w:pPr>
        <w:ind w:left="2940" w:hanging="360"/>
      </w:pPr>
    </w:lvl>
    <w:lvl w:ilvl="4" w:tplc="04160019" w:tentative="1">
      <w:start w:val="1"/>
      <w:numFmt w:val="lowerLetter"/>
      <w:lvlText w:val="%5."/>
      <w:lvlJc w:val="left"/>
      <w:pPr>
        <w:ind w:left="3660" w:hanging="360"/>
      </w:pPr>
    </w:lvl>
    <w:lvl w:ilvl="5" w:tplc="0416001B" w:tentative="1">
      <w:start w:val="1"/>
      <w:numFmt w:val="lowerRoman"/>
      <w:lvlText w:val="%6."/>
      <w:lvlJc w:val="right"/>
      <w:pPr>
        <w:ind w:left="4380" w:hanging="180"/>
      </w:pPr>
    </w:lvl>
    <w:lvl w:ilvl="6" w:tplc="0416000F" w:tentative="1">
      <w:start w:val="1"/>
      <w:numFmt w:val="decimal"/>
      <w:lvlText w:val="%7."/>
      <w:lvlJc w:val="left"/>
      <w:pPr>
        <w:ind w:left="5100" w:hanging="360"/>
      </w:pPr>
    </w:lvl>
    <w:lvl w:ilvl="7" w:tplc="04160019" w:tentative="1">
      <w:start w:val="1"/>
      <w:numFmt w:val="lowerLetter"/>
      <w:lvlText w:val="%8."/>
      <w:lvlJc w:val="left"/>
      <w:pPr>
        <w:ind w:left="5820" w:hanging="360"/>
      </w:pPr>
    </w:lvl>
    <w:lvl w:ilvl="8" w:tplc="0416001B" w:tentative="1">
      <w:start w:val="1"/>
      <w:numFmt w:val="lowerRoman"/>
      <w:lvlText w:val="%9."/>
      <w:lvlJc w:val="right"/>
      <w:pPr>
        <w:ind w:left="6540" w:hanging="180"/>
      </w:pPr>
    </w:lvl>
  </w:abstractNum>
  <w:abstractNum w:abstractNumId="12" w15:restartNumberingAfterBreak="0">
    <w:nsid w:val="47F24C65"/>
    <w:multiLevelType w:val="hybridMultilevel"/>
    <w:tmpl w:val="2CB44F40"/>
    <w:lvl w:ilvl="0" w:tplc="5784B452">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F803411"/>
    <w:multiLevelType w:val="hybridMultilevel"/>
    <w:tmpl w:val="3B8A6A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07B3A8E"/>
    <w:multiLevelType w:val="hybridMultilevel"/>
    <w:tmpl w:val="295ABC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F492DDE"/>
    <w:multiLevelType w:val="hybridMultilevel"/>
    <w:tmpl w:val="66346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B2A03B0"/>
    <w:multiLevelType w:val="hybridMultilevel"/>
    <w:tmpl w:val="325686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F0D234C"/>
    <w:multiLevelType w:val="hybridMultilevel"/>
    <w:tmpl w:val="8F04FA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74472983"/>
    <w:multiLevelType w:val="hybridMultilevel"/>
    <w:tmpl w:val="95EE6C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1"/>
  </w:num>
  <w:num w:numId="2">
    <w:abstractNumId w:val="2"/>
  </w:num>
  <w:num w:numId="3">
    <w:abstractNumId w:val="3"/>
  </w:num>
  <w:num w:numId="4">
    <w:abstractNumId w:val="12"/>
  </w:num>
  <w:num w:numId="5">
    <w:abstractNumId w:val="4"/>
  </w:num>
  <w:num w:numId="6">
    <w:abstractNumId w:val="8"/>
  </w:num>
  <w:num w:numId="7">
    <w:abstractNumId w:val="0"/>
  </w:num>
  <w:num w:numId="8">
    <w:abstractNumId w:val="18"/>
  </w:num>
  <w:num w:numId="9">
    <w:abstractNumId w:val="1"/>
  </w:num>
  <w:num w:numId="10">
    <w:abstractNumId w:val="15"/>
  </w:num>
  <w:num w:numId="11">
    <w:abstractNumId w:val="10"/>
  </w:num>
  <w:num w:numId="12">
    <w:abstractNumId w:val="6"/>
  </w:num>
  <w:num w:numId="13">
    <w:abstractNumId w:val="7"/>
  </w:num>
  <w:num w:numId="14">
    <w:abstractNumId w:val="14"/>
  </w:num>
  <w:num w:numId="15">
    <w:abstractNumId w:val="17"/>
  </w:num>
  <w:num w:numId="16">
    <w:abstractNumId w:val="16"/>
  </w:num>
  <w:num w:numId="17">
    <w:abstractNumId w:val="9"/>
  </w:num>
  <w:num w:numId="18">
    <w:abstractNumId w:val="13"/>
  </w:num>
  <w:num w:numId="19">
    <w:abstractNumId w:val="5"/>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it-IT" w:vendorID="64" w:dllVersion="131078" w:nlCheck="1" w:checkStyle="0"/>
  <w:activeWritingStyle w:appName="MSWord" w:lang="en-US" w:vendorID="64" w:dllVersion="131078" w:nlCheck="1" w:checkStyle="1"/>
  <w:activeWritingStyle w:appName="MSWord" w:lang="en-GB"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6C04"/>
    <w:rsid w:val="00000990"/>
    <w:rsid w:val="0000112E"/>
    <w:rsid w:val="00002234"/>
    <w:rsid w:val="00002529"/>
    <w:rsid w:val="00002A3F"/>
    <w:rsid w:val="00002B3B"/>
    <w:rsid w:val="00002BC2"/>
    <w:rsid w:val="00003AF5"/>
    <w:rsid w:val="00004529"/>
    <w:rsid w:val="000054C7"/>
    <w:rsid w:val="0000558C"/>
    <w:rsid w:val="000058D7"/>
    <w:rsid w:val="00005978"/>
    <w:rsid w:val="00005EA1"/>
    <w:rsid w:val="00005FF6"/>
    <w:rsid w:val="00006D25"/>
    <w:rsid w:val="00007A76"/>
    <w:rsid w:val="000102B5"/>
    <w:rsid w:val="0001087C"/>
    <w:rsid w:val="000114CD"/>
    <w:rsid w:val="000116A5"/>
    <w:rsid w:val="000118F5"/>
    <w:rsid w:val="000139D4"/>
    <w:rsid w:val="000143B3"/>
    <w:rsid w:val="0001663D"/>
    <w:rsid w:val="000170ED"/>
    <w:rsid w:val="000174A4"/>
    <w:rsid w:val="00017776"/>
    <w:rsid w:val="00020422"/>
    <w:rsid w:val="0002091D"/>
    <w:rsid w:val="00020F10"/>
    <w:rsid w:val="00021587"/>
    <w:rsid w:val="00021759"/>
    <w:rsid w:val="00022007"/>
    <w:rsid w:val="0002275B"/>
    <w:rsid w:val="00023576"/>
    <w:rsid w:val="0002412D"/>
    <w:rsid w:val="0002477E"/>
    <w:rsid w:val="00025558"/>
    <w:rsid w:val="0002674E"/>
    <w:rsid w:val="0002720E"/>
    <w:rsid w:val="00027688"/>
    <w:rsid w:val="00027BE8"/>
    <w:rsid w:val="00030011"/>
    <w:rsid w:val="000313EE"/>
    <w:rsid w:val="00031EE3"/>
    <w:rsid w:val="00032F46"/>
    <w:rsid w:val="000331F3"/>
    <w:rsid w:val="00034337"/>
    <w:rsid w:val="000349CD"/>
    <w:rsid w:val="000352DB"/>
    <w:rsid w:val="00035C01"/>
    <w:rsid w:val="0003642A"/>
    <w:rsid w:val="00036D32"/>
    <w:rsid w:val="00036F87"/>
    <w:rsid w:val="0003730B"/>
    <w:rsid w:val="000408A4"/>
    <w:rsid w:val="00040B60"/>
    <w:rsid w:val="00040C74"/>
    <w:rsid w:val="0004174A"/>
    <w:rsid w:val="0004189B"/>
    <w:rsid w:val="000425F1"/>
    <w:rsid w:val="00042B8E"/>
    <w:rsid w:val="00043916"/>
    <w:rsid w:val="00043A9F"/>
    <w:rsid w:val="00043CC2"/>
    <w:rsid w:val="00044609"/>
    <w:rsid w:val="00044D2D"/>
    <w:rsid w:val="00045125"/>
    <w:rsid w:val="000462B0"/>
    <w:rsid w:val="0004653A"/>
    <w:rsid w:val="00047990"/>
    <w:rsid w:val="00047D76"/>
    <w:rsid w:val="00050E5E"/>
    <w:rsid w:val="000522C7"/>
    <w:rsid w:val="00053A25"/>
    <w:rsid w:val="00054611"/>
    <w:rsid w:val="00054BCB"/>
    <w:rsid w:val="00055070"/>
    <w:rsid w:val="00055BD3"/>
    <w:rsid w:val="00056579"/>
    <w:rsid w:val="0005678E"/>
    <w:rsid w:val="00056860"/>
    <w:rsid w:val="00056944"/>
    <w:rsid w:val="00056A40"/>
    <w:rsid w:val="00056ACE"/>
    <w:rsid w:val="00056F59"/>
    <w:rsid w:val="00057A91"/>
    <w:rsid w:val="00057E3E"/>
    <w:rsid w:val="00057F6E"/>
    <w:rsid w:val="00060574"/>
    <w:rsid w:val="00061818"/>
    <w:rsid w:val="00062675"/>
    <w:rsid w:val="00062931"/>
    <w:rsid w:val="00062D68"/>
    <w:rsid w:val="000631F6"/>
    <w:rsid w:val="00063BDD"/>
    <w:rsid w:val="00064E03"/>
    <w:rsid w:val="0006509E"/>
    <w:rsid w:val="00065941"/>
    <w:rsid w:val="00065999"/>
    <w:rsid w:val="00065F1C"/>
    <w:rsid w:val="000661B6"/>
    <w:rsid w:val="00066229"/>
    <w:rsid w:val="00067093"/>
    <w:rsid w:val="00070BC3"/>
    <w:rsid w:val="00071521"/>
    <w:rsid w:val="0007325B"/>
    <w:rsid w:val="0007342C"/>
    <w:rsid w:val="00073AB4"/>
    <w:rsid w:val="00073D8F"/>
    <w:rsid w:val="000744EB"/>
    <w:rsid w:val="0007470E"/>
    <w:rsid w:val="000752D4"/>
    <w:rsid w:val="000763AA"/>
    <w:rsid w:val="00076507"/>
    <w:rsid w:val="0007650F"/>
    <w:rsid w:val="0007763D"/>
    <w:rsid w:val="00077DC8"/>
    <w:rsid w:val="00080498"/>
    <w:rsid w:val="0008096A"/>
    <w:rsid w:val="00081174"/>
    <w:rsid w:val="00081CCC"/>
    <w:rsid w:val="0008245D"/>
    <w:rsid w:val="00082511"/>
    <w:rsid w:val="000833F3"/>
    <w:rsid w:val="00085DC3"/>
    <w:rsid w:val="00086002"/>
    <w:rsid w:val="00087147"/>
    <w:rsid w:val="000873D7"/>
    <w:rsid w:val="000902E2"/>
    <w:rsid w:val="00091282"/>
    <w:rsid w:val="0009267F"/>
    <w:rsid w:val="00092F8D"/>
    <w:rsid w:val="00093A64"/>
    <w:rsid w:val="00093C86"/>
    <w:rsid w:val="00094216"/>
    <w:rsid w:val="00094F6B"/>
    <w:rsid w:val="00095445"/>
    <w:rsid w:val="00095530"/>
    <w:rsid w:val="000955C0"/>
    <w:rsid w:val="00097257"/>
    <w:rsid w:val="000A02F3"/>
    <w:rsid w:val="000A0847"/>
    <w:rsid w:val="000A0A67"/>
    <w:rsid w:val="000A0A8F"/>
    <w:rsid w:val="000A0C76"/>
    <w:rsid w:val="000A1C1D"/>
    <w:rsid w:val="000A1C67"/>
    <w:rsid w:val="000A1D4C"/>
    <w:rsid w:val="000A2282"/>
    <w:rsid w:val="000A262A"/>
    <w:rsid w:val="000A2EBF"/>
    <w:rsid w:val="000A3B86"/>
    <w:rsid w:val="000A3EFE"/>
    <w:rsid w:val="000A507E"/>
    <w:rsid w:val="000A73A4"/>
    <w:rsid w:val="000A76E6"/>
    <w:rsid w:val="000A7A10"/>
    <w:rsid w:val="000A7D46"/>
    <w:rsid w:val="000B2A73"/>
    <w:rsid w:val="000B3572"/>
    <w:rsid w:val="000B36B3"/>
    <w:rsid w:val="000B404E"/>
    <w:rsid w:val="000B4071"/>
    <w:rsid w:val="000B4210"/>
    <w:rsid w:val="000B6DA8"/>
    <w:rsid w:val="000B6E9C"/>
    <w:rsid w:val="000B6F67"/>
    <w:rsid w:val="000B704F"/>
    <w:rsid w:val="000C0C46"/>
    <w:rsid w:val="000C0E1C"/>
    <w:rsid w:val="000C0F34"/>
    <w:rsid w:val="000C1118"/>
    <w:rsid w:val="000C14F6"/>
    <w:rsid w:val="000C16ED"/>
    <w:rsid w:val="000C1CD9"/>
    <w:rsid w:val="000C2021"/>
    <w:rsid w:val="000C2345"/>
    <w:rsid w:val="000C2547"/>
    <w:rsid w:val="000C325F"/>
    <w:rsid w:val="000C3652"/>
    <w:rsid w:val="000C3D69"/>
    <w:rsid w:val="000C41B0"/>
    <w:rsid w:val="000C41B7"/>
    <w:rsid w:val="000C4AFE"/>
    <w:rsid w:val="000C4DCA"/>
    <w:rsid w:val="000C5BBF"/>
    <w:rsid w:val="000C686A"/>
    <w:rsid w:val="000D0B48"/>
    <w:rsid w:val="000D1893"/>
    <w:rsid w:val="000D1A3E"/>
    <w:rsid w:val="000D2EA2"/>
    <w:rsid w:val="000D3731"/>
    <w:rsid w:val="000D3991"/>
    <w:rsid w:val="000D3B92"/>
    <w:rsid w:val="000D476B"/>
    <w:rsid w:val="000D5569"/>
    <w:rsid w:val="000D5608"/>
    <w:rsid w:val="000D5800"/>
    <w:rsid w:val="000D5A66"/>
    <w:rsid w:val="000D6828"/>
    <w:rsid w:val="000E01A9"/>
    <w:rsid w:val="000E07C8"/>
    <w:rsid w:val="000E2087"/>
    <w:rsid w:val="000E22D7"/>
    <w:rsid w:val="000E26D4"/>
    <w:rsid w:val="000E396E"/>
    <w:rsid w:val="000E4BD4"/>
    <w:rsid w:val="000E5077"/>
    <w:rsid w:val="000E684F"/>
    <w:rsid w:val="000E6A53"/>
    <w:rsid w:val="000F0340"/>
    <w:rsid w:val="000F0EA9"/>
    <w:rsid w:val="000F158E"/>
    <w:rsid w:val="000F15DA"/>
    <w:rsid w:val="000F1621"/>
    <w:rsid w:val="000F1AC5"/>
    <w:rsid w:val="000F252E"/>
    <w:rsid w:val="000F38F1"/>
    <w:rsid w:val="000F4742"/>
    <w:rsid w:val="000F5C19"/>
    <w:rsid w:val="000F6CDC"/>
    <w:rsid w:val="000F746C"/>
    <w:rsid w:val="000F761B"/>
    <w:rsid w:val="000F7E42"/>
    <w:rsid w:val="001007EF"/>
    <w:rsid w:val="001009D3"/>
    <w:rsid w:val="00101651"/>
    <w:rsid w:val="00101A9C"/>
    <w:rsid w:val="00102BE7"/>
    <w:rsid w:val="00102D98"/>
    <w:rsid w:val="0010390E"/>
    <w:rsid w:val="00103B74"/>
    <w:rsid w:val="00103E3A"/>
    <w:rsid w:val="0010484E"/>
    <w:rsid w:val="00105C3C"/>
    <w:rsid w:val="001062DA"/>
    <w:rsid w:val="0010754B"/>
    <w:rsid w:val="001077FF"/>
    <w:rsid w:val="00110258"/>
    <w:rsid w:val="0011223C"/>
    <w:rsid w:val="0011255E"/>
    <w:rsid w:val="001129A6"/>
    <w:rsid w:val="001145B1"/>
    <w:rsid w:val="001147DF"/>
    <w:rsid w:val="00114D72"/>
    <w:rsid w:val="00115785"/>
    <w:rsid w:val="0011618B"/>
    <w:rsid w:val="00116696"/>
    <w:rsid w:val="001169FE"/>
    <w:rsid w:val="001174B4"/>
    <w:rsid w:val="00117BC8"/>
    <w:rsid w:val="00121F0E"/>
    <w:rsid w:val="00121F98"/>
    <w:rsid w:val="00122971"/>
    <w:rsid w:val="001251A6"/>
    <w:rsid w:val="0012532A"/>
    <w:rsid w:val="00125D5A"/>
    <w:rsid w:val="00126427"/>
    <w:rsid w:val="00126DCF"/>
    <w:rsid w:val="001276DA"/>
    <w:rsid w:val="001307A6"/>
    <w:rsid w:val="001319EB"/>
    <w:rsid w:val="0013234E"/>
    <w:rsid w:val="00132930"/>
    <w:rsid w:val="00132C50"/>
    <w:rsid w:val="001339C3"/>
    <w:rsid w:val="00134FA7"/>
    <w:rsid w:val="00135CE7"/>
    <w:rsid w:val="00136DC0"/>
    <w:rsid w:val="00137717"/>
    <w:rsid w:val="00137AFC"/>
    <w:rsid w:val="00140072"/>
    <w:rsid w:val="00140994"/>
    <w:rsid w:val="00140B1F"/>
    <w:rsid w:val="0014179C"/>
    <w:rsid w:val="0014187D"/>
    <w:rsid w:val="00141BBA"/>
    <w:rsid w:val="00141EFD"/>
    <w:rsid w:val="001424EB"/>
    <w:rsid w:val="001425FA"/>
    <w:rsid w:val="00142C58"/>
    <w:rsid w:val="00142D92"/>
    <w:rsid w:val="001434E7"/>
    <w:rsid w:val="00143816"/>
    <w:rsid w:val="0014388A"/>
    <w:rsid w:val="00143C89"/>
    <w:rsid w:val="00147797"/>
    <w:rsid w:val="001479AD"/>
    <w:rsid w:val="001500A0"/>
    <w:rsid w:val="00150991"/>
    <w:rsid w:val="00150C9C"/>
    <w:rsid w:val="00150F9D"/>
    <w:rsid w:val="001517D6"/>
    <w:rsid w:val="001524A1"/>
    <w:rsid w:val="00152589"/>
    <w:rsid w:val="001528F2"/>
    <w:rsid w:val="00153B3A"/>
    <w:rsid w:val="00154558"/>
    <w:rsid w:val="00154AED"/>
    <w:rsid w:val="00155A27"/>
    <w:rsid w:val="001563BB"/>
    <w:rsid w:val="001566B6"/>
    <w:rsid w:val="0015767A"/>
    <w:rsid w:val="001600C5"/>
    <w:rsid w:val="00160DCB"/>
    <w:rsid w:val="00160ECF"/>
    <w:rsid w:val="00161699"/>
    <w:rsid w:val="00161B24"/>
    <w:rsid w:val="00162060"/>
    <w:rsid w:val="001620D9"/>
    <w:rsid w:val="001633EA"/>
    <w:rsid w:val="00167A6F"/>
    <w:rsid w:val="001703FF"/>
    <w:rsid w:val="00170AEE"/>
    <w:rsid w:val="00170B57"/>
    <w:rsid w:val="00170D24"/>
    <w:rsid w:val="00170DE2"/>
    <w:rsid w:val="00170F95"/>
    <w:rsid w:val="00170FCD"/>
    <w:rsid w:val="00171307"/>
    <w:rsid w:val="00171926"/>
    <w:rsid w:val="00173FB6"/>
    <w:rsid w:val="00174F6B"/>
    <w:rsid w:val="00175C37"/>
    <w:rsid w:val="00176BD0"/>
    <w:rsid w:val="00176E62"/>
    <w:rsid w:val="0017790F"/>
    <w:rsid w:val="00177B07"/>
    <w:rsid w:val="00180759"/>
    <w:rsid w:val="00180A3D"/>
    <w:rsid w:val="00180CD0"/>
    <w:rsid w:val="00180DBF"/>
    <w:rsid w:val="00182F22"/>
    <w:rsid w:val="00182FC6"/>
    <w:rsid w:val="001831D0"/>
    <w:rsid w:val="00183C0A"/>
    <w:rsid w:val="00183F2E"/>
    <w:rsid w:val="00185ABF"/>
    <w:rsid w:val="00186662"/>
    <w:rsid w:val="00187030"/>
    <w:rsid w:val="00190207"/>
    <w:rsid w:val="001902FE"/>
    <w:rsid w:val="00190810"/>
    <w:rsid w:val="00190E5A"/>
    <w:rsid w:val="00191024"/>
    <w:rsid w:val="00191262"/>
    <w:rsid w:val="001913A8"/>
    <w:rsid w:val="0019156D"/>
    <w:rsid w:val="00192ADC"/>
    <w:rsid w:val="00193161"/>
    <w:rsid w:val="00194353"/>
    <w:rsid w:val="00194892"/>
    <w:rsid w:val="00194896"/>
    <w:rsid w:val="00194AD3"/>
    <w:rsid w:val="00194D33"/>
    <w:rsid w:val="00195068"/>
    <w:rsid w:val="00195282"/>
    <w:rsid w:val="0019594A"/>
    <w:rsid w:val="00195F3B"/>
    <w:rsid w:val="00195F68"/>
    <w:rsid w:val="00195FE1"/>
    <w:rsid w:val="00196021"/>
    <w:rsid w:val="00196228"/>
    <w:rsid w:val="0019670E"/>
    <w:rsid w:val="00196D82"/>
    <w:rsid w:val="00197FED"/>
    <w:rsid w:val="001A0271"/>
    <w:rsid w:val="001A0279"/>
    <w:rsid w:val="001A039B"/>
    <w:rsid w:val="001A05C8"/>
    <w:rsid w:val="001A05F4"/>
    <w:rsid w:val="001A0C5D"/>
    <w:rsid w:val="001A1F66"/>
    <w:rsid w:val="001A2AC9"/>
    <w:rsid w:val="001A3390"/>
    <w:rsid w:val="001A44F2"/>
    <w:rsid w:val="001A47EA"/>
    <w:rsid w:val="001A4FC1"/>
    <w:rsid w:val="001A584D"/>
    <w:rsid w:val="001A5956"/>
    <w:rsid w:val="001A5D6F"/>
    <w:rsid w:val="001A5DDD"/>
    <w:rsid w:val="001A6F89"/>
    <w:rsid w:val="001A7421"/>
    <w:rsid w:val="001B0F68"/>
    <w:rsid w:val="001B163E"/>
    <w:rsid w:val="001B1824"/>
    <w:rsid w:val="001B1AB4"/>
    <w:rsid w:val="001B1C18"/>
    <w:rsid w:val="001B1DB8"/>
    <w:rsid w:val="001B20E5"/>
    <w:rsid w:val="001B22CC"/>
    <w:rsid w:val="001B31C5"/>
    <w:rsid w:val="001B3B3E"/>
    <w:rsid w:val="001B3EDA"/>
    <w:rsid w:val="001B4457"/>
    <w:rsid w:val="001B4BDF"/>
    <w:rsid w:val="001B4C9C"/>
    <w:rsid w:val="001B61EF"/>
    <w:rsid w:val="001B68AB"/>
    <w:rsid w:val="001B7F52"/>
    <w:rsid w:val="001C0B38"/>
    <w:rsid w:val="001C19BD"/>
    <w:rsid w:val="001C1FC8"/>
    <w:rsid w:val="001C2306"/>
    <w:rsid w:val="001C298D"/>
    <w:rsid w:val="001C3C74"/>
    <w:rsid w:val="001C512E"/>
    <w:rsid w:val="001C547A"/>
    <w:rsid w:val="001C5E1A"/>
    <w:rsid w:val="001C6829"/>
    <w:rsid w:val="001C71AF"/>
    <w:rsid w:val="001C7900"/>
    <w:rsid w:val="001C7AFD"/>
    <w:rsid w:val="001C7D5F"/>
    <w:rsid w:val="001C7E0C"/>
    <w:rsid w:val="001D0551"/>
    <w:rsid w:val="001D0D73"/>
    <w:rsid w:val="001D2630"/>
    <w:rsid w:val="001D38AB"/>
    <w:rsid w:val="001D3C7D"/>
    <w:rsid w:val="001D5EF9"/>
    <w:rsid w:val="001D5F71"/>
    <w:rsid w:val="001D6119"/>
    <w:rsid w:val="001D6A18"/>
    <w:rsid w:val="001D6D59"/>
    <w:rsid w:val="001D7863"/>
    <w:rsid w:val="001D7E08"/>
    <w:rsid w:val="001E06B5"/>
    <w:rsid w:val="001E0847"/>
    <w:rsid w:val="001E08A8"/>
    <w:rsid w:val="001E1232"/>
    <w:rsid w:val="001E23AA"/>
    <w:rsid w:val="001E26ED"/>
    <w:rsid w:val="001E2E02"/>
    <w:rsid w:val="001E33EA"/>
    <w:rsid w:val="001E5D8D"/>
    <w:rsid w:val="001E5E59"/>
    <w:rsid w:val="001E6AE4"/>
    <w:rsid w:val="001E72CD"/>
    <w:rsid w:val="001E7446"/>
    <w:rsid w:val="001E748A"/>
    <w:rsid w:val="001F06E2"/>
    <w:rsid w:val="001F0E77"/>
    <w:rsid w:val="001F1A8E"/>
    <w:rsid w:val="001F29E7"/>
    <w:rsid w:val="001F29EB"/>
    <w:rsid w:val="001F3AD8"/>
    <w:rsid w:val="001F4045"/>
    <w:rsid w:val="001F4AF7"/>
    <w:rsid w:val="001F4B5A"/>
    <w:rsid w:val="001F52E3"/>
    <w:rsid w:val="001F6301"/>
    <w:rsid w:val="001F7FE3"/>
    <w:rsid w:val="002002E2"/>
    <w:rsid w:val="002002EB"/>
    <w:rsid w:val="00200589"/>
    <w:rsid w:val="002016B0"/>
    <w:rsid w:val="00201A23"/>
    <w:rsid w:val="00201C46"/>
    <w:rsid w:val="00202081"/>
    <w:rsid w:val="00202EC5"/>
    <w:rsid w:val="00202FE7"/>
    <w:rsid w:val="00203BD2"/>
    <w:rsid w:val="00205CE7"/>
    <w:rsid w:val="002060CE"/>
    <w:rsid w:val="00206593"/>
    <w:rsid w:val="00206BCD"/>
    <w:rsid w:val="002071EF"/>
    <w:rsid w:val="00207323"/>
    <w:rsid w:val="00207723"/>
    <w:rsid w:val="0020780C"/>
    <w:rsid w:val="0020792C"/>
    <w:rsid w:val="00210576"/>
    <w:rsid w:val="00210BC0"/>
    <w:rsid w:val="00212315"/>
    <w:rsid w:val="002127BA"/>
    <w:rsid w:val="002134D3"/>
    <w:rsid w:val="0021373E"/>
    <w:rsid w:val="00213BEF"/>
    <w:rsid w:val="00213CFF"/>
    <w:rsid w:val="00214C0F"/>
    <w:rsid w:val="00215213"/>
    <w:rsid w:val="0021635C"/>
    <w:rsid w:val="002163B6"/>
    <w:rsid w:val="00216AC0"/>
    <w:rsid w:val="00216C24"/>
    <w:rsid w:val="0021759F"/>
    <w:rsid w:val="00221479"/>
    <w:rsid w:val="00221BF6"/>
    <w:rsid w:val="00223276"/>
    <w:rsid w:val="0022357E"/>
    <w:rsid w:val="00224227"/>
    <w:rsid w:val="002243DB"/>
    <w:rsid w:val="00224976"/>
    <w:rsid w:val="00225172"/>
    <w:rsid w:val="00225E22"/>
    <w:rsid w:val="00226489"/>
    <w:rsid w:val="002272EA"/>
    <w:rsid w:val="002276F2"/>
    <w:rsid w:val="00227936"/>
    <w:rsid w:val="00227ABE"/>
    <w:rsid w:val="0023053B"/>
    <w:rsid w:val="002307AF"/>
    <w:rsid w:val="00230F55"/>
    <w:rsid w:val="00233505"/>
    <w:rsid w:val="00233FBB"/>
    <w:rsid w:val="0023442F"/>
    <w:rsid w:val="0023513F"/>
    <w:rsid w:val="00235467"/>
    <w:rsid w:val="00235AEC"/>
    <w:rsid w:val="00236802"/>
    <w:rsid w:val="00236C21"/>
    <w:rsid w:val="00236CDD"/>
    <w:rsid w:val="00237BDB"/>
    <w:rsid w:val="00240260"/>
    <w:rsid w:val="00240369"/>
    <w:rsid w:val="00241150"/>
    <w:rsid w:val="00241D8C"/>
    <w:rsid w:val="002423A7"/>
    <w:rsid w:val="0024244F"/>
    <w:rsid w:val="002428B4"/>
    <w:rsid w:val="002432E2"/>
    <w:rsid w:val="002447F9"/>
    <w:rsid w:val="00244815"/>
    <w:rsid w:val="00244DB6"/>
    <w:rsid w:val="00244EE1"/>
    <w:rsid w:val="00245526"/>
    <w:rsid w:val="0024580F"/>
    <w:rsid w:val="0024693B"/>
    <w:rsid w:val="00246AD2"/>
    <w:rsid w:val="00246D84"/>
    <w:rsid w:val="00247786"/>
    <w:rsid w:val="00250355"/>
    <w:rsid w:val="0025044B"/>
    <w:rsid w:val="00250C38"/>
    <w:rsid w:val="0025186E"/>
    <w:rsid w:val="00251AD7"/>
    <w:rsid w:val="00251B9E"/>
    <w:rsid w:val="00251D88"/>
    <w:rsid w:val="00252075"/>
    <w:rsid w:val="00252BE5"/>
    <w:rsid w:val="00252F68"/>
    <w:rsid w:val="00252F87"/>
    <w:rsid w:val="00253757"/>
    <w:rsid w:val="00254E95"/>
    <w:rsid w:val="00255A82"/>
    <w:rsid w:val="00255F17"/>
    <w:rsid w:val="00261179"/>
    <w:rsid w:val="00261614"/>
    <w:rsid w:val="00261B8C"/>
    <w:rsid w:val="0026245B"/>
    <w:rsid w:val="002639B5"/>
    <w:rsid w:val="00264416"/>
    <w:rsid w:val="00264628"/>
    <w:rsid w:val="0026485C"/>
    <w:rsid w:val="00264B38"/>
    <w:rsid w:val="00264BD4"/>
    <w:rsid w:val="00265316"/>
    <w:rsid w:val="002658D4"/>
    <w:rsid w:val="002672A1"/>
    <w:rsid w:val="00267850"/>
    <w:rsid w:val="002678ED"/>
    <w:rsid w:val="0026799D"/>
    <w:rsid w:val="002716DB"/>
    <w:rsid w:val="00273D65"/>
    <w:rsid w:val="00274838"/>
    <w:rsid w:val="0027557A"/>
    <w:rsid w:val="00276170"/>
    <w:rsid w:val="002762CD"/>
    <w:rsid w:val="00276485"/>
    <w:rsid w:val="00276D30"/>
    <w:rsid w:val="002770C7"/>
    <w:rsid w:val="00280066"/>
    <w:rsid w:val="002806DC"/>
    <w:rsid w:val="00280790"/>
    <w:rsid w:val="0028094E"/>
    <w:rsid w:val="002812FD"/>
    <w:rsid w:val="00281608"/>
    <w:rsid w:val="002824CA"/>
    <w:rsid w:val="002828F0"/>
    <w:rsid w:val="00283DBC"/>
    <w:rsid w:val="00283E66"/>
    <w:rsid w:val="002860D3"/>
    <w:rsid w:val="002862BF"/>
    <w:rsid w:val="002869EA"/>
    <w:rsid w:val="00286C07"/>
    <w:rsid w:val="00287611"/>
    <w:rsid w:val="00287686"/>
    <w:rsid w:val="00287713"/>
    <w:rsid w:val="002877F1"/>
    <w:rsid w:val="002914C3"/>
    <w:rsid w:val="00291640"/>
    <w:rsid w:val="00291B41"/>
    <w:rsid w:val="00291F5F"/>
    <w:rsid w:val="00291F9A"/>
    <w:rsid w:val="00292146"/>
    <w:rsid w:val="002929BB"/>
    <w:rsid w:val="00293970"/>
    <w:rsid w:val="00293C83"/>
    <w:rsid w:val="00293E19"/>
    <w:rsid w:val="0029434E"/>
    <w:rsid w:val="002944ED"/>
    <w:rsid w:val="00294889"/>
    <w:rsid w:val="002A04D1"/>
    <w:rsid w:val="002A226C"/>
    <w:rsid w:val="002A2370"/>
    <w:rsid w:val="002A24E9"/>
    <w:rsid w:val="002A2C0B"/>
    <w:rsid w:val="002A3214"/>
    <w:rsid w:val="002A33DB"/>
    <w:rsid w:val="002A3473"/>
    <w:rsid w:val="002A39CA"/>
    <w:rsid w:val="002A4541"/>
    <w:rsid w:val="002A4E0E"/>
    <w:rsid w:val="002A6657"/>
    <w:rsid w:val="002A6ACD"/>
    <w:rsid w:val="002A6CBC"/>
    <w:rsid w:val="002A7D68"/>
    <w:rsid w:val="002B0EC4"/>
    <w:rsid w:val="002B1FB1"/>
    <w:rsid w:val="002B2774"/>
    <w:rsid w:val="002B291E"/>
    <w:rsid w:val="002B31FF"/>
    <w:rsid w:val="002B45E8"/>
    <w:rsid w:val="002B46D1"/>
    <w:rsid w:val="002B4D34"/>
    <w:rsid w:val="002B53C9"/>
    <w:rsid w:val="002B54E2"/>
    <w:rsid w:val="002B5551"/>
    <w:rsid w:val="002B580F"/>
    <w:rsid w:val="002B6128"/>
    <w:rsid w:val="002B639A"/>
    <w:rsid w:val="002B745A"/>
    <w:rsid w:val="002B7F93"/>
    <w:rsid w:val="002C0D0E"/>
    <w:rsid w:val="002C139A"/>
    <w:rsid w:val="002C1DC4"/>
    <w:rsid w:val="002C1F7E"/>
    <w:rsid w:val="002C2958"/>
    <w:rsid w:val="002C2EB4"/>
    <w:rsid w:val="002C37C5"/>
    <w:rsid w:val="002C4126"/>
    <w:rsid w:val="002C4240"/>
    <w:rsid w:val="002C4687"/>
    <w:rsid w:val="002C53C4"/>
    <w:rsid w:val="002C5A59"/>
    <w:rsid w:val="002C6977"/>
    <w:rsid w:val="002C6988"/>
    <w:rsid w:val="002C6E48"/>
    <w:rsid w:val="002C7917"/>
    <w:rsid w:val="002D09F9"/>
    <w:rsid w:val="002D1CAD"/>
    <w:rsid w:val="002D3F65"/>
    <w:rsid w:val="002D43C9"/>
    <w:rsid w:val="002D5E5D"/>
    <w:rsid w:val="002D6B4B"/>
    <w:rsid w:val="002D6B58"/>
    <w:rsid w:val="002D794D"/>
    <w:rsid w:val="002E0035"/>
    <w:rsid w:val="002E305B"/>
    <w:rsid w:val="002E393F"/>
    <w:rsid w:val="002E45C1"/>
    <w:rsid w:val="002E4A41"/>
    <w:rsid w:val="002E64DF"/>
    <w:rsid w:val="002E72CC"/>
    <w:rsid w:val="002E7D5A"/>
    <w:rsid w:val="002F00E9"/>
    <w:rsid w:val="002F0892"/>
    <w:rsid w:val="002F09BB"/>
    <w:rsid w:val="002F1E80"/>
    <w:rsid w:val="002F278B"/>
    <w:rsid w:val="002F27A7"/>
    <w:rsid w:val="002F33D5"/>
    <w:rsid w:val="002F38B5"/>
    <w:rsid w:val="002F39AC"/>
    <w:rsid w:val="002F5151"/>
    <w:rsid w:val="002F542F"/>
    <w:rsid w:val="002F57F9"/>
    <w:rsid w:val="002F7C88"/>
    <w:rsid w:val="00300014"/>
    <w:rsid w:val="00300612"/>
    <w:rsid w:val="00301A2E"/>
    <w:rsid w:val="00301FF4"/>
    <w:rsid w:val="00302007"/>
    <w:rsid w:val="00303440"/>
    <w:rsid w:val="00303E07"/>
    <w:rsid w:val="00304110"/>
    <w:rsid w:val="00304C60"/>
    <w:rsid w:val="00306A4A"/>
    <w:rsid w:val="00306C79"/>
    <w:rsid w:val="00307100"/>
    <w:rsid w:val="00307168"/>
    <w:rsid w:val="003079D7"/>
    <w:rsid w:val="00307ED6"/>
    <w:rsid w:val="00310603"/>
    <w:rsid w:val="00311F59"/>
    <w:rsid w:val="00312CD8"/>
    <w:rsid w:val="0031301D"/>
    <w:rsid w:val="0031301E"/>
    <w:rsid w:val="00313E7F"/>
    <w:rsid w:val="0031528C"/>
    <w:rsid w:val="00315329"/>
    <w:rsid w:val="0031553F"/>
    <w:rsid w:val="00315AC5"/>
    <w:rsid w:val="003165D8"/>
    <w:rsid w:val="00316D5A"/>
    <w:rsid w:val="00316E0F"/>
    <w:rsid w:val="00317266"/>
    <w:rsid w:val="00317806"/>
    <w:rsid w:val="0032042F"/>
    <w:rsid w:val="00320972"/>
    <w:rsid w:val="00320BFE"/>
    <w:rsid w:val="00320D32"/>
    <w:rsid w:val="003214D1"/>
    <w:rsid w:val="003218F2"/>
    <w:rsid w:val="00322C3F"/>
    <w:rsid w:val="00326287"/>
    <w:rsid w:val="003265BB"/>
    <w:rsid w:val="00327069"/>
    <w:rsid w:val="00327EEB"/>
    <w:rsid w:val="00330E32"/>
    <w:rsid w:val="00330FE0"/>
    <w:rsid w:val="003310BB"/>
    <w:rsid w:val="00332759"/>
    <w:rsid w:val="00333970"/>
    <w:rsid w:val="00334190"/>
    <w:rsid w:val="00334B8E"/>
    <w:rsid w:val="00334F4F"/>
    <w:rsid w:val="00336310"/>
    <w:rsid w:val="00336867"/>
    <w:rsid w:val="00340112"/>
    <w:rsid w:val="00340A24"/>
    <w:rsid w:val="0034118C"/>
    <w:rsid w:val="00341CBB"/>
    <w:rsid w:val="00341F80"/>
    <w:rsid w:val="0034337F"/>
    <w:rsid w:val="0034372C"/>
    <w:rsid w:val="00343BE5"/>
    <w:rsid w:val="003446A9"/>
    <w:rsid w:val="003449B3"/>
    <w:rsid w:val="00344D10"/>
    <w:rsid w:val="00346719"/>
    <w:rsid w:val="00347010"/>
    <w:rsid w:val="00347308"/>
    <w:rsid w:val="003503D7"/>
    <w:rsid w:val="00350B64"/>
    <w:rsid w:val="00351BF7"/>
    <w:rsid w:val="00352DB0"/>
    <w:rsid w:val="003535DB"/>
    <w:rsid w:val="0035473F"/>
    <w:rsid w:val="00354B57"/>
    <w:rsid w:val="00354C78"/>
    <w:rsid w:val="00356010"/>
    <w:rsid w:val="00356F9A"/>
    <w:rsid w:val="00357121"/>
    <w:rsid w:val="00357333"/>
    <w:rsid w:val="003601B4"/>
    <w:rsid w:val="0036050B"/>
    <w:rsid w:val="003609B8"/>
    <w:rsid w:val="003611CD"/>
    <w:rsid w:val="0036190E"/>
    <w:rsid w:val="003621F6"/>
    <w:rsid w:val="00362846"/>
    <w:rsid w:val="00362C4A"/>
    <w:rsid w:val="00363312"/>
    <w:rsid w:val="0036453C"/>
    <w:rsid w:val="00365D30"/>
    <w:rsid w:val="00365EC9"/>
    <w:rsid w:val="00366A69"/>
    <w:rsid w:val="00366BEC"/>
    <w:rsid w:val="003670F8"/>
    <w:rsid w:val="003677B4"/>
    <w:rsid w:val="003679F8"/>
    <w:rsid w:val="00367C67"/>
    <w:rsid w:val="0037057B"/>
    <w:rsid w:val="00372CC4"/>
    <w:rsid w:val="00372CEE"/>
    <w:rsid w:val="00372EE4"/>
    <w:rsid w:val="00373BC8"/>
    <w:rsid w:val="00373E64"/>
    <w:rsid w:val="003743D4"/>
    <w:rsid w:val="00374E4D"/>
    <w:rsid w:val="0037596E"/>
    <w:rsid w:val="00376239"/>
    <w:rsid w:val="00376D00"/>
    <w:rsid w:val="00377F31"/>
    <w:rsid w:val="00380331"/>
    <w:rsid w:val="00380455"/>
    <w:rsid w:val="00380604"/>
    <w:rsid w:val="0038089A"/>
    <w:rsid w:val="00380BA5"/>
    <w:rsid w:val="00380FD4"/>
    <w:rsid w:val="00382A0E"/>
    <w:rsid w:val="00384248"/>
    <w:rsid w:val="00384521"/>
    <w:rsid w:val="00384C57"/>
    <w:rsid w:val="0038569D"/>
    <w:rsid w:val="0038584D"/>
    <w:rsid w:val="00385CE6"/>
    <w:rsid w:val="0038610B"/>
    <w:rsid w:val="0038711D"/>
    <w:rsid w:val="00387175"/>
    <w:rsid w:val="00387582"/>
    <w:rsid w:val="00387799"/>
    <w:rsid w:val="00387BD0"/>
    <w:rsid w:val="003914E1"/>
    <w:rsid w:val="003915FB"/>
    <w:rsid w:val="00392FED"/>
    <w:rsid w:val="003933A6"/>
    <w:rsid w:val="003947EB"/>
    <w:rsid w:val="00394E6A"/>
    <w:rsid w:val="00394EC7"/>
    <w:rsid w:val="003950CE"/>
    <w:rsid w:val="003976BB"/>
    <w:rsid w:val="003A19E3"/>
    <w:rsid w:val="003A27E6"/>
    <w:rsid w:val="003A2849"/>
    <w:rsid w:val="003A41F8"/>
    <w:rsid w:val="003A456D"/>
    <w:rsid w:val="003A4572"/>
    <w:rsid w:val="003A479A"/>
    <w:rsid w:val="003A586D"/>
    <w:rsid w:val="003A6D84"/>
    <w:rsid w:val="003A78BA"/>
    <w:rsid w:val="003B03DE"/>
    <w:rsid w:val="003B116F"/>
    <w:rsid w:val="003B1805"/>
    <w:rsid w:val="003B18CC"/>
    <w:rsid w:val="003B195E"/>
    <w:rsid w:val="003B2A06"/>
    <w:rsid w:val="003B39A2"/>
    <w:rsid w:val="003B3C45"/>
    <w:rsid w:val="003B3C50"/>
    <w:rsid w:val="003B5243"/>
    <w:rsid w:val="003B565F"/>
    <w:rsid w:val="003B5CFF"/>
    <w:rsid w:val="003B5E59"/>
    <w:rsid w:val="003B5FDC"/>
    <w:rsid w:val="003B71A3"/>
    <w:rsid w:val="003B7395"/>
    <w:rsid w:val="003C124B"/>
    <w:rsid w:val="003C236A"/>
    <w:rsid w:val="003C2EC8"/>
    <w:rsid w:val="003C3086"/>
    <w:rsid w:val="003C362E"/>
    <w:rsid w:val="003C3811"/>
    <w:rsid w:val="003C3C78"/>
    <w:rsid w:val="003C4512"/>
    <w:rsid w:val="003C4B10"/>
    <w:rsid w:val="003C4C59"/>
    <w:rsid w:val="003C5567"/>
    <w:rsid w:val="003C5831"/>
    <w:rsid w:val="003C5F4A"/>
    <w:rsid w:val="003C625C"/>
    <w:rsid w:val="003C6FDA"/>
    <w:rsid w:val="003C746A"/>
    <w:rsid w:val="003D01BD"/>
    <w:rsid w:val="003D04C6"/>
    <w:rsid w:val="003D05BA"/>
    <w:rsid w:val="003D17A9"/>
    <w:rsid w:val="003D19A8"/>
    <w:rsid w:val="003D33DA"/>
    <w:rsid w:val="003D344B"/>
    <w:rsid w:val="003D3BD5"/>
    <w:rsid w:val="003D48E6"/>
    <w:rsid w:val="003D4933"/>
    <w:rsid w:val="003D4D07"/>
    <w:rsid w:val="003D7617"/>
    <w:rsid w:val="003D7B3C"/>
    <w:rsid w:val="003D7EB8"/>
    <w:rsid w:val="003E0B24"/>
    <w:rsid w:val="003E1535"/>
    <w:rsid w:val="003E1894"/>
    <w:rsid w:val="003E1C57"/>
    <w:rsid w:val="003E1CB1"/>
    <w:rsid w:val="003E255F"/>
    <w:rsid w:val="003E3957"/>
    <w:rsid w:val="003E3A36"/>
    <w:rsid w:val="003E3B12"/>
    <w:rsid w:val="003E40EA"/>
    <w:rsid w:val="003E4E19"/>
    <w:rsid w:val="003E598B"/>
    <w:rsid w:val="003E5F9F"/>
    <w:rsid w:val="003E65D0"/>
    <w:rsid w:val="003E6871"/>
    <w:rsid w:val="003E6A79"/>
    <w:rsid w:val="003E75F8"/>
    <w:rsid w:val="003E7944"/>
    <w:rsid w:val="003F022D"/>
    <w:rsid w:val="003F1931"/>
    <w:rsid w:val="003F1BC2"/>
    <w:rsid w:val="003F1F70"/>
    <w:rsid w:val="003F26CA"/>
    <w:rsid w:val="003F3385"/>
    <w:rsid w:val="003F3510"/>
    <w:rsid w:val="003F58CD"/>
    <w:rsid w:val="003F5AD8"/>
    <w:rsid w:val="003F77BE"/>
    <w:rsid w:val="003F7BEC"/>
    <w:rsid w:val="00400304"/>
    <w:rsid w:val="00400610"/>
    <w:rsid w:val="00400BCD"/>
    <w:rsid w:val="0040204D"/>
    <w:rsid w:val="004031E3"/>
    <w:rsid w:val="00403B39"/>
    <w:rsid w:val="00403D52"/>
    <w:rsid w:val="00403DBF"/>
    <w:rsid w:val="004047D8"/>
    <w:rsid w:val="00405836"/>
    <w:rsid w:val="00406717"/>
    <w:rsid w:val="004067E1"/>
    <w:rsid w:val="004069F9"/>
    <w:rsid w:val="00406D76"/>
    <w:rsid w:val="00407052"/>
    <w:rsid w:val="00407B1E"/>
    <w:rsid w:val="00411B3F"/>
    <w:rsid w:val="004123F5"/>
    <w:rsid w:val="00412951"/>
    <w:rsid w:val="00412D8B"/>
    <w:rsid w:val="0041324A"/>
    <w:rsid w:val="004138D7"/>
    <w:rsid w:val="00413A83"/>
    <w:rsid w:val="0041513C"/>
    <w:rsid w:val="0041590D"/>
    <w:rsid w:val="00415BB3"/>
    <w:rsid w:val="00415EF4"/>
    <w:rsid w:val="004168B6"/>
    <w:rsid w:val="004171BC"/>
    <w:rsid w:val="004176F8"/>
    <w:rsid w:val="00417DE1"/>
    <w:rsid w:val="0042007F"/>
    <w:rsid w:val="00421022"/>
    <w:rsid w:val="0042289A"/>
    <w:rsid w:val="00423BFA"/>
    <w:rsid w:val="00423EA2"/>
    <w:rsid w:val="00423EDF"/>
    <w:rsid w:val="0042408A"/>
    <w:rsid w:val="004244CE"/>
    <w:rsid w:val="004248C3"/>
    <w:rsid w:val="00425ABC"/>
    <w:rsid w:val="00425F02"/>
    <w:rsid w:val="00426129"/>
    <w:rsid w:val="00430BAD"/>
    <w:rsid w:val="00431F1E"/>
    <w:rsid w:val="00431FC6"/>
    <w:rsid w:val="004349F6"/>
    <w:rsid w:val="00434E76"/>
    <w:rsid w:val="00435FCF"/>
    <w:rsid w:val="00436107"/>
    <w:rsid w:val="0043687D"/>
    <w:rsid w:val="00440B8C"/>
    <w:rsid w:val="00441ADA"/>
    <w:rsid w:val="00442C37"/>
    <w:rsid w:val="004432FF"/>
    <w:rsid w:val="0044524B"/>
    <w:rsid w:val="00445E6E"/>
    <w:rsid w:val="00446796"/>
    <w:rsid w:val="00447DCD"/>
    <w:rsid w:val="00447E8C"/>
    <w:rsid w:val="00450772"/>
    <w:rsid w:val="004518A9"/>
    <w:rsid w:val="00451EB6"/>
    <w:rsid w:val="0045251C"/>
    <w:rsid w:val="00452B38"/>
    <w:rsid w:val="00452BA8"/>
    <w:rsid w:val="00454A55"/>
    <w:rsid w:val="00455043"/>
    <w:rsid w:val="0045532F"/>
    <w:rsid w:val="00457642"/>
    <w:rsid w:val="00460978"/>
    <w:rsid w:val="00461075"/>
    <w:rsid w:val="004613FA"/>
    <w:rsid w:val="00461842"/>
    <w:rsid w:val="00461976"/>
    <w:rsid w:val="0046247C"/>
    <w:rsid w:val="00462BEF"/>
    <w:rsid w:val="0046479E"/>
    <w:rsid w:val="00464BD7"/>
    <w:rsid w:val="00465227"/>
    <w:rsid w:val="0046567F"/>
    <w:rsid w:val="00465A13"/>
    <w:rsid w:val="00466D52"/>
    <w:rsid w:val="00467B3A"/>
    <w:rsid w:val="00470590"/>
    <w:rsid w:val="00470EE9"/>
    <w:rsid w:val="00471D0E"/>
    <w:rsid w:val="00472902"/>
    <w:rsid w:val="00473217"/>
    <w:rsid w:val="004735A9"/>
    <w:rsid w:val="004736C3"/>
    <w:rsid w:val="00473774"/>
    <w:rsid w:val="00474587"/>
    <w:rsid w:val="00474AA3"/>
    <w:rsid w:val="00474F52"/>
    <w:rsid w:val="00474FC4"/>
    <w:rsid w:val="00475714"/>
    <w:rsid w:val="00475CD5"/>
    <w:rsid w:val="00475D09"/>
    <w:rsid w:val="00476002"/>
    <w:rsid w:val="00480278"/>
    <w:rsid w:val="004808BE"/>
    <w:rsid w:val="004809CB"/>
    <w:rsid w:val="00483ABA"/>
    <w:rsid w:val="0048419A"/>
    <w:rsid w:val="004841E0"/>
    <w:rsid w:val="00486C43"/>
    <w:rsid w:val="004877C4"/>
    <w:rsid w:val="00487B20"/>
    <w:rsid w:val="00490045"/>
    <w:rsid w:val="00490528"/>
    <w:rsid w:val="004922D3"/>
    <w:rsid w:val="00492548"/>
    <w:rsid w:val="0049417E"/>
    <w:rsid w:val="004948C8"/>
    <w:rsid w:val="00494F1C"/>
    <w:rsid w:val="0049501E"/>
    <w:rsid w:val="00495345"/>
    <w:rsid w:val="004954EA"/>
    <w:rsid w:val="00495B50"/>
    <w:rsid w:val="00496FDF"/>
    <w:rsid w:val="00497CB1"/>
    <w:rsid w:val="004A0755"/>
    <w:rsid w:val="004A0A87"/>
    <w:rsid w:val="004A0F8D"/>
    <w:rsid w:val="004A257F"/>
    <w:rsid w:val="004A3176"/>
    <w:rsid w:val="004A3709"/>
    <w:rsid w:val="004A3798"/>
    <w:rsid w:val="004A461C"/>
    <w:rsid w:val="004A5802"/>
    <w:rsid w:val="004A58B6"/>
    <w:rsid w:val="004A5F3D"/>
    <w:rsid w:val="004A7298"/>
    <w:rsid w:val="004A7315"/>
    <w:rsid w:val="004A743E"/>
    <w:rsid w:val="004B0673"/>
    <w:rsid w:val="004B0D9F"/>
    <w:rsid w:val="004B194C"/>
    <w:rsid w:val="004B1C84"/>
    <w:rsid w:val="004B2A27"/>
    <w:rsid w:val="004B33D6"/>
    <w:rsid w:val="004B40A0"/>
    <w:rsid w:val="004B5A8F"/>
    <w:rsid w:val="004B6E2D"/>
    <w:rsid w:val="004B74F8"/>
    <w:rsid w:val="004B7B6C"/>
    <w:rsid w:val="004B7C0F"/>
    <w:rsid w:val="004C00DD"/>
    <w:rsid w:val="004C0718"/>
    <w:rsid w:val="004C0AF3"/>
    <w:rsid w:val="004C0B2F"/>
    <w:rsid w:val="004C1B29"/>
    <w:rsid w:val="004C1D49"/>
    <w:rsid w:val="004C1D7E"/>
    <w:rsid w:val="004C21EA"/>
    <w:rsid w:val="004C2954"/>
    <w:rsid w:val="004C3224"/>
    <w:rsid w:val="004C3939"/>
    <w:rsid w:val="004C4532"/>
    <w:rsid w:val="004C4AFE"/>
    <w:rsid w:val="004C4C79"/>
    <w:rsid w:val="004C5D13"/>
    <w:rsid w:val="004C6051"/>
    <w:rsid w:val="004C60AF"/>
    <w:rsid w:val="004C65BE"/>
    <w:rsid w:val="004C72A3"/>
    <w:rsid w:val="004C7341"/>
    <w:rsid w:val="004C7A2A"/>
    <w:rsid w:val="004D0F23"/>
    <w:rsid w:val="004D12F5"/>
    <w:rsid w:val="004D25C8"/>
    <w:rsid w:val="004D2DDD"/>
    <w:rsid w:val="004D36B0"/>
    <w:rsid w:val="004D4710"/>
    <w:rsid w:val="004D4A4C"/>
    <w:rsid w:val="004D4CE7"/>
    <w:rsid w:val="004D55BA"/>
    <w:rsid w:val="004D5C44"/>
    <w:rsid w:val="004D65A2"/>
    <w:rsid w:val="004D665F"/>
    <w:rsid w:val="004D7474"/>
    <w:rsid w:val="004D790B"/>
    <w:rsid w:val="004D7C6E"/>
    <w:rsid w:val="004D7CC3"/>
    <w:rsid w:val="004E054C"/>
    <w:rsid w:val="004E1E7B"/>
    <w:rsid w:val="004E238C"/>
    <w:rsid w:val="004E24E3"/>
    <w:rsid w:val="004E2782"/>
    <w:rsid w:val="004E2ED3"/>
    <w:rsid w:val="004E3555"/>
    <w:rsid w:val="004E4EBC"/>
    <w:rsid w:val="004E5554"/>
    <w:rsid w:val="004E5D33"/>
    <w:rsid w:val="004E7BCB"/>
    <w:rsid w:val="004F065C"/>
    <w:rsid w:val="004F0A8D"/>
    <w:rsid w:val="004F0AC5"/>
    <w:rsid w:val="004F0ADC"/>
    <w:rsid w:val="004F14DE"/>
    <w:rsid w:val="004F1B19"/>
    <w:rsid w:val="004F2BE0"/>
    <w:rsid w:val="004F2F56"/>
    <w:rsid w:val="004F3E22"/>
    <w:rsid w:val="004F4E3D"/>
    <w:rsid w:val="004F51DA"/>
    <w:rsid w:val="004F56F9"/>
    <w:rsid w:val="004F67E1"/>
    <w:rsid w:val="004F68FC"/>
    <w:rsid w:val="00500B69"/>
    <w:rsid w:val="00501967"/>
    <w:rsid w:val="00501AD0"/>
    <w:rsid w:val="00501DF3"/>
    <w:rsid w:val="0050234B"/>
    <w:rsid w:val="0050372F"/>
    <w:rsid w:val="00503E55"/>
    <w:rsid w:val="00503E5A"/>
    <w:rsid w:val="00504962"/>
    <w:rsid w:val="00506198"/>
    <w:rsid w:val="005062CC"/>
    <w:rsid w:val="005064A7"/>
    <w:rsid w:val="005067DD"/>
    <w:rsid w:val="00507415"/>
    <w:rsid w:val="005105D1"/>
    <w:rsid w:val="00510BA0"/>
    <w:rsid w:val="0051216A"/>
    <w:rsid w:val="0051261D"/>
    <w:rsid w:val="00512A99"/>
    <w:rsid w:val="005138E1"/>
    <w:rsid w:val="00514329"/>
    <w:rsid w:val="005149A3"/>
    <w:rsid w:val="00517344"/>
    <w:rsid w:val="00520638"/>
    <w:rsid w:val="00521290"/>
    <w:rsid w:val="005237CC"/>
    <w:rsid w:val="00523B61"/>
    <w:rsid w:val="00524763"/>
    <w:rsid w:val="00524D5E"/>
    <w:rsid w:val="00525CA6"/>
    <w:rsid w:val="00527551"/>
    <w:rsid w:val="00527658"/>
    <w:rsid w:val="00527D1F"/>
    <w:rsid w:val="00530A74"/>
    <w:rsid w:val="00530FFB"/>
    <w:rsid w:val="005318AE"/>
    <w:rsid w:val="00531E7E"/>
    <w:rsid w:val="00531F24"/>
    <w:rsid w:val="0053396E"/>
    <w:rsid w:val="00535E2C"/>
    <w:rsid w:val="00536B05"/>
    <w:rsid w:val="005372B5"/>
    <w:rsid w:val="0053779F"/>
    <w:rsid w:val="0054030A"/>
    <w:rsid w:val="005403FF"/>
    <w:rsid w:val="00540C5C"/>
    <w:rsid w:val="00541846"/>
    <w:rsid w:val="005420C0"/>
    <w:rsid w:val="005425D4"/>
    <w:rsid w:val="005428CE"/>
    <w:rsid w:val="00544052"/>
    <w:rsid w:val="00544803"/>
    <w:rsid w:val="00544A96"/>
    <w:rsid w:val="0054544D"/>
    <w:rsid w:val="005457AF"/>
    <w:rsid w:val="00545923"/>
    <w:rsid w:val="00545ADE"/>
    <w:rsid w:val="005462B2"/>
    <w:rsid w:val="0054709D"/>
    <w:rsid w:val="00547541"/>
    <w:rsid w:val="00550539"/>
    <w:rsid w:val="005506C0"/>
    <w:rsid w:val="00552491"/>
    <w:rsid w:val="0055269D"/>
    <w:rsid w:val="005541AC"/>
    <w:rsid w:val="00554579"/>
    <w:rsid w:val="00554889"/>
    <w:rsid w:val="00555081"/>
    <w:rsid w:val="0055557A"/>
    <w:rsid w:val="00555862"/>
    <w:rsid w:val="00555B79"/>
    <w:rsid w:val="00557015"/>
    <w:rsid w:val="005572A8"/>
    <w:rsid w:val="0055792E"/>
    <w:rsid w:val="005600A9"/>
    <w:rsid w:val="0056156D"/>
    <w:rsid w:val="00561CBA"/>
    <w:rsid w:val="00562166"/>
    <w:rsid w:val="00562178"/>
    <w:rsid w:val="005637CD"/>
    <w:rsid w:val="00563AF9"/>
    <w:rsid w:val="00563F98"/>
    <w:rsid w:val="00565346"/>
    <w:rsid w:val="005653C7"/>
    <w:rsid w:val="005656C9"/>
    <w:rsid w:val="00565802"/>
    <w:rsid w:val="00565831"/>
    <w:rsid w:val="0056663F"/>
    <w:rsid w:val="005666BE"/>
    <w:rsid w:val="00566A1F"/>
    <w:rsid w:val="00566CF5"/>
    <w:rsid w:val="00567AFC"/>
    <w:rsid w:val="00570168"/>
    <w:rsid w:val="00570D47"/>
    <w:rsid w:val="0057112A"/>
    <w:rsid w:val="00571413"/>
    <w:rsid w:val="0057251C"/>
    <w:rsid w:val="00572BE8"/>
    <w:rsid w:val="00574B40"/>
    <w:rsid w:val="00576CB5"/>
    <w:rsid w:val="00576E2C"/>
    <w:rsid w:val="0057752A"/>
    <w:rsid w:val="00577BBF"/>
    <w:rsid w:val="00577C0C"/>
    <w:rsid w:val="00580BE1"/>
    <w:rsid w:val="00581AC6"/>
    <w:rsid w:val="005826ED"/>
    <w:rsid w:val="00582B9C"/>
    <w:rsid w:val="005833B1"/>
    <w:rsid w:val="0058395F"/>
    <w:rsid w:val="00584A37"/>
    <w:rsid w:val="0058511D"/>
    <w:rsid w:val="00585EF7"/>
    <w:rsid w:val="00586C26"/>
    <w:rsid w:val="00590600"/>
    <w:rsid w:val="00591501"/>
    <w:rsid w:val="00591D32"/>
    <w:rsid w:val="005922C8"/>
    <w:rsid w:val="0059231A"/>
    <w:rsid w:val="005923AA"/>
    <w:rsid w:val="00592A15"/>
    <w:rsid w:val="00592C08"/>
    <w:rsid w:val="005930D4"/>
    <w:rsid w:val="0059349D"/>
    <w:rsid w:val="005934EB"/>
    <w:rsid w:val="005936E7"/>
    <w:rsid w:val="00593EA4"/>
    <w:rsid w:val="00594179"/>
    <w:rsid w:val="00594C62"/>
    <w:rsid w:val="00594DAF"/>
    <w:rsid w:val="0059591E"/>
    <w:rsid w:val="00595C56"/>
    <w:rsid w:val="00596452"/>
    <w:rsid w:val="005965CC"/>
    <w:rsid w:val="00596CD2"/>
    <w:rsid w:val="00596E33"/>
    <w:rsid w:val="0059770C"/>
    <w:rsid w:val="005A0F33"/>
    <w:rsid w:val="005A0FA8"/>
    <w:rsid w:val="005A17F3"/>
    <w:rsid w:val="005A24B1"/>
    <w:rsid w:val="005A3103"/>
    <w:rsid w:val="005A3A5C"/>
    <w:rsid w:val="005A3D2F"/>
    <w:rsid w:val="005A446C"/>
    <w:rsid w:val="005A554C"/>
    <w:rsid w:val="005A5C41"/>
    <w:rsid w:val="005A7F7F"/>
    <w:rsid w:val="005B0906"/>
    <w:rsid w:val="005B1D14"/>
    <w:rsid w:val="005B1FAD"/>
    <w:rsid w:val="005B293A"/>
    <w:rsid w:val="005B30BF"/>
    <w:rsid w:val="005B33D6"/>
    <w:rsid w:val="005B39C5"/>
    <w:rsid w:val="005B3E5B"/>
    <w:rsid w:val="005B40B5"/>
    <w:rsid w:val="005B439D"/>
    <w:rsid w:val="005B4943"/>
    <w:rsid w:val="005B4DD1"/>
    <w:rsid w:val="005B6171"/>
    <w:rsid w:val="005B7345"/>
    <w:rsid w:val="005C028A"/>
    <w:rsid w:val="005C07FB"/>
    <w:rsid w:val="005C09B6"/>
    <w:rsid w:val="005C1598"/>
    <w:rsid w:val="005C15C6"/>
    <w:rsid w:val="005C21CC"/>
    <w:rsid w:val="005C23B2"/>
    <w:rsid w:val="005C2CE8"/>
    <w:rsid w:val="005C2DF7"/>
    <w:rsid w:val="005C2FF3"/>
    <w:rsid w:val="005C3102"/>
    <w:rsid w:val="005C38DA"/>
    <w:rsid w:val="005C487B"/>
    <w:rsid w:val="005C5460"/>
    <w:rsid w:val="005C5588"/>
    <w:rsid w:val="005C59BA"/>
    <w:rsid w:val="005C5A65"/>
    <w:rsid w:val="005C5E5B"/>
    <w:rsid w:val="005C5FC8"/>
    <w:rsid w:val="005C63C2"/>
    <w:rsid w:val="005C64AD"/>
    <w:rsid w:val="005C6635"/>
    <w:rsid w:val="005C68CC"/>
    <w:rsid w:val="005C6C7F"/>
    <w:rsid w:val="005C6E72"/>
    <w:rsid w:val="005C7115"/>
    <w:rsid w:val="005C7203"/>
    <w:rsid w:val="005C7985"/>
    <w:rsid w:val="005C7E42"/>
    <w:rsid w:val="005D0220"/>
    <w:rsid w:val="005D190A"/>
    <w:rsid w:val="005D1B65"/>
    <w:rsid w:val="005D23AE"/>
    <w:rsid w:val="005D28E3"/>
    <w:rsid w:val="005D32CC"/>
    <w:rsid w:val="005D3A2F"/>
    <w:rsid w:val="005D3F99"/>
    <w:rsid w:val="005D4584"/>
    <w:rsid w:val="005D45A1"/>
    <w:rsid w:val="005D498E"/>
    <w:rsid w:val="005D499A"/>
    <w:rsid w:val="005D4C3E"/>
    <w:rsid w:val="005D4E56"/>
    <w:rsid w:val="005D5804"/>
    <w:rsid w:val="005D698A"/>
    <w:rsid w:val="005D6EDA"/>
    <w:rsid w:val="005D7384"/>
    <w:rsid w:val="005D75E3"/>
    <w:rsid w:val="005D781D"/>
    <w:rsid w:val="005E14E0"/>
    <w:rsid w:val="005E194C"/>
    <w:rsid w:val="005E1C5B"/>
    <w:rsid w:val="005E2C7C"/>
    <w:rsid w:val="005E3D8E"/>
    <w:rsid w:val="005E3F44"/>
    <w:rsid w:val="005E46E3"/>
    <w:rsid w:val="005E4DD5"/>
    <w:rsid w:val="005E60C4"/>
    <w:rsid w:val="005E6D4A"/>
    <w:rsid w:val="005E726E"/>
    <w:rsid w:val="005F0436"/>
    <w:rsid w:val="005F0618"/>
    <w:rsid w:val="005F0EAD"/>
    <w:rsid w:val="005F3CDD"/>
    <w:rsid w:val="005F417B"/>
    <w:rsid w:val="005F4560"/>
    <w:rsid w:val="005F4BF8"/>
    <w:rsid w:val="005F5203"/>
    <w:rsid w:val="005F601E"/>
    <w:rsid w:val="005F75E6"/>
    <w:rsid w:val="005F78D1"/>
    <w:rsid w:val="006002A4"/>
    <w:rsid w:val="006007B6"/>
    <w:rsid w:val="00600AA6"/>
    <w:rsid w:val="00600DC6"/>
    <w:rsid w:val="00601AE0"/>
    <w:rsid w:val="00601B81"/>
    <w:rsid w:val="0060375B"/>
    <w:rsid w:val="00603AC3"/>
    <w:rsid w:val="00603B5A"/>
    <w:rsid w:val="00603C06"/>
    <w:rsid w:val="00604AE2"/>
    <w:rsid w:val="00606355"/>
    <w:rsid w:val="00606891"/>
    <w:rsid w:val="006068F6"/>
    <w:rsid w:val="00606E61"/>
    <w:rsid w:val="00607396"/>
    <w:rsid w:val="00607EFF"/>
    <w:rsid w:val="006109A5"/>
    <w:rsid w:val="00610E27"/>
    <w:rsid w:val="0061110E"/>
    <w:rsid w:val="00611142"/>
    <w:rsid w:val="00612B94"/>
    <w:rsid w:val="00614099"/>
    <w:rsid w:val="00614142"/>
    <w:rsid w:val="00614B9E"/>
    <w:rsid w:val="006158A5"/>
    <w:rsid w:val="00615944"/>
    <w:rsid w:val="00617C12"/>
    <w:rsid w:val="00621153"/>
    <w:rsid w:val="00622AF2"/>
    <w:rsid w:val="00623424"/>
    <w:rsid w:val="00623E49"/>
    <w:rsid w:val="0062417C"/>
    <w:rsid w:val="00625345"/>
    <w:rsid w:val="00627B42"/>
    <w:rsid w:val="00630149"/>
    <w:rsid w:val="00632411"/>
    <w:rsid w:val="0063261F"/>
    <w:rsid w:val="00632C3C"/>
    <w:rsid w:val="0063554C"/>
    <w:rsid w:val="00635A5B"/>
    <w:rsid w:val="00635CC8"/>
    <w:rsid w:val="00635F8D"/>
    <w:rsid w:val="006363F7"/>
    <w:rsid w:val="006366B0"/>
    <w:rsid w:val="006378CD"/>
    <w:rsid w:val="00637DC1"/>
    <w:rsid w:val="006403D1"/>
    <w:rsid w:val="00641086"/>
    <w:rsid w:val="00642D38"/>
    <w:rsid w:val="0064419F"/>
    <w:rsid w:val="0064429C"/>
    <w:rsid w:val="00644470"/>
    <w:rsid w:val="0064481F"/>
    <w:rsid w:val="00644C23"/>
    <w:rsid w:val="00646127"/>
    <w:rsid w:val="00647436"/>
    <w:rsid w:val="00650A72"/>
    <w:rsid w:val="006545CC"/>
    <w:rsid w:val="006546E4"/>
    <w:rsid w:val="00654C29"/>
    <w:rsid w:val="00655398"/>
    <w:rsid w:val="00656579"/>
    <w:rsid w:val="00656858"/>
    <w:rsid w:val="0065696F"/>
    <w:rsid w:val="00656A4A"/>
    <w:rsid w:val="00657594"/>
    <w:rsid w:val="006576A9"/>
    <w:rsid w:val="00660272"/>
    <w:rsid w:val="00660798"/>
    <w:rsid w:val="006608F2"/>
    <w:rsid w:val="00661D95"/>
    <w:rsid w:val="00662373"/>
    <w:rsid w:val="00662796"/>
    <w:rsid w:val="006629A0"/>
    <w:rsid w:val="00664907"/>
    <w:rsid w:val="00665794"/>
    <w:rsid w:val="00665838"/>
    <w:rsid w:val="00665935"/>
    <w:rsid w:val="00665992"/>
    <w:rsid w:val="00666A17"/>
    <w:rsid w:val="00667AEB"/>
    <w:rsid w:val="006707CA"/>
    <w:rsid w:val="006711F4"/>
    <w:rsid w:val="00671C2F"/>
    <w:rsid w:val="00672164"/>
    <w:rsid w:val="0067337C"/>
    <w:rsid w:val="006740BE"/>
    <w:rsid w:val="00674124"/>
    <w:rsid w:val="00674D2B"/>
    <w:rsid w:val="00675A33"/>
    <w:rsid w:val="00675D05"/>
    <w:rsid w:val="0067665F"/>
    <w:rsid w:val="00676AB3"/>
    <w:rsid w:val="00677D84"/>
    <w:rsid w:val="00680592"/>
    <w:rsid w:val="0068099E"/>
    <w:rsid w:val="00680AB4"/>
    <w:rsid w:val="00682273"/>
    <w:rsid w:val="006825D4"/>
    <w:rsid w:val="006827DB"/>
    <w:rsid w:val="00682AF1"/>
    <w:rsid w:val="00682B17"/>
    <w:rsid w:val="0068358A"/>
    <w:rsid w:val="00683B66"/>
    <w:rsid w:val="00684F65"/>
    <w:rsid w:val="00685710"/>
    <w:rsid w:val="006857EA"/>
    <w:rsid w:val="00685BFE"/>
    <w:rsid w:val="00686A91"/>
    <w:rsid w:val="00686B2E"/>
    <w:rsid w:val="006921FC"/>
    <w:rsid w:val="006924C5"/>
    <w:rsid w:val="00692BA3"/>
    <w:rsid w:val="00692E21"/>
    <w:rsid w:val="0069349F"/>
    <w:rsid w:val="00693CBE"/>
    <w:rsid w:val="00693EA7"/>
    <w:rsid w:val="00694B81"/>
    <w:rsid w:val="00695C00"/>
    <w:rsid w:val="00696AE3"/>
    <w:rsid w:val="00696C82"/>
    <w:rsid w:val="006A1627"/>
    <w:rsid w:val="006A31B8"/>
    <w:rsid w:val="006A31FC"/>
    <w:rsid w:val="006A3CC0"/>
    <w:rsid w:val="006A4026"/>
    <w:rsid w:val="006A50EC"/>
    <w:rsid w:val="006A5CDE"/>
    <w:rsid w:val="006B02BC"/>
    <w:rsid w:val="006B0F12"/>
    <w:rsid w:val="006B14C0"/>
    <w:rsid w:val="006B14EF"/>
    <w:rsid w:val="006B1A59"/>
    <w:rsid w:val="006B309E"/>
    <w:rsid w:val="006B4631"/>
    <w:rsid w:val="006B51AD"/>
    <w:rsid w:val="006B5DBC"/>
    <w:rsid w:val="006B5ECC"/>
    <w:rsid w:val="006B633E"/>
    <w:rsid w:val="006B6F70"/>
    <w:rsid w:val="006C0863"/>
    <w:rsid w:val="006C1840"/>
    <w:rsid w:val="006C1FF5"/>
    <w:rsid w:val="006C2AFB"/>
    <w:rsid w:val="006C2D0E"/>
    <w:rsid w:val="006C3273"/>
    <w:rsid w:val="006C32BF"/>
    <w:rsid w:val="006C4030"/>
    <w:rsid w:val="006C4CBC"/>
    <w:rsid w:val="006C5377"/>
    <w:rsid w:val="006C5EA9"/>
    <w:rsid w:val="006C674D"/>
    <w:rsid w:val="006C6D89"/>
    <w:rsid w:val="006C77B7"/>
    <w:rsid w:val="006D1279"/>
    <w:rsid w:val="006D12BC"/>
    <w:rsid w:val="006D1A02"/>
    <w:rsid w:val="006D2083"/>
    <w:rsid w:val="006D239E"/>
    <w:rsid w:val="006D2464"/>
    <w:rsid w:val="006D297F"/>
    <w:rsid w:val="006D2F79"/>
    <w:rsid w:val="006D333E"/>
    <w:rsid w:val="006D3A2B"/>
    <w:rsid w:val="006D4447"/>
    <w:rsid w:val="006D52C5"/>
    <w:rsid w:val="006D558E"/>
    <w:rsid w:val="006D5AC4"/>
    <w:rsid w:val="006D5DBE"/>
    <w:rsid w:val="006D622D"/>
    <w:rsid w:val="006D63A4"/>
    <w:rsid w:val="006D7A3B"/>
    <w:rsid w:val="006E0E01"/>
    <w:rsid w:val="006E14C7"/>
    <w:rsid w:val="006E15E7"/>
    <w:rsid w:val="006E1EB3"/>
    <w:rsid w:val="006E2268"/>
    <w:rsid w:val="006E33C3"/>
    <w:rsid w:val="006E3513"/>
    <w:rsid w:val="006E3B71"/>
    <w:rsid w:val="006E461B"/>
    <w:rsid w:val="006E5065"/>
    <w:rsid w:val="006E5675"/>
    <w:rsid w:val="006E60C9"/>
    <w:rsid w:val="006E74BD"/>
    <w:rsid w:val="006F0756"/>
    <w:rsid w:val="006F0B32"/>
    <w:rsid w:val="006F1084"/>
    <w:rsid w:val="006F2182"/>
    <w:rsid w:val="006F2458"/>
    <w:rsid w:val="006F2968"/>
    <w:rsid w:val="006F3360"/>
    <w:rsid w:val="006F35A0"/>
    <w:rsid w:val="006F3CED"/>
    <w:rsid w:val="006F404E"/>
    <w:rsid w:val="006F4329"/>
    <w:rsid w:val="006F4446"/>
    <w:rsid w:val="006F54B5"/>
    <w:rsid w:val="006F661A"/>
    <w:rsid w:val="006F6B4A"/>
    <w:rsid w:val="006F71FD"/>
    <w:rsid w:val="006F7E3D"/>
    <w:rsid w:val="006F7FF8"/>
    <w:rsid w:val="00700827"/>
    <w:rsid w:val="0070119C"/>
    <w:rsid w:val="007012D4"/>
    <w:rsid w:val="0070178E"/>
    <w:rsid w:val="00702C9E"/>
    <w:rsid w:val="00702CC2"/>
    <w:rsid w:val="00702D68"/>
    <w:rsid w:val="007032B9"/>
    <w:rsid w:val="00704E1B"/>
    <w:rsid w:val="00705208"/>
    <w:rsid w:val="007053DC"/>
    <w:rsid w:val="00705921"/>
    <w:rsid w:val="0070603B"/>
    <w:rsid w:val="007077FB"/>
    <w:rsid w:val="00710429"/>
    <w:rsid w:val="0071181A"/>
    <w:rsid w:val="00711A1B"/>
    <w:rsid w:val="00711EB8"/>
    <w:rsid w:val="00712391"/>
    <w:rsid w:val="007126F2"/>
    <w:rsid w:val="0071302D"/>
    <w:rsid w:val="0071416E"/>
    <w:rsid w:val="007141BD"/>
    <w:rsid w:val="007142A8"/>
    <w:rsid w:val="00714345"/>
    <w:rsid w:val="0071438C"/>
    <w:rsid w:val="00714D78"/>
    <w:rsid w:val="00715177"/>
    <w:rsid w:val="0071547A"/>
    <w:rsid w:val="007172CE"/>
    <w:rsid w:val="00717503"/>
    <w:rsid w:val="007204F2"/>
    <w:rsid w:val="00720586"/>
    <w:rsid w:val="00720A5E"/>
    <w:rsid w:val="00720ADE"/>
    <w:rsid w:val="00722700"/>
    <w:rsid w:val="00722930"/>
    <w:rsid w:val="00723D1F"/>
    <w:rsid w:val="00724297"/>
    <w:rsid w:val="007268BC"/>
    <w:rsid w:val="00726C1A"/>
    <w:rsid w:val="00726EDA"/>
    <w:rsid w:val="00727343"/>
    <w:rsid w:val="007276D3"/>
    <w:rsid w:val="00727C5B"/>
    <w:rsid w:val="00730837"/>
    <w:rsid w:val="00730B90"/>
    <w:rsid w:val="00731F44"/>
    <w:rsid w:val="00732C58"/>
    <w:rsid w:val="00733947"/>
    <w:rsid w:val="0073529A"/>
    <w:rsid w:val="007353BE"/>
    <w:rsid w:val="007369D3"/>
    <w:rsid w:val="00736C3B"/>
    <w:rsid w:val="00737304"/>
    <w:rsid w:val="00740026"/>
    <w:rsid w:val="007402A7"/>
    <w:rsid w:val="007402C4"/>
    <w:rsid w:val="00741249"/>
    <w:rsid w:val="00741488"/>
    <w:rsid w:val="00742281"/>
    <w:rsid w:val="00742F18"/>
    <w:rsid w:val="007430B4"/>
    <w:rsid w:val="007440C6"/>
    <w:rsid w:val="0074468D"/>
    <w:rsid w:val="007448DA"/>
    <w:rsid w:val="00744C3C"/>
    <w:rsid w:val="00744F44"/>
    <w:rsid w:val="00745C10"/>
    <w:rsid w:val="00746233"/>
    <w:rsid w:val="00746704"/>
    <w:rsid w:val="0074710B"/>
    <w:rsid w:val="007478C3"/>
    <w:rsid w:val="0075023B"/>
    <w:rsid w:val="00750DE1"/>
    <w:rsid w:val="007512C8"/>
    <w:rsid w:val="00751B09"/>
    <w:rsid w:val="0075203B"/>
    <w:rsid w:val="0075216F"/>
    <w:rsid w:val="00753C90"/>
    <w:rsid w:val="00754835"/>
    <w:rsid w:val="00755449"/>
    <w:rsid w:val="0075608A"/>
    <w:rsid w:val="00757AF0"/>
    <w:rsid w:val="00757EDA"/>
    <w:rsid w:val="00761311"/>
    <w:rsid w:val="00761D5E"/>
    <w:rsid w:val="00762CBE"/>
    <w:rsid w:val="00763823"/>
    <w:rsid w:val="0076438C"/>
    <w:rsid w:val="00764C29"/>
    <w:rsid w:val="00764C7D"/>
    <w:rsid w:val="0076513C"/>
    <w:rsid w:val="0076531B"/>
    <w:rsid w:val="00766C9D"/>
    <w:rsid w:val="0077114B"/>
    <w:rsid w:val="0077124B"/>
    <w:rsid w:val="007717DE"/>
    <w:rsid w:val="00771D96"/>
    <w:rsid w:val="00772875"/>
    <w:rsid w:val="00772ED4"/>
    <w:rsid w:val="007734FA"/>
    <w:rsid w:val="0077381E"/>
    <w:rsid w:val="00774035"/>
    <w:rsid w:val="0077424C"/>
    <w:rsid w:val="00774656"/>
    <w:rsid w:val="00774763"/>
    <w:rsid w:val="00775F8E"/>
    <w:rsid w:val="007764DA"/>
    <w:rsid w:val="00776FF6"/>
    <w:rsid w:val="00777CC2"/>
    <w:rsid w:val="007803B1"/>
    <w:rsid w:val="00780D95"/>
    <w:rsid w:val="00781589"/>
    <w:rsid w:val="007817EA"/>
    <w:rsid w:val="00781B10"/>
    <w:rsid w:val="00783662"/>
    <w:rsid w:val="0078384F"/>
    <w:rsid w:val="00783CC9"/>
    <w:rsid w:val="0078427D"/>
    <w:rsid w:val="00784D91"/>
    <w:rsid w:val="00785A10"/>
    <w:rsid w:val="00785D7D"/>
    <w:rsid w:val="007861F2"/>
    <w:rsid w:val="0078657A"/>
    <w:rsid w:val="00786DF5"/>
    <w:rsid w:val="00790BDD"/>
    <w:rsid w:val="00790D7D"/>
    <w:rsid w:val="00791869"/>
    <w:rsid w:val="00791BD3"/>
    <w:rsid w:val="00792484"/>
    <w:rsid w:val="00793268"/>
    <w:rsid w:val="00793BCB"/>
    <w:rsid w:val="00793FAA"/>
    <w:rsid w:val="007943E1"/>
    <w:rsid w:val="007945B4"/>
    <w:rsid w:val="00795398"/>
    <w:rsid w:val="00795DD3"/>
    <w:rsid w:val="007961C6"/>
    <w:rsid w:val="00796DBF"/>
    <w:rsid w:val="00797040"/>
    <w:rsid w:val="0079731B"/>
    <w:rsid w:val="0079773D"/>
    <w:rsid w:val="007A003C"/>
    <w:rsid w:val="007A0265"/>
    <w:rsid w:val="007A035A"/>
    <w:rsid w:val="007A0BDD"/>
    <w:rsid w:val="007A1366"/>
    <w:rsid w:val="007A1672"/>
    <w:rsid w:val="007A23EC"/>
    <w:rsid w:val="007A264E"/>
    <w:rsid w:val="007A296A"/>
    <w:rsid w:val="007A3632"/>
    <w:rsid w:val="007A4099"/>
    <w:rsid w:val="007A45D5"/>
    <w:rsid w:val="007A4870"/>
    <w:rsid w:val="007A4F66"/>
    <w:rsid w:val="007A5AF1"/>
    <w:rsid w:val="007A6FC0"/>
    <w:rsid w:val="007A75A1"/>
    <w:rsid w:val="007A7AF5"/>
    <w:rsid w:val="007A7C8D"/>
    <w:rsid w:val="007A7DAC"/>
    <w:rsid w:val="007A7DDE"/>
    <w:rsid w:val="007B01E5"/>
    <w:rsid w:val="007B2502"/>
    <w:rsid w:val="007B25E5"/>
    <w:rsid w:val="007B2C69"/>
    <w:rsid w:val="007B2E7B"/>
    <w:rsid w:val="007B322E"/>
    <w:rsid w:val="007B326B"/>
    <w:rsid w:val="007B32D7"/>
    <w:rsid w:val="007B37B2"/>
    <w:rsid w:val="007B37BC"/>
    <w:rsid w:val="007B46A1"/>
    <w:rsid w:val="007B5C3E"/>
    <w:rsid w:val="007B670D"/>
    <w:rsid w:val="007B7A09"/>
    <w:rsid w:val="007C00FA"/>
    <w:rsid w:val="007C10CF"/>
    <w:rsid w:val="007C14C0"/>
    <w:rsid w:val="007C36D7"/>
    <w:rsid w:val="007C3C37"/>
    <w:rsid w:val="007C5AE9"/>
    <w:rsid w:val="007C5C8C"/>
    <w:rsid w:val="007C5CDA"/>
    <w:rsid w:val="007C63FB"/>
    <w:rsid w:val="007C6DB0"/>
    <w:rsid w:val="007C7276"/>
    <w:rsid w:val="007C7ED1"/>
    <w:rsid w:val="007D0808"/>
    <w:rsid w:val="007D17BE"/>
    <w:rsid w:val="007D1AFA"/>
    <w:rsid w:val="007D27AE"/>
    <w:rsid w:val="007D2915"/>
    <w:rsid w:val="007D2E82"/>
    <w:rsid w:val="007D387F"/>
    <w:rsid w:val="007D3DE9"/>
    <w:rsid w:val="007D3E4E"/>
    <w:rsid w:val="007D49C4"/>
    <w:rsid w:val="007D5FE6"/>
    <w:rsid w:val="007D70B6"/>
    <w:rsid w:val="007E07A0"/>
    <w:rsid w:val="007E081D"/>
    <w:rsid w:val="007E0F12"/>
    <w:rsid w:val="007E2516"/>
    <w:rsid w:val="007E302B"/>
    <w:rsid w:val="007E39C7"/>
    <w:rsid w:val="007E3FE3"/>
    <w:rsid w:val="007E43EB"/>
    <w:rsid w:val="007E4439"/>
    <w:rsid w:val="007E5102"/>
    <w:rsid w:val="007E5F74"/>
    <w:rsid w:val="007E5FEC"/>
    <w:rsid w:val="007E60D6"/>
    <w:rsid w:val="007E68D3"/>
    <w:rsid w:val="007E6D19"/>
    <w:rsid w:val="007E6E4C"/>
    <w:rsid w:val="007E6F9F"/>
    <w:rsid w:val="007E7D5C"/>
    <w:rsid w:val="007F07D4"/>
    <w:rsid w:val="007F0F58"/>
    <w:rsid w:val="007F13A5"/>
    <w:rsid w:val="007F2596"/>
    <w:rsid w:val="007F2F9E"/>
    <w:rsid w:val="007F3425"/>
    <w:rsid w:val="007F4F52"/>
    <w:rsid w:val="007F5819"/>
    <w:rsid w:val="007F5F7A"/>
    <w:rsid w:val="007F6263"/>
    <w:rsid w:val="007F6C07"/>
    <w:rsid w:val="007F7A4B"/>
    <w:rsid w:val="007F7BD6"/>
    <w:rsid w:val="0080031A"/>
    <w:rsid w:val="0080122C"/>
    <w:rsid w:val="00801A5B"/>
    <w:rsid w:val="00801F24"/>
    <w:rsid w:val="008025A9"/>
    <w:rsid w:val="00803073"/>
    <w:rsid w:val="00803453"/>
    <w:rsid w:val="00803577"/>
    <w:rsid w:val="008039BA"/>
    <w:rsid w:val="008055B9"/>
    <w:rsid w:val="008060DD"/>
    <w:rsid w:val="00806F13"/>
    <w:rsid w:val="00807852"/>
    <w:rsid w:val="00807A8B"/>
    <w:rsid w:val="00807EDD"/>
    <w:rsid w:val="008118AB"/>
    <w:rsid w:val="008119CB"/>
    <w:rsid w:val="00811A32"/>
    <w:rsid w:val="00811B0E"/>
    <w:rsid w:val="00811DB9"/>
    <w:rsid w:val="008130C9"/>
    <w:rsid w:val="00814084"/>
    <w:rsid w:val="008141BB"/>
    <w:rsid w:val="00814853"/>
    <w:rsid w:val="00816A26"/>
    <w:rsid w:val="008177EE"/>
    <w:rsid w:val="00817F43"/>
    <w:rsid w:val="00820052"/>
    <w:rsid w:val="008203D5"/>
    <w:rsid w:val="008204B5"/>
    <w:rsid w:val="0082069F"/>
    <w:rsid w:val="00820C39"/>
    <w:rsid w:val="00820D71"/>
    <w:rsid w:val="00821480"/>
    <w:rsid w:val="00821CE8"/>
    <w:rsid w:val="00821D71"/>
    <w:rsid w:val="00821EA0"/>
    <w:rsid w:val="008220BC"/>
    <w:rsid w:val="00822C4D"/>
    <w:rsid w:val="00822DBD"/>
    <w:rsid w:val="00823AE3"/>
    <w:rsid w:val="008262CB"/>
    <w:rsid w:val="008272D9"/>
    <w:rsid w:val="0083095E"/>
    <w:rsid w:val="00831728"/>
    <w:rsid w:val="008324F0"/>
    <w:rsid w:val="00833313"/>
    <w:rsid w:val="008336E1"/>
    <w:rsid w:val="008341EC"/>
    <w:rsid w:val="00834748"/>
    <w:rsid w:val="00834A21"/>
    <w:rsid w:val="00835050"/>
    <w:rsid w:val="008353BF"/>
    <w:rsid w:val="008355AE"/>
    <w:rsid w:val="00835E88"/>
    <w:rsid w:val="00837396"/>
    <w:rsid w:val="008374B7"/>
    <w:rsid w:val="00837834"/>
    <w:rsid w:val="00837A5F"/>
    <w:rsid w:val="00837F6A"/>
    <w:rsid w:val="00840B9E"/>
    <w:rsid w:val="00840FAD"/>
    <w:rsid w:val="00841773"/>
    <w:rsid w:val="00841B35"/>
    <w:rsid w:val="008422AB"/>
    <w:rsid w:val="0084248C"/>
    <w:rsid w:val="00842A7E"/>
    <w:rsid w:val="00842B1B"/>
    <w:rsid w:val="00842E11"/>
    <w:rsid w:val="00842EE3"/>
    <w:rsid w:val="00843123"/>
    <w:rsid w:val="008432E5"/>
    <w:rsid w:val="008434C8"/>
    <w:rsid w:val="00843D2C"/>
    <w:rsid w:val="00844409"/>
    <w:rsid w:val="008445FB"/>
    <w:rsid w:val="008446DA"/>
    <w:rsid w:val="00845B41"/>
    <w:rsid w:val="00850E5B"/>
    <w:rsid w:val="00851D23"/>
    <w:rsid w:val="00852188"/>
    <w:rsid w:val="008528E7"/>
    <w:rsid w:val="008534B4"/>
    <w:rsid w:val="008538B7"/>
    <w:rsid w:val="008544F0"/>
    <w:rsid w:val="008557BA"/>
    <w:rsid w:val="00855BAA"/>
    <w:rsid w:val="008565ED"/>
    <w:rsid w:val="00856A2E"/>
    <w:rsid w:val="008570D7"/>
    <w:rsid w:val="008572B2"/>
    <w:rsid w:val="00860156"/>
    <w:rsid w:val="008608A4"/>
    <w:rsid w:val="00860A0C"/>
    <w:rsid w:val="00861E5A"/>
    <w:rsid w:val="00865512"/>
    <w:rsid w:val="00865983"/>
    <w:rsid w:val="00866084"/>
    <w:rsid w:val="00866825"/>
    <w:rsid w:val="00866BDA"/>
    <w:rsid w:val="00866C43"/>
    <w:rsid w:val="00867303"/>
    <w:rsid w:val="00867603"/>
    <w:rsid w:val="00867D68"/>
    <w:rsid w:val="00867F1C"/>
    <w:rsid w:val="008701BF"/>
    <w:rsid w:val="00870550"/>
    <w:rsid w:val="00870A70"/>
    <w:rsid w:val="00870D16"/>
    <w:rsid w:val="008715F2"/>
    <w:rsid w:val="008716B3"/>
    <w:rsid w:val="00872AAE"/>
    <w:rsid w:val="00872CA3"/>
    <w:rsid w:val="00872D76"/>
    <w:rsid w:val="0087380C"/>
    <w:rsid w:val="00874B71"/>
    <w:rsid w:val="00874F46"/>
    <w:rsid w:val="008756FE"/>
    <w:rsid w:val="008762E5"/>
    <w:rsid w:val="008768D8"/>
    <w:rsid w:val="00876D6A"/>
    <w:rsid w:val="008774CD"/>
    <w:rsid w:val="008801C9"/>
    <w:rsid w:val="00880532"/>
    <w:rsid w:val="008810D5"/>
    <w:rsid w:val="00881BBE"/>
    <w:rsid w:val="0088252A"/>
    <w:rsid w:val="008834BD"/>
    <w:rsid w:val="008841B9"/>
    <w:rsid w:val="008846CC"/>
    <w:rsid w:val="0088529E"/>
    <w:rsid w:val="008863EF"/>
    <w:rsid w:val="008866FF"/>
    <w:rsid w:val="0088744F"/>
    <w:rsid w:val="00887E56"/>
    <w:rsid w:val="008900B5"/>
    <w:rsid w:val="0089045D"/>
    <w:rsid w:val="008912D5"/>
    <w:rsid w:val="008914EF"/>
    <w:rsid w:val="00891954"/>
    <w:rsid w:val="00891FC3"/>
    <w:rsid w:val="00891FFB"/>
    <w:rsid w:val="008929FB"/>
    <w:rsid w:val="00892E5D"/>
    <w:rsid w:val="008930D8"/>
    <w:rsid w:val="00893A15"/>
    <w:rsid w:val="008941AC"/>
    <w:rsid w:val="0089475B"/>
    <w:rsid w:val="00894C3D"/>
    <w:rsid w:val="00896FED"/>
    <w:rsid w:val="00897B3E"/>
    <w:rsid w:val="008A0096"/>
    <w:rsid w:val="008A1620"/>
    <w:rsid w:val="008A16D5"/>
    <w:rsid w:val="008A17AC"/>
    <w:rsid w:val="008A2014"/>
    <w:rsid w:val="008A301A"/>
    <w:rsid w:val="008A3358"/>
    <w:rsid w:val="008A3826"/>
    <w:rsid w:val="008A38B9"/>
    <w:rsid w:val="008A58E5"/>
    <w:rsid w:val="008A5FF8"/>
    <w:rsid w:val="008A60BC"/>
    <w:rsid w:val="008A6719"/>
    <w:rsid w:val="008A6DDE"/>
    <w:rsid w:val="008A726B"/>
    <w:rsid w:val="008A729D"/>
    <w:rsid w:val="008A765B"/>
    <w:rsid w:val="008A76EB"/>
    <w:rsid w:val="008A790D"/>
    <w:rsid w:val="008A7A6B"/>
    <w:rsid w:val="008B0D17"/>
    <w:rsid w:val="008B29B2"/>
    <w:rsid w:val="008B3A55"/>
    <w:rsid w:val="008B3FA8"/>
    <w:rsid w:val="008B4057"/>
    <w:rsid w:val="008B4AA2"/>
    <w:rsid w:val="008B4BD8"/>
    <w:rsid w:val="008B5312"/>
    <w:rsid w:val="008B5B6D"/>
    <w:rsid w:val="008B6229"/>
    <w:rsid w:val="008B6E4F"/>
    <w:rsid w:val="008B7D01"/>
    <w:rsid w:val="008B7E91"/>
    <w:rsid w:val="008C0C21"/>
    <w:rsid w:val="008C0D0D"/>
    <w:rsid w:val="008C18DE"/>
    <w:rsid w:val="008C26D3"/>
    <w:rsid w:val="008C3D11"/>
    <w:rsid w:val="008C4BF8"/>
    <w:rsid w:val="008C4C7E"/>
    <w:rsid w:val="008C50FE"/>
    <w:rsid w:val="008C56D3"/>
    <w:rsid w:val="008C5875"/>
    <w:rsid w:val="008C5A6D"/>
    <w:rsid w:val="008C5AB6"/>
    <w:rsid w:val="008C5B26"/>
    <w:rsid w:val="008C67F2"/>
    <w:rsid w:val="008C76CC"/>
    <w:rsid w:val="008C7B41"/>
    <w:rsid w:val="008C7F00"/>
    <w:rsid w:val="008D0668"/>
    <w:rsid w:val="008D0CC7"/>
    <w:rsid w:val="008D17A2"/>
    <w:rsid w:val="008D1954"/>
    <w:rsid w:val="008D1D74"/>
    <w:rsid w:val="008D1DB8"/>
    <w:rsid w:val="008D3831"/>
    <w:rsid w:val="008D3A33"/>
    <w:rsid w:val="008D4119"/>
    <w:rsid w:val="008D49B7"/>
    <w:rsid w:val="008D50C2"/>
    <w:rsid w:val="008D5946"/>
    <w:rsid w:val="008D68F1"/>
    <w:rsid w:val="008D74BD"/>
    <w:rsid w:val="008D7848"/>
    <w:rsid w:val="008D7FCB"/>
    <w:rsid w:val="008E0382"/>
    <w:rsid w:val="008E1803"/>
    <w:rsid w:val="008E4EB5"/>
    <w:rsid w:val="008E52BF"/>
    <w:rsid w:val="008E5682"/>
    <w:rsid w:val="008E587F"/>
    <w:rsid w:val="008E6914"/>
    <w:rsid w:val="008E6E3D"/>
    <w:rsid w:val="008E7730"/>
    <w:rsid w:val="008F0226"/>
    <w:rsid w:val="008F0B5E"/>
    <w:rsid w:val="008F2334"/>
    <w:rsid w:val="008F3334"/>
    <w:rsid w:val="008F3770"/>
    <w:rsid w:val="008F3E04"/>
    <w:rsid w:val="008F5821"/>
    <w:rsid w:val="008F7C1C"/>
    <w:rsid w:val="00902493"/>
    <w:rsid w:val="00902971"/>
    <w:rsid w:val="00902D82"/>
    <w:rsid w:val="00903CB3"/>
    <w:rsid w:val="00903D66"/>
    <w:rsid w:val="0090458D"/>
    <w:rsid w:val="009045E5"/>
    <w:rsid w:val="00905442"/>
    <w:rsid w:val="00911627"/>
    <w:rsid w:val="00911D94"/>
    <w:rsid w:val="00911EED"/>
    <w:rsid w:val="0091215C"/>
    <w:rsid w:val="00913033"/>
    <w:rsid w:val="00913058"/>
    <w:rsid w:val="0091353B"/>
    <w:rsid w:val="00914119"/>
    <w:rsid w:val="00914574"/>
    <w:rsid w:val="009150F8"/>
    <w:rsid w:val="00915208"/>
    <w:rsid w:val="00915D11"/>
    <w:rsid w:val="00916128"/>
    <w:rsid w:val="00916222"/>
    <w:rsid w:val="009162CA"/>
    <w:rsid w:val="009164F2"/>
    <w:rsid w:val="009212A1"/>
    <w:rsid w:val="009213A8"/>
    <w:rsid w:val="009217E5"/>
    <w:rsid w:val="00921A97"/>
    <w:rsid w:val="00921B36"/>
    <w:rsid w:val="00923372"/>
    <w:rsid w:val="00923505"/>
    <w:rsid w:val="00924DF1"/>
    <w:rsid w:val="00925FB4"/>
    <w:rsid w:val="00926859"/>
    <w:rsid w:val="00926C04"/>
    <w:rsid w:val="00927752"/>
    <w:rsid w:val="00927801"/>
    <w:rsid w:val="00930073"/>
    <w:rsid w:val="009303FA"/>
    <w:rsid w:val="00930452"/>
    <w:rsid w:val="00930782"/>
    <w:rsid w:val="00931A60"/>
    <w:rsid w:val="0093384A"/>
    <w:rsid w:val="00933A7F"/>
    <w:rsid w:val="009341D8"/>
    <w:rsid w:val="00934F29"/>
    <w:rsid w:val="00935EBA"/>
    <w:rsid w:val="00935F37"/>
    <w:rsid w:val="00935F9A"/>
    <w:rsid w:val="00936671"/>
    <w:rsid w:val="0093709D"/>
    <w:rsid w:val="0093737A"/>
    <w:rsid w:val="0093775E"/>
    <w:rsid w:val="009402FF"/>
    <w:rsid w:val="00940EAD"/>
    <w:rsid w:val="00941D61"/>
    <w:rsid w:val="009426AA"/>
    <w:rsid w:val="00944E66"/>
    <w:rsid w:val="00945772"/>
    <w:rsid w:val="00945E00"/>
    <w:rsid w:val="009474C1"/>
    <w:rsid w:val="00947508"/>
    <w:rsid w:val="00947945"/>
    <w:rsid w:val="00947A7E"/>
    <w:rsid w:val="00950251"/>
    <w:rsid w:val="0095100E"/>
    <w:rsid w:val="00951046"/>
    <w:rsid w:val="00951057"/>
    <w:rsid w:val="00951532"/>
    <w:rsid w:val="009517EE"/>
    <w:rsid w:val="009521AF"/>
    <w:rsid w:val="00952BD0"/>
    <w:rsid w:val="00953A58"/>
    <w:rsid w:val="00953DAD"/>
    <w:rsid w:val="009544E0"/>
    <w:rsid w:val="009551B3"/>
    <w:rsid w:val="009552BD"/>
    <w:rsid w:val="009568E5"/>
    <w:rsid w:val="00957116"/>
    <w:rsid w:val="00957E78"/>
    <w:rsid w:val="0096045F"/>
    <w:rsid w:val="009605FA"/>
    <w:rsid w:val="00961894"/>
    <w:rsid w:val="00962207"/>
    <w:rsid w:val="009625F3"/>
    <w:rsid w:val="00962729"/>
    <w:rsid w:val="0096315E"/>
    <w:rsid w:val="00964FA5"/>
    <w:rsid w:val="0096503E"/>
    <w:rsid w:val="009656AD"/>
    <w:rsid w:val="009667E6"/>
    <w:rsid w:val="00967318"/>
    <w:rsid w:val="00967DF8"/>
    <w:rsid w:val="009708ED"/>
    <w:rsid w:val="0097189B"/>
    <w:rsid w:val="00971C6E"/>
    <w:rsid w:val="009722B0"/>
    <w:rsid w:val="00972660"/>
    <w:rsid w:val="00974223"/>
    <w:rsid w:val="00974883"/>
    <w:rsid w:val="00974D76"/>
    <w:rsid w:val="0097576A"/>
    <w:rsid w:val="00975FBE"/>
    <w:rsid w:val="009765BE"/>
    <w:rsid w:val="00976DCC"/>
    <w:rsid w:val="00977172"/>
    <w:rsid w:val="0097786C"/>
    <w:rsid w:val="0098005D"/>
    <w:rsid w:val="009802D4"/>
    <w:rsid w:val="009808A1"/>
    <w:rsid w:val="00980FF2"/>
    <w:rsid w:val="009816D1"/>
    <w:rsid w:val="00981CD0"/>
    <w:rsid w:val="00982543"/>
    <w:rsid w:val="00982C9C"/>
    <w:rsid w:val="00983460"/>
    <w:rsid w:val="00983B0C"/>
    <w:rsid w:val="009845B5"/>
    <w:rsid w:val="00984EDD"/>
    <w:rsid w:val="0098582B"/>
    <w:rsid w:val="00985934"/>
    <w:rsid w:val="00985E71"/>
    <w:rsid w:val="00986039"/>
    <w:rsid w:val="009862C9"/>
    <w:rsid w:val="00986C70"/>
    <w:rsid w:val="00987136"/>
    <w:rsid w:val="0098759B"/>
    <w:rsid w:val="009875C2"/>
    <w:rsid w:val="00987F2D"/>
    <w:rsid w:val="00987F6E"/>
    <w:rsid w:val="00990481"/>
    <w:rsid w:val="00990910"/>
    <w:rsid w:val="00990FF7"/>
    <w:rsid w:val="00991559"/>
    <w:rsid w:val="00992BD1"/>
    <w:rsid w:val="0099347B"/>
    <w:rsid w:val="0099374A"/>
    <w:rsid w:val="00993B5F"/>
    <w:rsid w:val="00993C26"/>
    <w:rsid w:val="009953E6"/>
    <w:rsid w:val="009961F8"/>
    <w:rsid w:val="00996E3A"/>
    <w:rsid w:val="009A04FD"/>
    <w:rsid w:val="009A0A1A"/>
    <w:rsid w:val="009A0FD0"/>
    <w:rsid w:val="009A2201"/>
    <w:rsid w:val="009A2C09"/>
    <w:rsid w:val="009A3223"/>
    <w:rsid w:val="009A3750"/>
    <w:rsid w:val="009A3F18"/>
    <w:rsid w:val="009A4CB3"/>
    <w:rsid w:val="009A4F9A"/>
    <w:rsid w:val="009A6817"/>
    <w:rsid w:val="009B0A62"/>
    <w:rsid w:val="009B0CC4"/>
    <w:rsid w:val="009B15D7"/>
    <w:rsid w:val="009B200F"/>
    <w:rsid w:val="009B2EF4"/>
    <w:rsid w:val="009B3A99"/>
    <w:rsid w:val="009B4271"/>
    <w:rsid w:val="009B49EC"/>
    <w:rsid w:val="009B4B7B"/>
    <w:rsid w:val="009B4FDF"/>
    <w:rsid w:val="009B56CE"/>
    <w:rsid w:val="009B7314"/>
    <w:rsid w:val="009B783E"/>
    <w:rsid w:val="009B78C2"/>
    <w:rsid w:val="009C1111"/>
    <w:rsid w:val="009C15A5"/>
    <w:rsid w:val="009C1D74"/>
    <w:rsid w:val="009C2B06"/>
    <w:rsid w:val="009C2CF4"/>
    <w:rsid w:val="009C3C66"/>
    <w:rsid w:val="009C3CCA"/>
    <w:rsid w:val="009C4095"/>
    <w:rsid w:val="009C4265"/>
    <w:rsid w:val="009C5093"/>
    <w:rsid w:val="009C55D0"/>
    <w:rsid w:val="009C6E26"/>
    <w:rsid w:val="009C7E34"/>
    <w:rsid w:val="009D0364"/>
    <w:rsid w:val="009D0767"/>
    <w:rsid w:val="009D099A"/>
    <w:rsid w:val="009D1139"/>
    <w:rsid w:val="009D18DB"/>
    <w:rsid w:val="009D2508"/>
    <w:rsid w:val="009D2D4A"/>
    <w:rsid w:val="009D2EE6"/>
    <w:rsid w:val="009D3356"/>
    <w:rsid w:val="009D3619"/>
    <w:rsid w:val="009D3A8B"/>
    <w:rsid w:val="009D4309"/>
    <w:rsid w:val="009D489B"/>
    <w:rsid w:val="009D48EC"/>
    <w:rsid w:val="009D4BC6"/>
    <w:rsid w:val="009D52B6"/>
    <w:rsid w:val="009D55C7"/>
    <w:rsid w:val="009D5779"/>
    <w:rsid w:val="009D5CC2"/>
    <w:rsid w:val="009D5E62"/>
    <w:rsid w:val="009D63BF"/>
    <w:rsid w:val="009D651B"/>
    <w:rsid w:val="009D7498"/>
    <w:rsid w:val="009E032C"/>
    <w:rsid w:val="009E181F"/>
    <w:rsid w:val="009E2224"/>
    <w:rsid w:val="009E3AA2"/>
    <w:rsid w:val="009E3ADE"/>
    <w:rsid w:val="009E3C3E"/>
    <w:rsid w:val="009E489A"/>
    <w:rsid w:val="009E4B54"/>
    <w:rsid w:val="009E4F2B"/>
    <w:rsid w:val="009E6802"/>
    <w:rsid w:val="009F1089"/>
    <w:rsid w:val="009F2428"/>
    <w:rsid w:val="009F2E49"/>
    <w:rsid w:val="009F3567"/>
    <w:rsid w:val="009F3C37"/>
    <w:rsid w:val="009F3C9B"/>
    <w:rsid w:val="009F3E56"/>
    <w:rsid w:val="009F4DC2"/>
    <w:rsid w:val="009F5775"/>
    <w:rsid w:val="009F5FC6"/>
    <w:rsid w:val="009F625B"/>
    <w:rsid w:val="009F6C6B"/>
    <w:rsid w:val="009F714D"/>
    <w:rsid w:val="00A00245"/>
    <w:rsid w:val="00A0032B"/>
    <w:rsid w:val="00A0135D"/>
    <w:rsid w:val="00A016DC"/>
    <w:rsid w:val="00A02473"/>
    <w:rsid w:val="00A026CC"/>
    <w:rsid w:val="00A03BBC"/>
    <w:rsid w:val="00A04692"/>
    <w:rsid w:val="00A050D0"/>
    <w:rsid w:val="00A054B2"/>
    <w:rsid w:val="00A05DB2"/>
    <w:rsid w:val="00A0625A"/>
    <w:rsid w:val="00A078C6"/>
    <w:rsid w:val="00A07958"/>
    <w:rsid w:val="00A1051A"/>
    <w:rsid w:val="00A10889"/>
    <w:rsid w:val="00A11F7E"/>
    <w:rsid w:val="00A120A2"/>
    <w:rsid w:val="00A12474"/>
    <w:rsid w:val="00A13D29"/>
    <w:rsid w:val="00A1412B"/>
    <w:rsid w:val="00A146BF"/>
    <w:rsid w:val="00A14825"/>
    <w:rsid w:val="00A14BCF"/>
    <w:rsid w:val="00A14F07"/>
    <w:rsid w:val="00A15215"/>
    <w:rsid w:val="00A15B0D"/>
    <w:rsid w:val="00A15E6A"/>
    <w:rsid w:val="00A20926"/>
    <w:rsid w:val="00A2112E"/>
    <w:rsid w:val="00A22E54"/>
    <w:rsid w:val="00A23418"/>
    <w:rsid w:val="00A23770"/>
    <w:rsid w:val="00A246C5"/>
    <w:rsid w:val="00A24F62"/>
    <w:rsid w:val="00A25B8F"/>
    <w:rsid w:val="00A25D70"/>
    <w:rsid w:val="00A26751"/>
    <w:rsid w:val="00A270DB"/>
    <w:rsid w:val="00A27521"/>
    <w:rsid w:val="00A27815"/>
    <w:rsid w:val="00A30D36"/>
    <w:rsid w:val="00A321B0"/>
    <w:rsid w:val="00A324C8"/>
    <w:rsid w:val="00A32B5D"/>
    <w:rsid w:val="00A32E13"/>
    <w:rsid w:val="00A33BD2"/>
    <w:rsid w:val="00A3414D"/>
    <w:rsid w:val="00A3419A"/>
    <w:rsid w:val="00A342F5"/>
    <w:rsid w:val="00A34B28"/>
    <w:rsid w:val="00A34D17"/>
    <w:rsid w:val="00A34D1B"/>
    <w:rsid w:val="00A36623"/>
    <w:rsid w:val="00A409D6"/>
    <w:rsid w:val="00A41182"/>
    <w:rsid w:val="00A412F7"/>
    <w:rsid w:val="00A419E7"/>
    <w:rsid w:val="00A41C49"/>
    <w:rsid w:val="00A41F27"/>
    <w:rsid w:val="00A42091"/>
    <w:rsid w:val="00A421F2"/>
    <w:rsid w:val="00A427EF"/>
    <w:rsid w:val="00A4284E"/>
    <w:rsid w:val="00A42EAC"/>
    <w:rsid w:val="00A435D2"/>
    <w:rsid w:val="00A44328"/>
    <w:rsid w:val="00A44983"/>
    <w:rsid w:val="00A44DCB"/>
    <w:rsid w:val="00A45EE6"/>
    <w:rsid w:val="00A461A9"/>
    <w:rsid w:val="00A4680D"/>
    <w:rsid w:val="00A46A67"/>
    <w:rsid w:val="00A46F84"/>
    <w:rsid w:val="00A47063"/>
    <w:rsid w:val="00A51677"/>
    <w:rsid w:val="00A51B11"/>
    <w:rsid w:val="00A52620"/>
    <w:rsid w:val="00A52F12"/>
    <w:rsid w:val="00A53092"/>
    <w:rsid w:val="00A5373B"/>
    <w:rsid w:val="00A53EB0"/>
    <w:rsid w:val="00A53F4B"/>
    <w:rsid w:val="00A54BA6"/>
    <w:rsid w:val="00A558C0"/>
    <w:rsid w:val="00A56479"/>
    <w:rsid w:val="00A5670E"/>
    <w:rsid w:val="00A56A5D"/>
    <w:rsid w:val="00A56FA6"/>
    <w:rsid w:val="00A57138"/>
    <w:rsid w:val="00A5723B"/>
    <w:rsid w:val="00A57469"/>
    <w:rsid w:val="00A576FC"/>
    <w:rsid w:val="00A57B16"/>
    <w:rsid w:val="00A60174"/>
    <w:rsid w:val="00A611C5"/>
    <w:rsid w:val="00A6140D"/>
    <w:rsid w:val="00A61AC5"/>
    <w:rsid w:val="00A61D8D"/>
    <w:rsid w:val="00A62913"/>
    <w:rsid w:val="00A63028"/>
    <w:rsid w:val="00A6461D"/>
    <w:rsid w:val="00A6465E"/>
    <w:rsid w:val="00A64703"/>
    <w:rsid w:val="00A650CC"/>
    <w:rsid w:val="00A6549A"/>
    <w:rsid w:val="00A654A8"/>
    <w:rsid w:val="00A66CA4"/>
    <w:rsid w:val="00A67C8F"/>
    <w:rsid w:val="00A7066F"/>
    <w:rsid w:val="00A714CF"/>
    <w:rsid w:val="00A72029"/>
    <w:rsid w:val="00A7253D"/>
    <w:rsid w:val="00A73EEE"/>
    <w:rsid w:val="00A74B1D"/>
    <w:rsid w:val="00A74CF5"/>
    <w:rsid w:val="00A763FC"/>
    <w:rsid w:val="00A765BC"/>
    <w:rsid w:val="00A77786"/>
    <w:rsid w:val="00A81910"/>
    <w:rsid w:val="00A81FD8"/>
    <w:rsid w:val="00A82A4C"/>
    <w:rsid w:val="00A83233"/>
    <w:rsid w:val="00A865B6"/>
    <w:rsid w:val="00A86FD7"/>
    <w:rsid w:val="00A87ABC"/>
    <w:rsid w:val="00A87BD9"/>
    <w:rsid w:val="00A87D7C"/>
    <w:rsid w:val="00A907E7"/>
    <w:rsid w:val="00A90DDC"/>
    <w:rsid w:val="00A91A86"/>
    <w:rsid w:val="00A91AFA"/>
    <w:rsid w:val="00A91B81"/>
    <w:rsid w:val="00A926A3"/>
    <w:rsid w:val="00A929E0"/>
    <w:rsid w:val="00A9514B"/>
    <w:rsid w:val="00A9591D"/>
    <w:rsid w:val="00A97D66"/>
    <w:rsid w:val="00AA0BFF"/>
    <w:rsid w:val="00AA1376"/>
    <w:rsid w:val="00AA280E"/>
    <w:rsid w:val="00AA31CB"/>
    <w:rsid w:val="00AA3999"/>
    <w:rsid w:val="00AA3B92"/>
    <w:rsid w:val="00AA3DC5"/>
    <w:rsid w:val="00AA3E90"/>
    <w:rsid w:val="00AA49EB"/>
    <w:rsid w:val="00AA525A"/>
    <w:rsid w:val="00AA5292"/>
    <w:rsid w:val="00AA6536"/>
    <w:rsid w:val="00AA6716"/>
    <w:rsid w:val="00AA7B72"/>
    <w:rsid w:val="00AB163A"/>
    <w:rsid w:val="00AB1818"/>
    <w:rsid w:val="00AB1A46"/>
    <w:rsid w:val="00AB2021"/>
    <w:rsid w:val="00AB31A6"/>
    <w:rsid w:val="00AB33E8"/>
    <w:rsid w:val="00AB36D3"/>
    <w:rsid w:val="00AB48D7"/>
    <w:rsid w:val="00AB54A6"/>
    <w:rsid w:val="00AB5D15"/>
    <w:rsid w:val="00AB68A9"/>
    <w:rsid w:val="00AB6937"/>
    <w:rsid w:val="00AB70F7"/>
    <w:rsid w:val="00AC00F0"/>
    <w:rsid w:val="00AC0D37"/>
    <w:rsid w:val="00AC0DB6"/>
    <w:rsid w:val="00AC0FE6"/>
    <w:rsid w:val="00AC1651"/>
    <w:rsid w:val="00AC1C3A"/>
    <w:rsid w:val="00AC2A59"/>
    <w:rsid w:val="00AC2A6E"/>
    <w:rsid w:val="00AC304F"/>
    <w:rsid w:val="00AC4038"/>
    <w:rsid w:val="00AC443D"/>
    <w:rsid w:val="00AC4580"/>
    <w:rsid w:val="00AC5006"/>
    <w:rsid w:val="00AC50ED"/>
    <w:rsid w:val="00AC63E7"/>
    <w:rsid w:val="00AC682F"/>
    <w:rsid w:val="00AC78A2"/>
    <w:rsid w:val="00AC7F6D"/>
    <w:rsid w:val="00AD08DA"/>
    <w:rsid w:val="00AD09D3"/>
    <w:rsid w:val="00AD0E3A"/>
    <w:rsid w:val="00AD1838"/>
    <w:rsid w:val="00AD19FB"/>
    <w:rsid w:val="00AD332D"/>
    <w:rsid w:val="00AD37C9"/>
    <w:rsid w:val="00AD3F21"/>
    <w:rsid w:val="00AD4E3D"/>
    <w:rsid w:val="00AD5B5D"/>
    <w:rsid w:val="00AD69B0"/>
    <w:rsid w:val="00AD6A3E"/>
    <w:rsid w:val="00AD73EC"/>
    <w:rsid w:val="00AD7606"/>
    <w:rsid w:val="00AE051D"/>
    <w:rsid w:val="00AE19CF"/>
    <w:rsid w:val="00AE1A79"/>
    <w:rsid w:val="00AE2E73"/>
    <w:rsid w:val="00AE3939"/>
    <w:rsid w:val="00AE3B2B"/>
    <w:rsid w:val="00AE5CEE"/>
    <w:rsid w:val="00AE6662"/>
    <w:rsid w:val="00AE6D6A"/>
    <w:rsid w:val="00AE7211"/>
    <w:rsid w:val="00AE769B"/>
    <w:rsid w:val="00AE7C55"/>
    <w:rsid w:val="00AE7FE7"/>
    <w:rsid w:val="00AF000C"/>
    <w:rsid w:val="00AF0946"/>
    <w:rsid w:val="00AF0AE7"/>
    <w:rsid w:val="00AF2364"/>
    <w:rsid w:val="00AF26D4"/>
    <w:rsid w:val="00AF2C62"/>
    <w:rsid w:val="00AF2EAB"/>
    <w:rsid w:val="00AF3268"/>
    <w:rsid w:val="00AF3470"/>
    <w:rsid w:val="00AF3948"/>
    <w:rsid w:val="00AF39E3"/>
    <w:rsid w:val="00AF4485"/>
    <w:rsid w:val="00AF46DB"/>
    <w:rsid w:val="00AF4C03"/>
    <w:rsid w:val="00AF4D9A"/>
    <w:rsid w:val="00AF529C"/>
    <w:rsid w:val="00AF5C5D"/>
    <w:rsid w:val="00AF65D5"/>
    <w:rsid w:val="00AF6E1D"/>
    <w:rsid w:val="00AF7DC1"/>
    <w:rsid w:val="00B009D3"/>
    <w:rsid w:val="00B00A69"/>
    <w:rsid w:val="00B0126E"/>
    <w:rsid w:val="00B01375"/>
    <w:rsid w:val="00B01FB2"/>
    <w:rsid w:val="00B02562"/>
    <w:rsid w:val="00B02CA9"/>
    <w:rsid w:val="00B03A1F"/>
    <w:rsid w:val="00B04180"/>
    <w:rsid w:val="00B04DCA"/>
    <w:rsid w:val="00B05FA7"/>
    <w:rsid w:val="00B064F9"/>
    <w:rsid w:val="00B06E44"/>
    <w:rsid w:val="00B102BF"/>
    <w:rsid w:val="00B10315"/>
    <w:rsid w:val="00B11434"/>
    <w:rsid w:val="00B123DB"/>
    <w:rsid w:val="00B12409"/>
    <w:rsid w:val="00B1245F"/>
    <w:rsid w:val="00B12848"/>
    <w:rsid w:val="00B12909"/>
    <w:rsid w:val="00B12C32"/>
    <w:rsid w:val="00B12D7E"/>
    <w:rsid w:val="00B131EC"/>
    <w:rsid w:val="00B1357E"/>
    <w:rsid w:val="00B14150"/>
    <w:rsid w:val="00B15090"/>
    <w:rsid w:val="00B15157"/>
    <w:rsid w:val="00B1570D"/>
    <w:rsid w:val="00B15AC7"/>
    <w:rsid w:val="00B16331"/>
    <w:rsid w:val="00B16CB9"/>
    <w:rsid w:val="00B20214"/>
    <w:rsid w:val="00B21264"/>
    <w:rsid w:val="00B2171C"/>
    <w:rsid w:val="00B2204A"/>
    <w:rsid w:val="00B224C4"/>
    <w:rsid w:val="00B23213"/>
    <w:rsid w:val="00B236C4"/>
    <w:rsid w:val="00B25486"/>
    <w:rsid w:val="00B257B1"/>
    <w:rsid w:val="00B26373"/>
    <w:rsid w:val="00B2799C"/>
    <w:rsid w:val="00B27B8D"/>
    <w:rsid w:val="00B30BCA"/>
    <w:rsid w:val="00B319D9"/>
    <w:rsid w:val="00B31DAD"/>
    <w:rsid w:val="00B33343"/>
    <w:rsid w:val="00B337E7"/>
    <w:rsid w:val="00B342C5"/>
    <w:rsid w:val="00B34F07"/>
    <w:rsid w:val="00B35319"/>
    <w:rsid w:val="00B35A26"/>
    <w:rsid w:val="00B3613D"/>
    <w:rsid w:val="00B367B8"/>
    <w:rsid w:val="00B36AF4"/>
    <w:rsid w:val="00B37550"/>
    <w:rsid w:val="00B37579"/>
    <w:rsid w:val="00B37646"/>
    <w:rsid w:val="00B3764A"/>
    <w:rsid w:val="00B37747"/>
    <w:rsid w:val="00B41F8F"/>
    <w:rsid w:val="00B43055"/>
    <w:rsid w:val="00B43752"/>
    <w:rsid w:val="00B43AAA"/>
    <w:rsid w:val="00B43D2E"/>
    <w:rsid w:val="00B445E0"/>
    <w:rsid w:val="00B44A41"/>
    <w:rsid w:val="00B44B1B"/>
    <w:rsid w:val="00B47A21"/>
    <w:rsid w:val="00B50125"/>
    <w:rsid w:val="00B51408"/>
    <w:rsid w:val="00B51ECE"/>
    <w:rsid w:val="00B53F10"/>
    <w:rsid w:val="00B5411F"/>
    <w:rsid w:val="00B54790"/>
    <w:rsid w:val="00B55477"/>
    <w:rsid w:val="00B55777"/>
    <w:rsid w:val="00B55C84"/>
    <w:rsid w:val="00B55CF5"/>
    <w:rsid w:val="00B5611F"/>
    <w:rsid w:val="00B568E9"/>
    <w:rsid w:val="00B57DFD"/>
    <w:rsid w:val="00B57E23"/>
    <w:rsid w:val="00B60834"/>
    <w:rsid w:val="00B60C0F"/>
    <w:rsid w:val="00B62020"/>
    <w:rsid w:val="00B623DC"/>
    <w:rsid w:val="00B624D6"/>
    <w:rsid w:val="00B626C4"/>
    <w:rsid w:val="00B62762"/>
    <w:rsid w:val="00B6289C"/>
    <w:rsid w:val="00B628DA"/>
    <w:rsid w:val="00B63A4F"/>
    <w:rsid w:val="00B67D72"/>
    <w:rsid w:val="00B67F10"/>
    <w:rsid w:val="00B7022D"/>
    <w:rsid w:val="00B706FD"/>
    <w:rsid w:val="00B7076A"/>
    <w:rsid w:val="00B7116B"/>
    <w:rsid w:val="00B71197"/>
    <w:rsid w:val="00B715DB"/>
    <w:rsid w:val="00B71F1D"/>
    <w:rsid w:val="00B7448A"/>
    <w:rsid w:val="00B74861"/>
    <w:rsid w:val="00B755C9"/>
    <w:rsid w:val="00B77500"/>
    <w:rsid w:val="00B77733"/>
    <w:rsid w:val="00B77D8C"/>
    <w:rsid w:val="00B802F4"/>
    <w:rsid w:val="00B81330"/>
    <w:rsid w:val="00B81F54"/>
    <w:rsid w:val="00B83004"/>
    <w:rsid w:val="00B83319"/>
    <w:rsid w:val="00B83C42"/>
    <w:rsid w:val="00B85528"/>
    <w:rsid w:val="00B86D28"/>
    <w:rsid w:val="00B871B1"/>
    <w:rsid w:val="00B873EB"/>
    <w:rsid w:val="00B87A40"/>
    <w:rsid w:val="00B90927"/>
    <w:rsid w:val="00B91F96"/>
    <w:rsid w:val="00B935BC"/>
    <w:rsid w:val="00B944F3"/>
    <w:rsid w:val="00B948FA"/>
    <w:rsid w:val="00B94B48"/>
    <w:rsid w:val="00B951F2"/>
    <w:rsid w:val="00B955D7"/>
    <w:rsid w:val="00B95E51"/>
    <w:rsid w:val="00B964EC"/>
    <w:rsid w:val="00B964FD"/>
    <w:rsid w:val="00B965EE"/>
    <w:rsid w:val="00B96AE6"/>
    <w:rsid w:val="00B96C82"/>
    <w:rsid w:val="00B978CD"/>
    <w:rsid w:val="00BA0DE5"/>
    <w:rsid w:val="00BA11A4"/>
    <w:rsid w:val="00BA234C"/>
    <w:rsid w:val="00BA2FD1"/>
    <w:rsid w:val="00BA448D"/>
    <w:rsid w:val="00BA5E1C"/>
    <w:rsid w:val="00BA5FF2"/>
    <w:rsid w:val="00BA667A"/>
    <w:rsid w:val="00BA6EAE"/>
    <w:rsid w:val="00BA7076"/>
    <w:rsid w:val="00BA7842"/>
    <w:rsid w:val="00BB0CAC"/>
    <w:rsid w:val="00BB0DF9"/>
    <w:rsid w:val="00BB0E36"/>
    <w:rsid w:val="00BB1191"/>
    <w:rsid w:val="00BB2E81"/>
    <w:rsid w:val="00BB342E"/>
    <w:rsid w:val="00BB3730"/>
    <w:rsid w:val="00BB38AF"/>
    <w:rsid w:val="00BB4212"/>
    <w:rsid w:val="00BB4814"/>
    <w:rsid w:val="00BB514A"/>
    <w:rsid w:val="00BB6C56"/>
    <w:rsid w:val="00BB7484"/>
    <w:rsid w:val="00BC07DE"/>
    <w:rsid w:val="00BC0CDC"/>
    <w:rsid w:val="00BC1054"/>
    <w:rsid w:val="00BC23F5"/>
    <w:rsid w:val="00BC2DA3"/>
    <w:rsid w:val="00BC34E5"/>
    <w:rsid w:val="00BC3976"/>
    <w:rsid w:val="00BC3A8D"/>
    <w:rsid w:val="00BC3E60"/>
    <w:rsid w:val="00BC3E69"/>
    <w:rsid w:val="00BC44B5"/>
    <w:rsid w:val="00BC511C"/>
    <w:rsid w:val="00BC5881"/>
    <w:rsid w:val="00BC5EE3"/>
    <w:rsid w:val="00BC623A"/>
    <w:rsid w:val="00BC6CD7"/>
    <w:rsid w:val="00BC6FBF"/>
    <w:rsid w:val="00BC71F0"/>
    <w:rsid w:val="00BC73DE"/>
    <w:rsid w:val="00BD0A9D"/>
    <w:rsid w:val="00BD1118"/>
    <w:rsid w:val="00BD1125"/>
    <w:rsid w:val="00BD21F2"/>
    <w:rsid w:val="00BD2268"/>
    <w:rsid w:val="00BD2674"/>
    <w:rsid w:val="00BD3890"/>
    <w:rsid w:val="00BD3FAD"/>
    <w:rsid w:val="00BD49B7"/>
    <w:rsid w:val="00BD4AD3"/>
    <w:rsid w:val="00BD51E6"/>
    <w:rsid w:val="00BD551F"/>
    <w:rsid w:val="00BD5B63"/>
    <w:rsid w:val="00BD5D38"/>
    <w:rsid w:val="00BD62F9"/>
    <w:rsid w:val="00BD6A90"/>
    <w:rsid w:val="00BD7168"/>
    <w:rsid w:val="00BD7174"/>
    <w:rsid w:val="00BD73FF"/>
    <w:rsid w:val="00BD7972"/>
    <w:rsid w:val="00BD7DBB"/>
    <w:rsid w:val="00BE1516"/>
    <w:rsid w:val="00BE170D"/>
    <w:rsid w:val="00BE213A"/>
    <w:rsid w:val="00BE2528"/>
    <w:rsid w:val="00BE34AC"/>
    <w:rsid w:val="00BE4A09"/>
    <w:rsid w:val="00BE4DFB"/>
    <w:rsid w:val="00BE6F95"/>
    <w:rsid w:val="00BE7431"/>
    <w:rsid w:val="00BF00F9"/>
    <w:rsid w:val="00BF0433"/>
    <w:rsid w:val="00BF07F7"/>
    <w:rsid w:val="00BF0AFF"/>
    <w:rsid w:val="00BF2BCC"/>
    <w:rsid w:val="00BF30BA"/>
    <w:rsid w:val="00BF3733"/>
    <w:rsid w:val="00BF4DB6"/>
    <w:rsid w:val="00BF503B"/>
    <w:rsid w:val="00BF5068"/>
    <w:rsid w:val="00BF62BD"/>
    <w:rsid w:val="00BF6916"/>
    <w:rsid w:val="00BF6E44"/>
    <w:rsid w:val="00BF71A5"/>
    <w:rsid w:val="00BF788E"/>
    <w:rsid w:val="00BF7E6A"/>
    <w:rsid w:val="00C006BB"/>
    <w:rsid w:val="00C00DD3"/>
    <w:rsid w:val="00C0120E"/>
    <w:rsid w:val="00C016C2"/>
    <w:rsid w:val="00C03014"/>
    <w:rsid w:val="00C044FD"/>
    <w:rsid w:val="00C05290"/>
    <w:rsid w:val="00C05FE1"/>
    <w:rsid w:val="00C060EB"/>
    <w:rsid w:val="00C075C1"/>
    <w:rsid w:val="00C1089B"/>
    <w:rsid w:val="00C10DA4"/>
    <w:rsid w:val="00C12D59"/>
    <w:rsid w:val="00C130B4"/>
    <w:rsid w:val="00C1315C"/>
    <w:rsid w:val="00C1538B"/>
    <w:rsid w:val="00C16FF3"/>
    <w:rsid w:val="00C17885"/>
    <w:rsid w:val="00C201A0"/>
    <w:rsid w:val="00C21421"/>
    <w:rsid w:val="00C2169F"/>
    <w:rsid w:val="00C23DBF"/>
    <w:rsid w:val="00C240A7"/>
    <w:rsid w:val="00C249A4"/>
    <w:rsid w:val="00C24B18"/>
    <w:rsid w:val="00C25238"/>
    <w:rsid w:val="00C25ADD"/>
    <w:rsid w:val="00C25DC9"/>
    <w:rsid w:val="00C2618C"/>
    <w:rsid w:val="00C30212"/>
    <w:rsid w:val="00C30715"/>
    <w:rsid w:val="00C30B58"/>
    <w:rsid w:val="00C30F05"/>
    <w:rsid w:val="00C31B59"/>
    <w:rsid w:val="00C31D7A"/>
    <w:rsid w:val="00C3291D"/>
    <w:rsid w:val="00C32D0E"/>
    <w:rsid w:val="00C32E68"/>
    <w:rsid w:val="00C34866"/>
    <w:rsid w:val="00C356DC"/>
    <w:rsid w:val="00C367DF"/>
    <w:rsid w:val="00C3697E"/>
    <w:rsid w:val="00C36FB0"/>
    <w:rsid w:val="00C37846"/>
    <w:rsid w:val="00C37E2C"/>
    <w:rsid w:val="00C40340"/>
    <w:rsid w:val="00C40A3C"/>
    <w:rsid w:val="00C41529"/>
    <w:rsid w:val="00C415C1"/>
    <w:rsid w:val="00C424EA"/>
    <w:rsid w:val="00C429A8"/>
    <w:rsid w:val="00C43276"/>
    <w:rsid w:val="00C44018"/>
    <w:rsid w:val="00C44D59"/>
    <w:rsid w:val="00C45534"/>
    <w:rsid w:val="00C47329"/>
    <w:rsid w:val="00C514BA"/>
    <w:rsid w:val="00C5164E"/>
    <w:rsid w:val="00C5295E"/>
    <w:rsid w:val="00C52CDE"/>
    <w:rsid w:val="00C52F6C"/>
    <w:rsid w:val="00C53C47"/>
    <w:rsid w:val="00C53F28"/>
    <w:rsid w:val="00C54496"/>
    <w:rsid w:val="00C5459A"/>
    <w:rsid w:val="00C54D11"/>
    <w:rsid w:val="00C54D45"/>
    <w:rsid w:val="00C55AAF"/>
    <w:rsid w:val="00C55FC2"/>
    <w:rsid w:val="00C56268"/>
    <w:rsid w:val="00C56A5F"/>
    <w:rsid w:val="00C57115"/>
    <w:rsid w:val="00C579C2"/>
    <w:rsid w:val="00C579F3"/>
    <w:rsid w:val="00C605C9"/>
    <w:rsid w:val="00C6083D"/>
    <w:rsid w:val="00C60D4C"/>
    <w:rsid w:val="00C60F1A"/>
    <w:rsid w:val="00C634A7"/>
    <w:rsid w:val="00C63E75"/>
    <w:rsid w:val="00C64277"/>
    <w:rsid w:val="00C64BF0"/>
    <w:rsid w:val="00C64FDA"/>
    <w:rsid w:val="00C65732"/>
    <w:rsid w:val="00C65A51"/>
    <w:rsid w:val="00C661D6"/>
    <w:rsid w:val="00C6651D"/>
    <w:rsid w:val="00C67861"/>
    <w:rsid w:val="00C70235"/>
    <w:rsid w:val="00C707FC"/>
    <w:rsid w:val="00C71003"/>
    <w:rsid w:val="00C7154C"/>
    <w:rsid w:val="00C71655"/>
    <w:rsid w:val="00C719F7"/>
    <w:rsid w:val="00C71B23"/>
    <w:rsid w:val="00C71E12"/>
    <w:rsid w:val="00C732CA"/>
    <w:rsid w:val="00C73DCD"/>
    <w:rsid w:val="00C7483C"/>
    <w:rsid w:val="00C763CD"/>
    <w:rsid w:val="00C76445"/>
    <w:rsid w:val="00C764A4"/>
    <w:rsid w:val="00C77695"/>
    <w:rsid w:val="00C777BD"/>
    <w:rsid w:val="00C80477"/>
    <w:rsid w:val="00C80563"/>
    <w:rsid w:val="00C81146"/>
    <w:rsid w:val="00C81743"/>
    <w:rsid w:val="00C81C6D"/>
    <w:rsid w:val="00C81EDA"/>
    <w:rsid w:val="00C83AEA"/>
    <w:rsid w:val="00C85A63"/>
    <w:rsid w:val="00C85AE7"/>
    <w:rsid w:val="00C85B2E"/>
    <w:rsid w:val="00C8668B"/>
    <w:rsid w:val="00C86851"/>
    <w:rsid w:val="00C86BA7"/>
    <w:rsid w:val="00C87496"/>
    <w:rsid w:val="00C87908"/>
    <w:rsid w:val="00C90543"/>
    <w:rsid w:val="00C90A2F"/>
    <w:rsid w:val="00C91099"/>
    <w:rsid w:val="00C91647"/>
    <w:rsid w:val="00C91846"/>
    <w:rsid w:val="00C91D58"/>
    <w:rsid w:val="00C92F4D"/>
    <w:rsid w:val="00C95002"/>
    <w:rsid w:val="00C962CD"/>
    <w:rsid w:val="00C9671C"/>
    <w:rsid w:val="00C96881"/>
    <w:rsid w:val="00C97D06"/>
    <w:rsid w:val="00CA133B"/>
    <w:rsid w:val="00CA150C"/>
    <w:rsid w:val="00CA178F"/>
    <w:rsid w:val="00CA188E"/>
    <w:rsid w:val="00CA1FDD"/>
    <w:rsid w:val="00CA289C"/>
    <w:rsid w:val="00CA2B39"/>
    <w:rsid w:val="00CA2B60"/>
    <w:rsid w:val="00CA3809"/>
    <w:rsid w:val="00CA3C06"/>
    <w:rsid w:val="00CA414B"/>
    <w:rsid w:val="00CA5C9C"/>
    <w:rsid w:val="00CA6E72"/>
    <w:rsid w:val="00CA7972"/>
    <w:rsid w:val="00CB0DA0"/>
    <w:rsid w:val="00CB0E3B"/>
    <w:rsid w:val="00CB1548"/>
    <w:rsid w:val="00CB1E7A"/>
    <w:rsid w:val="00CB2C78"/>
    <w:rsid w:val="00CB2FF1"/>
    <w:rsid w:val="00CB33A1"/>
    <w:rsid w:val="00CB3F50"/>
    <w:rsid w:val="00CB4040"/>
    <w:rsid w:val="00CB5694"/>
    <w:rsid w:val="00CB6AB5"/>
    <w:rsid w:val="00CB6E57"/>
    <w:rsid w:val="00CB7376"/>
    <w:rsid w:val="00CB7F33"/>
    <w:rsid w:val="00CC056E"/>
    <w:rsid w:val="00CC0E67"/>
    <w:rsid w:val="00CC17A9"/>
    <w:rsid w:val="00CC1F40"/>
    <w:rsid w:val="00CC2408"/>
    <w:rsid w:val="00CC2CB9"/>
    <w:rsid w:val="00CC39CC"/>
    <w:rsid w:val="00CC3B7F"/>
    <w:rsid w:val="00CC4779"/>
    <w:rsid w:val="00CC6860"/>
    <w:rsid w:val="00CC6A3C"/>
    <w:rsid w:val="00CC7CD7"/>
    <w:rsid w:val="00CD005B"/>
    <w:rsid w:val="00CD0D74"/>
    <w:rsid w:val="00CD1A2E"/>
    <w:rsid w:val="00CD20B6"/>
    <w:rsid w:val="00CD24FB"/>
    <w:rsid w:val="00CD2E3F"/>
    <w:rsid w:val="00CD3158"/>
    <w:rsid w:val="00CD489E"/>
    <w:rsid w:val="00CD49D4"/>
    <w:rsid w:val="00CD58B4"/>
    <w:rsid w:val="00CD5AD8"/>
    <w:rsid w:val="00CD5C56"/>
    <w:rsid w:val="00CD6409"/>
    <w:rsid w:val="00CD64E7"/>
    <w:rsid w:val="00CD661E"/>
    <w:rsid w:val="00CE1AE4"/>
    <w:rsid w:val="00CE1DB4"/>
    <w:rsid w:val="00CE271F"/>
    <w:rsid w:val="00CE2A11"/>
    <w:rsid w:val="00CE2FAC"/>
    <w:rsid w:val="00CE38D9"/>
    <w:rsid w:val="00CE3AE8"/>
    <w:rsid w:val="00CE3C55"/>
    <w:rsid w:val="00CE536F"/>
    <w:rsid w:val="00CE5607"/>
    <w:rsid w:val="00CE5FD1"/>
    <w:rsid w:val="00CE645B"/>
    <w:rsid w:val="00CE6540"/>
    <w:rsid w:val="00CE6F37"/>
    <w:rsid w:val="00CE765B"/>
    <w:rsid w:val="00CE778C"/>
    <w:rsid w:val="00CF0310"/>
    <w:rsid w:val="00CF1063"/>
    <w:rsid w:val="00CF17F2"/>
    <w:rsid w:val="00CF23E8"/>
    <w:rsid w:val="00CF3263"/>
    <w:rsid w:val="00CF381F"/>
    <w:rsid w:val="00CF39A2"/>
    <w:rsid w:val="00CF41FF"/>
    <w:rsid w:val="00CF557B"/>
    <w:rsid w:val="00CF5D50"/>
    <w:rsid w:val="00CF6D9E"/>
    <w:rsid w:val="00CF72E4"/>
    <w:rsid w:val="00D00C99"/>
    <w:rsid w:val="00D00FA7"/>
    <w:rsid w:val="00D00FF6"/>
    <w:rsid w:val="00D01141"/>
    <w:rsid w:val="00D01894"/>
    <w:rsid w:val="00D01B41"/>
    <w:rsid w:val="00D01B8C"/>
    <w:rsid w:val="00D023F2"/>
    <w:rsid w:val="00D02707"/>
    <w:rsid w:val="00D0274F"/>
    <w:rsid w:val="00D036CF"/>
    <w:rsid w:val="00D03C23"/>
    <w:rsid w:val="00D0454E"/>
    <w:rsid w:val="00D05275"/>
    <w:rsid w:val="00D055DD"/>
    <w:rsid w:val="00D05815"/>
    <w:rsid w:val="00D059C9"/>
    <w:rsid w:val="00D05B77"/>
    <w:rsid w:val="00D05B82"/>
    <w:rsid w:val="00D06B01"/>
    <w:rsid w:val="00D07BAA"/>
    <w:rsid w:val="00D07C29"/>
    <w:rsid w:val="00D103AE"/>
    <w:rsid w:val="00D10530"/>
    <w:rsid w:val="00D11678"/>
    <w:rsid w:val="00D11862"/>
    <w:rsid w:val="00D127FA"/>
    <w:rsid w:val="00D134D4"/>
    <w:rsid w:val="00D13D62"/>
    <w:rsid w:val="00D140CA"/>
    <w:rsid w:val="00D14EFE"/>
    <w:rsid w:val="00D1516B"/>
    <w:rsid w:val="00D15873"/>
    <w:rsid w:val="00D15C6C"/>
    <w:rsid w:val="00D164B4"/>
    <w:rsid w:val="00D170C2"/>
    <w:rsid w:val="00D17787"/>
    <w:rsid w:val="00D21516"/>
    <w:rsid w:val="00D22050"/>
    <w:rsid w:val="00D22399"/>
    <w:rsid w:val="00D22943"/>
    <w:rsid w:val="00D22FB8"/>
    <w:rsid w:val="00D230C0"/>
    <w:rsid w:val="00D23865"/>
    <w:rsid w:val="00D24C05"/>
    <w:rsid w:val="00D262FC"/>
    <w:rsid w:val="00D2634A"/>
    <w:rsid w:val="00D266EF"/>
    <w:rsid w:val="00D2684F"/>
    <w:rsid w:val="00D27801"/>
    <w:rsid w:val="00D27A01"/>
    <w:rsid w:val="00D27EE0"/>
    <w:rsid w:val="00D306BC"/>
    <w:rsid w:val="00D322F5"/>
    <w:rsid w:val="00D32DB4"/>
    <w:rsid w:val="00D3320E"/>
    <w:rsid w:val="00D33C39"/>
    <w:rsid w:val="00D3494E"/>
    <w:rsid w:val="00D35719"/>
    <w:rsid w:val="00D35DED"/>
    <w:rsid w:val="00D3647C"/>
    <w:rsid w:val="00D36659"/>
    <w:rsid w:val="00D373E0"/>
    <w:rsid w:val="00D37B9D"/>
    <w:rsid w:val="00D40B5F"/>
    <w:rsid w:val="00D40CAA"/>
    <w:rsid w:val="00D40EB4"/>
    <w:rsid w:val="00D41450"/>
    <w:rsid w:val="00D41832"/>
    <w:rsid w:val="00D4275D"/>
    <w:rsid w:val="00D42CC9"/>
    <w:rsid w:val="00D43E8D"/>
    <w:rsid w:val="00D443BF"/>
    <w:rsid w:val="00D44AA7"/>
    <w:rsid w:val="00D44BEF"/>
    <w:rsid w:val="00D4553E"/>
    <w:rsid w:val="00D455C5"/>
    <w:rsid w:val="00D457AF"/>
    <w:rsid w:val="00D45D62"/>
    <w:rsid w:val="00D477D0"/>
    <w:rsid w:val="00D47933"/>
    <w:rsid w:val="00D4799A"/>
    <w:rsid w:val="00D50427"/>
    <w:rsid w:val="00D50445"/>
    <w:rsid w:val="00D509C1"/>
    <w:rsid w:val="00D515A8"/>
    <w:rsid w:val="00D52C2F"/>
    <w:rsid w:val="00D534C7"/>
    <w:rsid w:val="00D5358D"/>
    <w:rsid w:val="00D549DF"/>
    <w:rsid w:val="00D54B7C"/>
    <w:rsid w:val="00D5527A"/>
    <w:rsid w:val="00D56C20"/>
    <w:rsid w:val="00D57D11"/>
    <w:rsid w:val="00D610B6"/>
    <w:rsid w:val="00D61D07"/>
    <w:rsid w:val="00D61F15"/>
    <w:rsid w:val="00D62104"/>
    <w:rsid w:val="00D6254A"/>
    <w:rsid w:val="00D62A3E"/>
    <w:rsid w:val="00D62D20"/>
    <w:rsid w:val="00D63543"/>
    <w:rsid w:val="00D63676"/>
    <w:rsid w:val="00D64388"/>
    <w:rsid w:val="00D645CE"/>
    <w:rsid w:val="00D64A05"/>
    <w:rsid w:val="00D65B80"/>
    <w:rsid w:val="00D660F2"/>
    <w:rsid w:val="00D66DBF"/>
    <w:rsid w:val="00D676D6"/>
    <w:rsid w:val="00D7098D"/>
    <w:rsid w:val="00D70D5B"/>
    <w:rsid w:val="00D714CD"/>
    <w:rsid w:val="00D7221C"/>
    <w:rsid w:val="00D7409E"/>
    <w:rsid w:val="00D747CD"/>
    <w:rsid w:val="00D749B8"/>
    <w:rsid w:val="00D74D39"/>
    <w:rsid w:val="00D75B64"/>
    <w:rsid w:val="00D75C03"/>
    <w:rsid w:val="00D761D4"/>
    <w:rsid w:val="00D765BD"/>
    <w:rsid w:val="00D767C3"/>
    <w:rsid w:val="00D76C88"/>
    <w:rsid w:val="00D77A3A"/>
    <w:rsid w:val="00D77FD0"/>
    <w:rsid w:val="00D81026"/>
    <w:rsid w:val="00D81495"/>
    <w:rsid w:val="00D81D9F"/>
    <w:rsid w:val="00D81E4C"/>
    <w:rsid w:val="00D82114"/>
    <w:rsid w:val="00D8220A"/>
    <w:rsid w:val="00D8227F"/>
    <w:rsid w:val="00D82D29"/>
    <w:rsid w:val="00D835C0"/>
    <w:rsid w:val="00D83717"/>
    <w:rsid w:val="00D84DC0"/>
    <w:rsid w:val="00D84F8D"/>
    <w:rsid w:val="00D85224"/>
    <w:rsid w:val="00D853A5"/>
    <w:rsid w:val="00D854E7"/>
    <w:rsid w:val="00D87650"/>
    <w:rsid w:val="00D87979"/>
    <w:rsid w:val="00D9046C"/>
    <w:rsid w:val="00D905E3"/>
    <w:rsid w:val="00D90EBF"/>
    <w:rsid w:val="00D917CA"/>
    <w:rsid w:val="00D9201F"/>
    <w:rsid w:val="00D921C0"/>
    <w:rsid w:val="00D92A64"/>
    <w:rsid w:val="00D931DE"/>
    <w:rsid w:val="00D9395E"/>
    <w:rsid w:val="00D94228"/>
    <w:rsid w:val="00D94B91"/>
    <w:rsid w:val="00D96B39"/>
    <w:rsid w:val="00D97EE7"/>
    <w:rsid w:val="00DA023B"/>
    <w:rsid w:val="00DA03D9"/>
    <w:rsid w:val="00DA053E"/>
    <w:rsid w:val="00DA099C"/>
    <w:rsid w:val="00DA1293"/>
    <w:rsid w:val="00DA17F2"/>
    <w:rsid w:val="00DA218E"/>
    <w:rsid w:val="00DA2712"/>
    <w:rsid w:val="00DA2994"/>
    <w:rsid w:val="00DA2B8D"/>
    <w:rsid w:val="00DA3542"/>
    <w:rsid w:val="00DA451F"/>
    <w:rsid w:val="00DA4DE3"/>
    <w:rsid w:val="00DA5D2A"/>
    <w:rsid w:val="00DA5FBD"/>
    <w:rsid w:val="00DA6897"/>
    <w:rsid w:val="00DB017C"/>
    <w:rsid w:val="00DB0656"/>
    <w:rsid w:val="00DB0951"/>
    <w:rsid w:val="00DB0FC3"/>
    <w:rsid w:val="00DB1903"/>
    <w:rsid w:val="00DB1E81"/>
    <w:rsid w:val="00DB1FBF"/>
    <w:rsid w:val="00DB24EC"/>
    <w:rsid w:val="00DB283B"/>
    <w:rsid w:val="00DB3472"/>
    <w:rsid w:val="00DB3D60"/>
    <w:rsid w:val="00DB3FE2"/>
    <w:rsid w:val="00DB4111"/>
    <w:rsid w:val="00DB5172"/>
    <w:rsid w:val="00DB5685"/>
    <w:rsid w:val="00DB5B8D"/>
    <w:rsid w:val="00DB67AC"/>
    <w:rsid w:val="00DB7458"/>
    <w:rsid w:val="00DB7A2F"/>
    <w:rsid w:val="00DC0403"/>
    <w:rsid w:val="00DC087D"/>
    <w:rsid w:val="00DC0F1D"/>
    <w:rsid w:val="00DC11FF"/>
    <w:rsid w:val="00DC1900"/>
    <w:rsid w:val="00DC1FE1"/>
    <w:rsid w:val="00DC232E"/>
    <w:rsid w:val="00DC2B21"/>
    <w:rsid w:val="00DC37C3"/>
    <w:rsid w:val="00DC4225"/>
    <w:rsid w:val="00DC4432"/>
    <w:rsid w:val="00DC46E8"/>
    <w:rsid w:val="00DC5664"/>
    <w:rsid w:val="00DC5F6E"/>
    <w:rsid w:val="00DC6D60"/>
    <w:rsid w:val="00DC6FB6"/>
    <w:rsid w:val="00DC70F6"/>
    <w:rsid w:val="00DC7315"/>
    <w:rsid w:val="00DC7CA6"/>
    <w:rsid w:val="00DD2ED4"/>
    <w:rsid w:val="00DD3EED"/>
    <w:rsid w:val="00DD4773"/>
    <w:rsid w:val="00DD4A8F"/>
    <w:rsid w:val="00DD4B03"/>
    <w:rsid w:val="00DD53CB"/>
    <w:rsid w:val="00DD7339"/>
    <w:rsid w:val="00DE18C5"/>
    <w:rsid w:val="00DE1C63"/>
    <w:rsid w:val="00DE5D26"/>
    <w:rsid w:val="00DE603C"/>
    <w:rsid w:val="00DE61D7"/>
    <w:rsid w:val="00DE6B9E"/>
    <w:rsid w:val="00DE7452"/>
    <w:rsid w:val="00DE7AB4"/>
    <w:rsid w:val="00DF188E"/>
    <w:rsid w:val="00DF1B73"/>
    <w:rsid w:val="00DF1D50"/>
    <w:rsid w:val="00DF26A6"/>
    <w:rsid w:val="00DF26D7"/>
    <w:rsid w:val="00DF2BD3"/>
    <w:rsid w:val="00DF33D7"/>
    <w:rsid w:val="00DF3D99"/>
    <w:rsid w:val="00DF5153"/>
    <w:rsid w:val="00DF529D"/>
    <w:rsid w:val="00DF7033"/>
    <w:rsid w:val="00DF7E5A"/>
    <w:rsid w:val="00E0026D"/>
    <w:rsid w:val="00E0171B"/>
    <w:rsid w:val="00E01CCC"/>
    <w:rsid w:val="00E02C2B"/>
    <w:rsid w:val="00E0318C"/>
    <w:rsid w:val="00E03A21"/>
    <w:rsid w:val="00E061D9"/>
    <w:rsid w:val="00E06DEB"/>
    <w:rsid w:val="00E06F93"/>
    <w:rsid w:val="00E0744B"/>
    <w:rsid w:val="00E07476"/>
    <w:rsid w:val="00E07F95"/>
    <w:rsid w:val="00E10B7A"/>
    <w:rsid w:val="00E112B4"/>
    <w:rsid w:val="00E11421"/>
    <w:rsid w:val="00E11AC3"/>
    <w:rsid w:val="00E120B8"/>
    <w:rsid w:val="00E12149"/>
    <w:rsid w:val="00E12B64"/>
    <w:rsid w:val="00E12EB4"/>
    <w:rsid w:val="00E12EE2"/>
    <w:rsid w:val="00E12EE6"/>
    <w:rsid w:val="00E12F43"/>
    <w:rsid w:val="00E137E3"/>
    <w:rsid w:val="00E137F0"/>
    <w:rsid w:val="00E14DE9"/>
    <w:rsid w:val="00E16254"/>
    <w:rsid w:val="00E163CC"/>
    <w:rsid w:val="00E168E8"/>
    <w:rsid w:val="00E16EB1"/>
    <w:rsid w:val="00E1756D"/>
    <w:rsid w:val="00E17DC6"/>
    <w:rsid w:val="00E217A0"/>
    <w:rsid w:val="00E220C5"/>
    <w:rsid w:val="00E22C3F"/>
    <w:rsid w:val="00E230CE"/>
    <w:rsid w:val="00E2342F"/>
    <w:rsid w:val="00E23DB8"/>
    <w:rsid w:val="00E23DC8"/>
    <w:rsid w:val="00E23EBE"/>
    <w:rsid w:val="00E246D5"/>
    <w:rsid w:val="00E24C62"/>
    <w:rsid w:val="00E253D5"/>
    <w:rsid w:val="00E269B1"/>
    <w:rsid w:val="00E26E9C"/>
    <w:rsid w:val="00E27B84"/>
    <w:rsid w:val="00E27E17"/>
    <w:rsid w:val="00E30F72"/>
    <w:rsid w:val="00E3151D"/>
    <w:rsid w:val="00E32637"/>
    <w:rsid w:val="00E32D80"/>
    <w:rsid w:val="00E32E56"/>
    <w:rsid w:val="00E33280"/>
    <w:rsid w:val="00E33C53"/>
    <w:rsid w:val="00E34D25"/>
    <w:rsid w:val="00E35273"/>
    <w:rsid w:val="00E356A2"/>
    <w:rsid w:val="00E365B0"/>
    <w:rsid w:val="00E36642"/>
    <w:rsid w:val="00E367F3"/>
    <w:rsid w:val="00E36A58"/>
    <w:rsid w:val="00E377A0"/>
    <w:rsid w:val="00E378F9"/>
    <w:rsid w:val="00E37F99"/>
    <w:rsid w:val="00E404B2"/>
    <w:rsid w:val="00E41CF3"/>
    <w:rsid w:val="00E43C9A"/>
    <w:rsid w:val="00E43EA1"/>
    <w:rsid w:val="00E44D24"/>
    <w:rsid w:val="00E44E56"/>
    <w:rsid w:val="00E45C5E"/>
    <w:rsid w:val="00E473D2"/>
    <w:rsid w:val="00E4781A"/>
    <w:rsid w:val="00E47E8A"/>
    <w:rsid w:val="00E5070B"/>
    <w:rsid w:val="00E5165B"/>
    <w:rsid w:val="00E527BA"/>
    <w:rsid w:val="00E5423B"/>
    <w:rsid w:val="00E55E49"/>
    <w:rsid w:val="00E561FA"/>
    <w:rsid w:val="00E568A3"/>
    <w:rsid w:val="00E56C36"/>
    <w:rsid w:val="00E57BD0"/>
    <w:rsid w:val="00E625B8"/>
    <w:rsid w:val="00E625DC"/>
    <w:rsid w:val="00E628E9"/>
    <w:rsid w:val="00E630D1"/>
    <w:rsid w:val="00E64311"/>
    <w:rsid w:val="00E64A75"/>
    <w:rsid w:val="00E650C8"/>
    <w:rsid w:val="00E656EC"/>
    <w:rsid w:val="00E65E58"/>
    <w:rsid w:val="00E66149"/>
    <w:rsid w:val="00E6672B"/>
    <w:rsid w:val="00E671DE"/>
    <w:rsid w:val="00E67357"/>
    <w:rsid w:val="00E679A0"/>
    <w:rsid w:val="00E7004B"/>
    <w:rsid w:val="00E70B01"/>
    <w:rsid w:val="00E71570"/>
    <w:rsid w:val="00E7166C"/>
    <w:rsid w:val="00E71B31"/>
    <w:rsid w:val="00E71B8E"/>
    <w:rsid w:val="00E7237C"/>
    <w:rsid w:val="00E72DD6"/>
    <w:rsid w:val="00E72EDC"/>
    <w:rsid w:val="00E73229"/>
    <w:rsid w:val="00E74E95"/>
    <w:rsid w:val="00E753E1"/>
    <w:rsid w:val="00E75D2A"/>
    <w:rsid w:val="00E75FD0"/>
    <w:rsid w:val="00E767A8"/>
    <w:rsid w:val="00E7749A"/>
    <w:rsid w:val="00E77AC0"/>
    <w:rsid w:val="00E77BB4"/>
    <w:rsid w:val="00E80574"/>
    <w:rsid w:val="00E813F2"/>
    <w:rsid w:val="00E816F9"/>
    <w:rsid w:val="00E81A4C"/>
    <w:rsid w:val="00E81AA4"/>
    <w:rsid w:val="00E81DAA"/>
    <w:rsid w:val="00E82881"/>
    <w:rsid w:val="00E8303B"/>
    <w:rsid w:val="00E830EE"/>
    <w:rsid w:val="00E831C9"/>
    <w:rsid w:val="00E83482"/>
    <w:rsid w:val="00E8386E"/>
    <w:rsid w:val="00E83DC6"/>
    <w:rsid w:val="00E840E5"/>
    <w:rsid w:val="00E86D5F"/>
    <w:rsid w:val="00E87104"/>
    <w:rsid w:val="00E90FCE"/>
    <w:rsid w:val="00E91249"/>
    <w:rsid w:val="00E91549"/>
    <w:rsid w:val="00E916AD"/>
    <w:rsid w:val="00E917C7"/>
    <w:rsid w:val="00E919F1"/>
    <w:rsid w:val="00E91ACC"/>
    <w:rsid w:val="00E91FCD"/>
    <w:rsid w:val="00E934C9"/>
    <w:rsid w:val="00E936C0"/>
    <w:rsid w:val="00E9370B"/>
    <w:rsid w:val="00E9498D"/>
    <w:rsid w:val="00E94EA1"/>
    <w:rsid w:val="00E952EB"/>
    <w:rsid w:val="00E95A48"/>
    <w:rsid w:val="00E95B9C"/>
    <w:rsid w:val="00E95FE8"/>
    <w:rsid w:val="00E979FF"/>
    <w:rsid w:val="00E97DBF"/>
    <w:rsid w:val="00EA0E0B"/>
    <w:rsid w:val="00EA14B4"/>
    <w:rsid w:val="00EA2712"/>
    <w:rsid w:val="00EA38E6"/>
    <w:rsid w:val="00EA3E31"/>
    <w:rsid w:val="00EA4055"/>
    <w:rsid w:val="00EA4E80"/>
    <w:rsid w:val="00EA516E"/>
    <w:rsid w:val="00EA6259"/>
    <w:rsid w:val="00EA6F21"/>
    <w:rsid w:val="00EB04D9"/>
    <w:rsid w:val="00EB1A13"/>
    <w:rsid w:val="00EB1AE4"/>
    <w:rsid w:val="00EB3261"/>
    <w:rsid w:val="00EB3CCA"/>
    <w:rsid w:val="00EB3FAC"/>
    <w:rsid w:val="00EB4ADE"/>
    <w:rsid w:val="00EB6058"/>
    <w:rsid w:val="00EB7228"/>
    <w:rsid w:val="00EC0110"/>
    <w:rsid w:val="00EC0392"/>
    <w:rsid w:val="00EC04F4"/>
    <w:rsid w:val="00EC1182"/>
    <w:rsid w:val="00EC147C"/>
    <w:rsid w:val="00EC15B5"/>
    <w:rsid w:val="00EC1E9C"/>
    <w:rsid w:val="00EC21BC"/>
    <w:rsid w:val="00EC239A"/>
    <w:rsid w:val="00EC24FE"/>
    <w:rsid w:val="00EC289B"/>
    <w:rsid w:val="00EC37FB"/>
    <w:rsid w:val="00EC4427"/>
    <w:rsid w:val="00EC5620"/>
    <w:rsid w:val="00EC6298"/>
    <w:rsid w:val="00EC7F77"/>
    <w:rsid w:val="00ED109A"/>
    <w:rsid w:val="00ED1BEC"/>
    <w:rsid w:val="00ED2205"/>
    <w:rsid w:val="00ED2324"/>
    <w:rsid w:val="00ED23BD"/>
    <w:rsid w:val="00ED272E"/>
    <w:rsid w:val="00ED289B"/>
    <w:rsid w:val="00ED37FC"/>
    <w:rsid w:val="00ED3D4B"/>
    <w:rsid w:val="00ED4418"/>
    <w:rsid w:val="00ED482B"/>
    <w:rsid w:val="00ED4A18"/>
    <w:rsid w:val="00ED4C56"/>
    <w:rsid w:val="00ED4F2A"/>
    <w:rsid w:val="00ED4F78"/>
    <w:rsid w:val="00ED588F"/>
    <w:rsid w:val="00ED5F48"/>
    <w:rsid w:val="00ED61CB"/>
    <w:rsid w:val="00ED7617"/>
    <w:rsid w:val="00EE0060"/>
    <w:rsid w:val="00EE0300"/>
    <w:rsid w:val="00EE07C1"/>
    <w:rsid w:val="00EE0CE9"/>
    <w:rsid w:val="00EE10C0"/>
    <w:rsid w:val="00EE1B12"/>
    <w:rsid w:val="00EE2060"/>
    <w:rsid w:val="00EE2132"/>
    <w:rsid w:val="00EE2485"/>
    <w:rsid w:val="00EE29F5"/>
    <w:rsid w:val="00EE2C3C"/>
    <w:rsid w:val="00EE3FCF"/>
    <w:rsid w:val="00EE480F"/>
    <w:rsid w:val="00EE4815"/>
    <w:rsid w:val="00EE4AEB"/>
    <w:rsid w:val="00EE5FA3"/>
    <w:rsid w:val="00EF0584"/>
    <w:rsid w:val="00EF0A63"/>
    <w:rsid w:val="00EF1372"/>
    <w:rsid w:val="00EF197B"/>
    <w:rsid w:val="00EF208C"/>
    <w:rsid w:val="00EF2429"/>
    <w:rsid w:val="00EF256C"/>
    <w:rsid w:val="00EF2E1D"/>
    <w:rsid w:val="00EF3057"/>
    <w:rsid w:val="00EF3152"/>
    <w:rsid w:val="00EF3827"/>
    <w:rsid w:val="00EF3886"/>
    <w:rsid w:val="00EF39A2"/>
    <w:rsid w:val="00EF3AC4"/>
    <w:rsid w:val="00EF419E"/>
    <w:rsid w:val="00EF5970"/>
    <w:rsid w:val="00EF61DF"/>
    <w:rsid w:val="00EF61F7"/>
    <w:rsid w:val="00EF657C"/>
    <w:rsid w:val="00EF6839"/>
    <w:rsid w:val="00EF701D"/>
    <w:rsid w:val="00EF7543"/>
    <w:rsid w:val="00EF7664"/>
    <w:rsid w:val="00F0009C"/>
    <w:rsid w:val="00F002CB"/>
    <w:rsid w:val="00F02A70"/>
    <w:rsid w:val="00F037B0"/>
    <w:rsid w:val="00F03C80"/>
    <w:rsid w:val="00F05A8C"/>
    <w:rsid w:val="00F06747"/>
    <w:rsid w:val="00F06C96"/>
    <w:rsid w:val="00F07BDC"/>
    <w:rsid w:val="00F11330"/>
    <w:rsid w:val="00F11436"/>
    <w:rsid w:val="00F115C6"/>
    <w:rsid w:val="00F12D28"/>
    <w:rsid w:val="00F12E00"/>
    <w:rsid w:val="00F1340D"/>
    <w:rsid w:val="00F137DF"/>
    <w:rsid w:val="00F13B51"/>
    <w:rsid w:val="00F14417"/>
    <w:rsid w:val="00F1443C"/>
    <w:rsid w:val="00F144DB"/>
    <w:rsid w:val="00F15303"/>
    <w:rsid w:val="00F15329"/>
    <w:rsid w:val="00F160EA"/>
    <w:rsid w:val="00F17760"/>
    <w:rsid w:val="00F2136A"/>
    <w:rsid w:val="00F2144B"/>
    <w:rsid w:val="00F2186F"/>
    <w:rsid w:val="00F21DE8"/>
    <w:rsid w:val="00F24485"/>
    <w:rsid w:val="00F249AC"/>
    <w:rsid w:val="00F24D9A"/>
    <w:rsid w:val="00F26352"/>
    <w:rsid w:val="00F272ED"/>
    <w:rsid w:val="00F27C6E"/>
    <w:rsid w:val="00F30509"/>
    <w:rsid w:val="00F31301"/>
    <w:rsid w:val="00F318A5"/>
    <w:rsid w:val="00F322FA"/>
    <w:rsid w:val="00F324A2"/>
    <w:rsid w:val="00F32511"/>
    <w:rsid w:val="00F33093"/>
    <w:rsid w:val="00F3342F"/>
    <w:rsid w:val="00F342A8"/>
    <w:rsid w:val="00F35106"/>
    <w:rsid w:val="00F359D4"/>
    <w:rsid w:val="00F35AB3"/>
    <w:rsid w:val="00F35B65"/>
    <w:rsid w:val="00F35BDA"/>
    <w:rsid w:val="00F36643"/>
    <w:rsid w:val="00F36CC9"/>
    <w:rsid w:val="00F36F28"/>
    <w:rsid w:val="00F372C3"/>
    <w:rsid w:val="00F40AC7"/>
    <w:rsid w:val="00F40E0E"/>
    <w:rsid w:val="00F411EF"/>
    <w:rsid w:val="00F418A8"/>
    <w:rsid w:val="00F418D2"/>
    <w:rsid w:val="00F419C2"/>
    <w:rsid w:val="00F423E2"/>
    <w:rsid w:val="00F424A8"/>
    <w:rsid w:val="00F4293F"/>
    <w:rsid w:val="00F42E8A"/>
    <w:rsid w:val="00F4338A"/>
    <w:rsid w:val="00F440E9"/>
    <w:rsid w:val="00F4437B"/>
    <w:rsid w:val="00F45C51"/>
    <w:rsid w:val="00F45DB0"/>
    <w:rsid w:val="00F463BD"/>
    <w:rsid w:val="00F468F0"/>
    <w:rsid w:val="00F47293"/>
    <w:rsid w:val="00F47B5C"/>
    <w:rsid w:val="00F47EC6"/>
    <w:rsid w:val="00F50180"/>
    <w:rsid w:val="00F509F1"/>
    <w:rsid w:val="00F50E50"/>
    <w:rsid w:val="00F52D61"/>
    <w:rsid w:val="00F5354D"/>
    <w:rsid w:val="00F5362D"/>
    <w:rsid w:val="00F53A8E"/>
    <w:rsid w:val="00F542C1"/>
    <w:rsid w:val="00F55156"/>
    <w:rsid w:val="00F5525B"/>
    <w:rsid w:val="00F554CC"/>
    <w:rsid w:val="00F55BEE"/>
    <w:rsid w:val="00F56303"/>
    <w:rsid w:val="00F56639"/>
    <w:rsid w:val="00F572C3"/>
    <w:rsid w:val="00F5796E"/>
    <w:rsid w:val="00F60300"/>
    <w:rsid w:val="00F6094D"/>
    <w:rsid w:val="00F60F9A"/>
    <w:rsid w:val="00F6126B"/>
    <w:rsid w:val="00F612D2"/>
    <w:rsid w:val="00F62F96"/>
    <w:rsid w:val="00F6323D"/>
    <w:rsid w:val="00F63478"/>
    <w:rsid w:val="00F63AE3"/>
    <w:rsid w:val="00F644D4"/>
    <w:rsid w:val="00F646E8"/>
    <w:rsid w:val="00F64C45"/>
    <w:rsid w:val="00F64D1C"/>
    <w:rsid w:val="00F65356"/>
    <w:rsid w:val="00F65377"/>
    <w:rsid w:val="00F6645D"/>
    <w:rsid w:val="00F66D94"/>
    <w:rsid w:val="00F6787C"/>
    <w:rsid w:val="00F70102"/>
    <w:rsid w:val="00F70873"/>
    <w:rsid w:val="00F70914"/>
    <w:rsid w:val="00F7133E"/>
    <w:rsid w:val="00F713BF"/>
    <w:rsid w:val="00F71AF1"/>
    <w:rsid w:val="00F71B74"/>
    <w:rsid w:val="00F72410"/>
    <w:rsid w:val="00F7329C"/>
    <w:rsid w:val="00F7362E"/>
    <w:rsid w:val="00F746CC"/>
    <w:rsid w:val="00F75041"/>
    <w:rsid w:val="00F76280"/>
    <w:rsid w:val="00F76324"/>
    <w:rsid w:val="00F7702D"/>
    <w:rsid w:val="00F776A2"/>
    <w:rsid w:val="00F77804"/>
    <w:rsid w:val="00F80387"/>
    <w:rsid w:val="00F80879"/>
    <w:rsid w:val="00F80BB3"/>
    <w:rsid w:val="00F80BBB"/>
    <w:rsid w:val="00F80E2F"/>
    <w:rsid w:val="00F81163"/>
    <w:rsid w:val="00F8125A"/>
    <w:rsid w:val="00F81C08"/>
    <w:rsid w:val="00F82036"/>
    <w:rsid w:val="00F82866"/>
    <w:rsid w:val="00F843B2"/>
    <w:rsid w:val="00F843D5"/>
    <w:rsid w:val="00F84D22"/>
    <w:rsid w:val="00F85AB9"/>
    <w:rsid w:val="00F8688E"/>
    <w:rsid w:val="00F86BB7"/>
    <w:rsid w:val="00F87D14"/>
    <w:rsid w:val="00F914F3"/>
    <w:rsid w:val="00F915F0"/>
    <w:rsid w:val="00F9171A"/>
    <w:rsid w:val="00F9205E"/>
    <w:rsid w:val="00F931FE"/>
    <w:rsid w:val="00F93D11"/>
    <w:rsid w:val="00F9413A"/>
    <w:rsid w:val="00F95F8E"/>
    <w:rsid w:val="00F96312"/>
    <w:rsid w:val="00F97080"/>
    <w:rsid w:val="00F97A0A"/>
    <w:rsid w:val="00F97FCD"/>
    <w:rsid w:val="00FA10FD"/>
    <w:rsid w:val="00FA14D5"/>
    <w:rsid w:val="00FA1C0D"/>
    <w:rsid w:val="00FA2CEB"/>
    <w:rsid w:val="00FA31A3"/>
    <w:rsid w:val="00FA40FC"/>
    <w:rsid w:val="00FA49A2"/>
    <w:rsid w:val="00FA5932"/>
    <w:rsid w:val="00FA5AFC"/>
    <w:rsid w:val="00FA5B54"/>
    <w:rsid w:val="00FA6362"/>
    <w:rsid w:val="00FB0380"/>
    <w:rsid w:val="00FB13A8"/>
    <w:rsid w:val="00FB18A5"/>
    <w:rsid w:val="00FB2293"/>
    <w:rsid w:val="00FB2BFE"/>
    <w:rsid w:val="00FB53CC"/>
    <w:rsid w:val="00FB59B7"/>
    <w:rsid w:val="00FB6105"/>
    <w:rsid w:val="00FB659E"/>
    <w:rsid w:val="00FB6906"/>
    <w:rsid w:val="00FB7086"/>
    <w:rsid w:val="00FC001A"/>
    <w:rsid w:val="00FC0ADB"/>
    <w:rsid w:val="00FC0E9B"/>
    <w:rsid w:val="00FC180C"/>
    <w:rsid w:val="00FC1A71"/>
    <w:rsid w:val="00FC1D69"/>
    <w:rsid w:val="00FC1E36"/>
    <w:rsid w:val="00FC294D"/>
    <w:rsid w:val="00FC2E4C"/>
    <w:rsid w:val="00FC30DC"/>
    <w:rsid w:val="00FC34D7"/>
    <w:rsid w:val="00FC49C7"/>
    <w:rsid w:val="00FC6D9A"/>
    <w:rsid w:val="00FC7E25"/>
    <w:rsid w:val="00FC7F80"/>
    <w:rsid w:val="00FD001A"/>
    <w:rsid w:val="00FD0F6D"/>
    <w:rsid w:val="00FD1B93"/>
    <w:rsid w:val="00FD464E"/>
    <w:rsid w:val="00FD4F33"/>
    <w:rsid w:val="00FD50F0"/>
    <w:rsid w:val="00FD68AF"/>
    <w:rsid w:val="00FD698E"/>
    <w:rsid w:val="00FD6FF1"/>
    <w:rsid w:val="00FD711B"/>
    <w:rsid w:val="00FE038E"/>
    <w:rsid w:val="00FE09A8"/>
    <w:rsid w:val="00FE0EE0"/>
    <w:rsid w:val="00FE1ECC"/>
    <w:rsid w:val="00FE1F3E"/>
    <w:rsid w:val="00FE3945"/>
    <w:rsid w:val="00FE4157"/>
    <w:rsid w:val="00FE433C"/>
    <w:rsid w:val="00FE513D"/>
    <w:rsid w:val="00FE5333"/>
    <w:rsid w:val="00FE55AC"/>
    <w:rsid w:val="00FE55D6"/>
    <w:rsid w:val="00FE6EF7"/>
    <w:rsid w:val="00FF0432"/>
    <w:rsid w:val="00FF1243"/>
    <w:rsid w:val="00FF1624"/>
    <w:rsid w:val="00FF24C2"/>
    <w:rsid w:val="00FF27CC"/>
    <w:rsid w:val="00FF2D89"/>
    <w:rsid w:val="00FF37F8"/>
    <w:rsid w:val="00FF3C9C"/>
    <w:rsid w:val="00FF4658"/>
    <w:rsid w:val="00FF57C5"/>
    <w:rsid w:val="00FF5C38"/>
    <w:rsid w:val="00FF6B98"/>
    <w:rsid w:val="084A173F"/>
  </w:rsids>
  <m:mathPr>
    <m:mathFont m:val="Cambria Math"/>
    <m:brkBin m:val="before"/>
    <m:brkBinSub m:val="--"/>
    <m:smallFrac m:val="0"/>
    <m:dispDef/>
    <m:lMargin m:val="0"/>
    <m:rMargin m:val="0"/>
    <m:defJc m:val="centerGroup"/>
    <m:wrapIndent m:val="1440"/>
    <m:intLim m:val="subSup"/>
    <m:naryLim m:val="undOvr"/>
  </m:mathPr>
  <w:themeFontLang w:val="pt-BR"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80EE50"/>
  <w15:chartTrackingRefBased/>
  <w15:docId w15:val="{84033127-1B8A-4B94-89E2-7E14EA5A6A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E6F95"/>
    <w:pPr>
      <w:spacing w:after="0" w:line="360" w:lineRule="auto"/>
      <w:jc w:val="both"/>
    </w:pPr>
    <w:rPr>
      <w:rFonts w:ascii="Times New Roman" w:hAnsi="Times New Roman"/>
      <w:sz w:val="24"/>
    </w:rPr>
  </w:style>
  <w:style w:type="paragraph" w:styleId="Titolo1">
    <w:name w:val="heading 1"/>
    <w:basedOn w:val="Normale"/>
    <w:next w:val="Normale"/>
    <w:link w:val="Titolo1Carattere"/>
    <w:uiPriority w:val="9"/>
    <w:qFormat/>
    <w:rsid w:val="00902493"/>
    <w:pPr>
      <w:keepNext/>
      <w:keepLines/>
      <w:numPr>
        <w:numId w:val="5"/>
      </w:numPr>
      <w:spacing w:after="240"/>
      <w:ind w:left="862" w:hanging="862"/>
      <w:outlineLvl w:val="0"/>
    </w:pPr>
    <w:rPr>
      <w:rFonts w:eastAsiaTheme="majorEastAsia" w:cstheme="majorBidi"/>
      <w:b/>
      <w:color w:val="000000" w:themeColor="text1"/>
      <w:sz w:val="32"/>
      <w:szCs w:val="32"/>
    </w:rPr>
  </w:style>
  <w:style w:type="paragraph" w:styleId="Titolo2">
    <w:name w:val="heading 2"/>
    <w:basedOn w:val="Normale"/>
    <w:next w:val="Normale"/>
    <w:link w:val="Titolo2Carattere"/>
    <w:uiPriority w:val="9"/>
    <w:unhideWhenUsed/>
    <w:qFormat/>
    <w:rsid w:val="00902493"/>
    <w:pPr>
      <w:keepNext/>
      <w:keepLines/>
      <w:numPr>
        <w:ilvl w:val="1"/>
        <w:numId w:val="5"/>
      </w:numPr>
      <w:spacing w:before="240" w:after="240"/>
      <w:outlineLvl w:val="1"/>
    </w:pPr>
    <w:rPr>
      <w:rFonts w:eastAsiaTheme="majorEastAsia" w:cstheme="majorBidi"/>
      <w:b/>
      <w:sz w:val="28"/>
      <w:szCs w:val="26"/>
    </w:rPr>
  </w:style>
  <w:style w:type="paragraph" w:styleId="Titolo3">
    <w:name w:val="heading 3"/>
    <w:basedOn w:val="Normale"/>
    <w:next w:val="Normale"/>
    <w:link w:val="Titolo3Carattere"/>
    <w:uiPriority w:val="9"/>
    <w:unhideWhenUsed/>
    <w:qFormat/>
    <w:rsid w:val="00902493"/>
    <w:pPr>
      <w:keepNext/>
      <w:keepLines/>
      <w:numPr>
        <w:ilvl w:val="2"/>
        <w:numId w:val="5"/>
      </w:numPr>
      <w:spacing w:before="240" w:after="240"/>
      <w:ind w:left="862" w:hanging="862"/>
      <w:outlineLvl w:val="2"/>
    </w:pPr>
    <w:rPr>
      <w:rFonts w:eastAsiaTheme="majorEastAsia" w:cstheme="majorBidi"/>
      <w:b/>
      <w:szCs w:val="24"/>
    </w:rPr>
  </w:style>
  <w:style w:type="paragraph" w:styleId="Titolo4">
    <w:name w:val="heading 4"/>
    <w:basedOn w:val="Normale"/>
    <w:next w:val="Normale"/>
    <w:link w:val="Titolo4Carattere"/>
    <w:uiPriority w:val="9"/>
    <w:unhideWhenUsed/>
    <w:qFormat/>
    <w:rsid w:val="00AA3999"/>
    <w:pPr>
      <w:keepNext/>
      <w:keepLines/>
      <w:numPr>
        <w:ilvl w:val="3"/>
        <w:numId w:val="5"/>
      </w:numPr>
      <w:spacing w:before="240" w:after="240"/>
      <w:outlineLvl w:val="3"/>
    </w:pPr>
    <w:rPr>
      <w:rFonts w:eastAsiaTheme="majorEastAsia" w:cstheme="majorBidi"/>
      <w:b/>
      <w:iCs/>
    </w:rPr>
  </w:style>
  <w:style w:type="paragraph" w:styleId="Titolo5">
    <w:name w:val="heading 5"/>
    <w:basedOn w:val="Normale"/>
    <w:next w:val="Normale"/>
    <w:link w:val="Titolo5Carattere"/>
    <w:uiPriority w:val="9"/>
    <w:semiHidden/>
    <w:unhideWhenUsed/>
    <w:qFormat/>
    <w:rsid w:val="00CE765B"/>
    <w:pPr>
      <w:keepNext/>
      <w:keepLines/>
      <w:numPr>
        <w:ilvl w:val="4"/>
        <w:numId w:val="5"/>
      </w:numPr>
      <w:spacing w:before="4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CE765B"/>
    <w:pPr>
      <w:keepNext/>
      <w:keepLines/>
      <w:numPr>
        <w:ilvl w:val="5"/>
        <w:numId w:val="5"/>
      </w:numPr>
      <w:spacing w:before="4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CE765B"/>
    <w:pPr>
      <w:keepNext/>
      <w:keepLines/>
      <w:numPr>
        <w:ilvl w:val="6"/>
        <w:numId w:val="5"/>
      </w:numPr>
      <w:spacing w:before="4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CE765B"/>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CE765B"/>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02493"/>
    <w:rPr>
      <w:rFonts w:ascii="Times New Roman" w:eastAsiaTheme="majorEastAsia" w:hAnsi="Times New Roman" w:cstheme="majorBidi"/>
      <w:b/>
      <w:color w:val="000000" w:themeColor="text1"/>
      <w:sz w:val="32"/>
      <w:szCs w:val="32"/>
    </w:rPr>
  </w:style>
  <w:style w:type="character" w:customStyle="1" w:styleId="Titolo2Carattere">
    <w:name w:val="Titolo 2 Carattere"/>
    <w:basedOn w:val="Carpredefinitoparagrafo"/>
    <w:link w:val="Titolo2"/>
    <w:uiPriority w:val="9"/>
    <w:rsid w:val="00902493"/>
    <w:rPr>
      <w:rFonts w:ascii="Times New Roman" w:eastAsiaTheme="majorEastAsia" w:hAnsi="Times New Roman" w:cstheme="majorBidi"/>
      <w:b/>
      <w:sz w:val="28"/>
      <w:szCs w:val="26"/>
    </w:rPr>
  </w:style>
  <w:style w:type="character" w:customStyle="1" w:styleId="Titolo3Carattere">
    <w:name w:val="Titolo 3 Carattere"/>
    <w:basedOn w:val="Carpredefinitoparagrafo"/>
    <w:link w:val="Titolo3"/>
    <w:uiPriority w:val="9"/>
    <w:rsid w:val="00902493"/>
    <w:rPr>
      <w:rFonts w:ascii="Times New Roman" w:eastAsiaTheme="majorEastAsia" w:hAnsi="Times New Roman" w:cstheme="majorBidi"/>
      <w:b/>
      <w:sz w:val="24"/>
      <w:szCs w:val="24"/>
    </w:rPr>
  </w:style>
  <w:style w:type="character" w:customStyle="1" w:styleId="Titolo4Carattere">
    <w:name w:val="Titolo 4 Carattere"/>
    <w:basedOn w:val="Carpredefinitoparagrafo"/>
    <w:link w:val="Titolo4"/>
    <w:uiPriority w:val="9"/>
    <w:rsid w:val="00AA3999"/>
    <w:rPr>
      <w:rFonts w:ascii="Times New Roman" w:eastAsiaTheme="majorEastAsia" w:hAnsi="Times New Roman" w:cstheme="majorBidi"/>
      <w:b/>
      <w:iCs/>
      <w:sz w:val="24"/>
    </w:rPr>
  </w:style>
  <w:style w:type="paragraph" w:styleId="Testonotaapidipagina">
    <w:name w:val="footnote text"/>
    <w:basedOn w:val="Normale"/>
    <w:link w:val="TestonotaapidipaginaCarattere"/>
    <w:uiPriority w:val="99"/>
    <w:semiHidden/>
    <w:unhideWhenUsed/>
    <w:rsid w:val="00403D52"/>
    <w:pPr>
      <w:spacing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403D52"/>
    <w:rPr>
      <w:rFonts w:ascii="Times New Roman" w:hAnsi="Times New Roman"/>
      <w:sz w:val="20"/>
      <w:szCs w:val="20"/>
    </w:rPr>
  </w:style>
  <w:style w:type="character" w:styleId="Rimandonotaapidipagina">
    <w:name w:val="footnote reference"/>
    <w:basedOn w:val="Carpredefinitoparagrafo"/>
    <w:uiPriority w:val="99"/>
    <w:semiHidden/>
    <w:unhideWhenUsed/>
    <w:rsid w:val="00403D52"/>
    <w:rPr>
      <w:vertAlign w:val="superscript"/>
    </w:rPr>
  </w:style>
  <w:style w:type="paragraph" w:styleId="Didascalia">
    <w:name w:val="caption"/>
    <w:basedOn w:val="Normale"/>
    <w:next w:val="Normale"/>
    <w:uiPriority w:val="35"/>
    <w:unhideWhenUsed/>
    <w:qFormat/>
    <w:rsid w:val="006C77B7"/>
    <w:pPr>
      <w:spacing w:after="200"/>
      <w:jc w:val="center"/>
    </w:pPr>
    <w:rPr>
      <w:i/>
      <w:iCs/>
      <w:szCs w:val="18"/>
    </w:rPr>
  </w:style>
  <w:style w:type="paragraph" w:styleId="Paragrafoelenco">
    <w:name w:val="List Paragraph"/>
    <w:basedOn w:val="Normale"/>
    <w:uiPriority w:val="34"/>
    <w:qFormat/>
    <w:rsid w:val="00240260"/>
    <w:pPr>
      <w:ind w:left="890"/>
      <w:contextualSpacing/>
    </w:pPr>
  </w:style>
  <w:style w:type="character" w:styleId="Collegamentoipertestuale">
    <w:name w:val="Hyperlink"/>
    <w:basedOn w:val="Carpredefinitoparagrafo"/>
    <w:uiPriority w:val="99"/>
    <w:unhideWhenUsed/>
    <w:rsid w:val="000139D4"/>
    <w:rPr>
      <w:color w:val="0563C1" w:themeColor="hyperlink"/>
      <w:u w:val="single"/>
    </w:rPr>
  </w:style>
  <w:style w:type="character" w:customStyle="1" w:styleId="UnresolvedMention">
    <w:name w:val="Unresolved Mention"/>
    <w:basedOn w:val="Carpredefinitoparagrafo"/>
    <w:uiPriority w:val="99"/>
    <w:semiHidden/>
    <w:unhideWhenUsed/>
    <w:rsid w:val="000139D4"/>
    <w:rPr>
      <w:color w:val="605E5C"/>
      <w:shd w:val="clear" w:color="auto" w:fill="E1DFDD"/>
    </w:rPr>
  </w:style>
  <w:style w:type="table" w:styleId="Grigliatabella">
    <w:name w:val="Table Grid"/>
    <w:basedOn w:val="Tabellanormale"/>
    <w:uiPriority w:val="39"/>
    <w:rsid w:val="00ED4F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EC37FB"/>
    <w:rPr>
      <w:color w:val="808080"/>
    </w:rPr>
  </w:style>
  <w:style w:type="character" w:customStyle="1" w:styleId="fontstyle01">
    <w:name w:val="fontstyle01"/>
    <w:basedOn w:val="Carpredefinitoparagrafo"/>
    <w:rsid w:val="00B337E7"/>
    <w:rPr>
      <w:rFonts w:ascii="TimesNewRomanPSMT" w:hAnsi="TimesNewRomanPSMT" w:hint="default"/>
      <w:b w:val="0"/>
      <w:bCs w:val="0"/>
      <w:i w:val="0"/>
      <w:iCs w:val="0"/>
      <w:color w:val="000000"/>
      <w:sz w:val="24"/>
      <w:szCs w:val="24"/>
    </w:rPr>
  </w:style>
  <w:style w:type="character" w:customStyle="1" w:styleId="fontstyle21">
    <w:name w:val="fontstyle21"/>
    <w:basedOn w:val="Carpredefinitoparagrafo"/>
    <w:rsid w:val="00B337E7"/>
    <w:rPr>
      <w:rFonts w:ascii="TimesNewRomanPS-ItalicMT" w:hAnsi="TimesNewRomanPS-ItalicMT" w:hint="default"/>
      <w:b w:val="0"/>
      <w:bCs w:val="0"/>
      <w:i/>
      <w:iCs/>
      <w:color w:val="000000"/>
      <w:sz w:val="24"/>
      <w:szCs w:val="24"/>
    </w:rPr>
  </w:style>
  <w:style w:type="character" w:customStyle="1" w:styleId="fontstyle31">
    <w:name w:val="fontstyle31"/>
    <w:basedOn w:val="Carpredefinitoparagrafo"/>
    <w:rsid w:val="00B337E7"/>
    <w:rPr>
      <w:rFonts w:ascii="TimesNewRomanPS-BoldMT" w:hAnsi="TimesNewRomanPS-BoldMT" w:hint="default"/>
      <w:b/>
      <w:bCs/>
      <w:i w:val="0"/>
      <w:iCs w:val="0"/>
      <w:color w:val="000000"/>
      <w:sz w:val="24"/>
      <w:szCs w:val="24"/>
    </w:rPr>
  </w:style>
  <w:style w:type="paragraph" w:styleId="Nessunaspaziatura">
    <w:name w:val="No Spacing"/>
    <w:uiPriority w:val="1"/>
    <w:qFormat/>
    <w:rsid w:val="00843D2C"/>
    <w:pPr>
      <w:spacing w:after="0" w:line="360" w:lineRule="auto"/>
      <w:jc w:val="both"/>
    </w:pPr>
    <w:rPr>
      <w:rFonts w:ascii="Times New Roman" w:hAnsi="Times New Roman"/>
      <w:sz w:val="24"/>
    </w:rPr>
  </w:style>
  <w:style w:type="paragraph" w:styleId="Intestazione">
    <w:name w:val="header"/>
    <w:basedOn w:val="Normale"/>
    <w:link w:val="IntestazioneCarattere"/>
    <w:uiPriority w:val="99"/>
    <w:unhideWhenUsed/>
    <w:rsid w:val="00480278"/>
    <w:pPr>
      <w:tabs>
        <w:tab w:val="center" w:pos="4419"/>
        <w:tab w:val="right" w:pos="8838"/>
      </w:tabs>
      <w:spacing w:line="240" w:lineRule="auto"/>
    </w:pPr>
  </w:style>
  <w:style w:type="character" w:customStyle="1" w:styleId="IntestazioneCarattere">
    <w:name w:val="Intestazione Carattere"/>
    <w:basedOn w:val="Carpredefinitoparagrafo"/>
    <w:link w:val="Intestazione"/>
    <w:uiPriority w:val="99"/>
    <w:rsid w:val="00480278"/>
    <w:rPr>
      <w:rFonts w:ascii="Times New Roman" w:hAnsi="Times New Roman"/>
      <w:sz w:val="24"/>
    </w:rPr>
  </w:style>
  <w:style w:type="paragraph" w:styleId="Pidipagina">
    <w:name w:val="footer"/>
    <w:basedOn w:val="Normale"/>
    <w:link w:val="PidipaginaCarattere"/>
    <w:uiPriority w:val="99"/>
    <w:unhideWhenUsed/>
    <w:rsid w:val="00480278"/>
    <w:pPr>
      <w:tabs>
        <w:tab w:val="center" w:pos="4419"/>
        <w:tab w:val="right" w:pos="8838"/>
      </w:tabs>
      <w:spacing w:line="240" w:lineRule="auto"/>
    </w:pPr>
  </w:style>
  <w:style w:type="character" w:customStyle="1" w:styleId="PidipaginaCarattere">
    <w:name w:val="Piè di pagina Carattere"/>
    <w:basedOn w:val="Carpredefinitoparagrafo"/>
    <w:link w:val="Pidipagina"/>
    <w:uiPriority w:val="99"/>
    <w:rsid w:val="00480278"/>
    <w:rPr>
      <w:rFonts w:ascii="Times New Roman" w:hAnsi="Times New Roman"/>
      <w:sz w:val="24"/>
    </w:rPr>
  </w:style>
  <w:style w:type="paragraph" w:customStyle="1" w:styleId="Default">
    <w:name w:val="Default"/>
    <w:rsid w:val="00517344"/>
    <w:pPr>
      <w:autoSpaceDE w:val="0"/>
      <w:autoSpaceDN w:val="0"/>
      <w:adjustRightInd w:val="0"/>
      <w:spacing w:after="0" w:line="240" w:lineRule="auto"/>
    </w:pPr>
    <w:rPr>
      <w:rFonts w:ascii="Times New Roman" w:hAnsi="Times New Roman" w:cs="Times New Roman"/>
      <w:color w:val="000000"/>
      <w:sz w:val="24"/>
      <w:szCs w:val="24"/>
    </w:rPr>
  </w:style>
  <w:style w:type="table" w:styleId="Tabellasemplice-2">
    <w:name w:val="Plain Table 2"/>
    <w:basedOn w:val="Tabellanormale"/>
    <w:uiPriority w:val="42"/>
    <w:rsid w:val="008D5946"/>
    <w:pPr>
      <w:spacing w:after="0" w:line="240" w:lineRule="auto"/>
      <w:jc w:val="center"/>
    </w:pPr>
    <w:tblPr>
      <w:tblStyleRowBandSize w:val="1"/>
      <w:tblStyleColBandSize w:val="1"/>
      <w:tblBorders>
        <w:top w:val="single" w:sz="4" w:space="0" w:color="7F7F7F" w:themeColor="text1" w:themeTint="80"/>
        <w:bottom w:val="single" w:sz="4" w:space="0" w:color="7F7F7F" w:themeColor="text1" w:themeTint="80"/>
        <w:insideH w:val="single" w:sz="4" w:space="0" w:color="7F7F7F" w:themeColor="text1" w:themeTint="80"/>
      </w:tblBorders>
    </w:tblPr>
    <w:tcPr>
      <w:shd w:val="clear" w:color="auto" w:fill="auto"/>
      <w:vAlign w:val="center"/>
    </w:tcPr>
    <w:tblStylePr w:type="firstRow">
      <w:rPr>
        <w:b/>
        <w:bCs/>
        <w:color w:val="auto"/>
        <w:u w:val="none"/>
      </w:rPr>
      <w:tblPr/>
      <w:tcPr>
        <w:tcBorders>
          <w:top w:val="single" w:sz="12" w:space="0" w:color="000000" w:themeColor="text1"/>
          <w:bottom w:val="single" w:sz="12" w:space="0" w:color="000000" w:themeColor="text1"/>
        </w:tcBorders>
        <w:shd w:val="clear" w:color="auto" w:fill="auto"/>
      </w:tcPr>
    </w:tblStylePr>
    <w:tblStylePr w:type="lastRow">
      <w:rPr>
        <w:b/>
        <w:bCs/>
      </w:rPr>
      <w:tblPr/>
      <w:tcPr>
        <w:tcBorders>
          <w:top w:val="single" w:sz="4" w:space="0" w:color="7F7F7F" w:themeColor="text1" w:themeTint="80"/>
        </w:tcBorders>
      </w:tcPr>
    </w:tblStylePr>
    <w:tblStylePr w:type="firstCol">
      <w:rPr>
        <w:b w:val="0"/>
        <w:bCs/>
      </w:rPr>
    </w:tblStylePr>
    <w:tblStylePr w:type="lastCol">
      <w:rPr>
        <w:b w:val="0"/>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itolosommario">
    <w:name w:val="TOC Heading"/>
    <w:basedOn w:val="Titolo1"/>
    <w:next w:val="Normale"/>
    <w:uiPriority w:val="39"/>
    <w:unhideWhenUsed/>
    <w:qFormat/>
    <w:rsid w:val="00EC04F4"/>
    <w:pPr>
      <w:spacing w:before="240" w:after="0" w:line="259" w:lineRule="auto"/>
      <w:jc w:val="left"/>
      <w:outlineLvl w:val="9"/>
    </w:pPr>
    <w:rPr>
      <w:rFonts w:asciiTheme="majorHAnsi" w:hAnsiTheme="majorHAnsi"/>
      <w:b w:val="0"/>
      <w:color w:val="2F5496" w:themeColor="accent1" w:themeShade="BF"/>
    </w:rPr>
  </w:style>
  <w:style w:type="paragraph" w:styleId="Sommario1">
    <w:name w:val="toc 1"/>
    <w:basedOn w:val="Normale"/>
    <w:next w:val="Normale"/>
    <w:autoRedefine/>
    <w:uiPriority w:val="39"/>
    <w:unhideWhenUsed/>
    <w:rsid w:val="00705921"/>
    <w:pPr>
      <w:tabs>
        <w:tab w:val="left" w:pos="480"/>
        <w:tab w:val="right" w:leader="dot" w:pos="8494"/>
      </w:tabs>
      <w:spacing w:after="100"/>
    </w:pPr>
  </w:style>
  <w:style w:type="paragraph" w:styleId="Sommario2">
    <w:name w:val="toc 2"/>
    <w:basedOn w:val="Normale"/>
    <w:next w:val="Normale"/>
    <w:autoRedefine/>
    <w:uiPriority w:val="39"/>
    <w:unhideWhenUsed/>
    <w:rsid w:val="00EC04F4"/>
    <w:pPr>
      <w:spacing w:after="100"/>
      <w:ind w:left="240"/>
    </w:pPr>
  </w:style>
  <w:style w:type="paragraph" w:styleId="Sommario3">
    <w:name w:val="toc 3"/>
    <w:basedOn w:val="Normale"/>
    <w:next w:val="Normale"/>
    <w:autoRedefine/>
    <w:uiPriority w:val="39"/>
    <w:unhideWhenUsed/>
    <w:rsid w:val="00EC04F4"/>
    <w:pPr>
      <w:spacing w:after="100"/>
      <w:ind w:left="480"/>
    </w:pPr>
  </w:style>
  <w:style w:type="paragraph" w:styleId="Sommario4">
    <w:name w:val="toc 4"/>
    <w:basedOn w:val="Normale"/>
    <w:next w:val="Normale"/>
    <w:autoRedefine/>
    <w:uiPriority w:val="39"/>
    <w:unhideWhenUsed/>
    <w:rsid w:val="009953E6"/>
    <w:pPr>
      <w:tabs>
        <w:tab w:val="left" w:pos="1760"/>
        <w:tab w:val="right" w:leader="dot" w:pos="8494"/>
      </w:tabs>
      <w:spacing w:after="100"/>
      <w:ind w:left="720"/>
    </w:pPr>
  </w:style>
  <w:style w:type="paragraph" w:styleId="Indicedellefigure">
    <w:name w:val="table of figures"/>
    <w:basedOn w:val="Normale"/>
    <w:next w:val="Normale"/>
    <w:uiPriority w:val="99"/>
    <w:unhideWhenUsed/>
    <w:rsid w:val="00B965EE"/>
  </w:style>
  <w:style w:type="character" w:customStyle="1" w:styleId="fontstyle11">
    <w:name w:val="fontstyle11"/>
    <w:basedOn w:val="Carpredefinitoparagrafo"/>
    <w:rsid w:val="00FC7E25"/>
    <w:rPr>
      <w:rFonts w:ascii="AdvOTce3d9a73+fb" w:hAnsi="AdvOTce3d9a73+fb" w:hint="default"/>
      <w:b w:val="0"/>
      <w:bCs w:val="0"/>
      <w:i w:val="0"/>
      <w:iCs w:val="0"/>
      <w:color w:val="000000"/>
      <w:sz w:val="34"/>
      <w:szCs w:val="34"/>
    </w:rPr>
  </w:style>
  <w:style w:type="paragraph" w:styleId="Titolo">
    <w:name w:val="Title"/>
    <w:basedOn w:val="Normale"/>
    <w:next w:val="Normale"/>
    <w:link w:val="TitoloCarattere"/>
    <w:uiPriority w:val="10"/>
    <w:qFormat/>
    <w:rsid w:val="00A611C5"/>
    <w:pPr>
      <w:spacing w:after="240" w:line="480" w:lineRule="auto"/>
      <w:contextualSpacing/>
    </w:pPr>
    <w:rPr>
      <w:rFonts w:eastAsiaTheme="majorEastAsia" w:cstheme="majorBidi"/>
      <w:b/>
      <w:color w:val="000000" w:themeColor="text1"/>
      <w:spacing w:val="-10"/>
      <w:kern w:val="28"/>
      <w:sz w:val="32"/>
      <w:szCs w:val="56"/>
    </w:rPr>
  </w:style>
  <w:style w:type="character" w:customStyle="1" w:styleId="TitoloCarattere">
    <w:name w:val="Titolo Carattere"/>
    <w:basedOn w:val="Carpredefinitoparagrafo"/>
    <w:link w:val="Titolo"/>
    <w:uiPriority w:val="10"/>
    <w:rsid w:val="00A611C5"/>
    <w:rPr>
      <w:rFonts w:ascii="Times New Roman" w:eastAsiaTheme="majorEastAsia" w:hAnsi="Times New Roman" w:cstheme="majorBidi"/>
      <w:b/>
      <w:color w:val="000000" w:themeColor="text1"/>
      <w:spacing w:val="-10"/>
      <w:kern w:val="28"/>
      <w:sz w:val="32"/>
      <w:szCs w:val="56"/>
    </w:rPr>
  </w:style>
  <w:style w:type="character" w:customStyle="1" w:styleId="Titolo5Carattere">
    <w:name w:val="Titolo 5 Carattere"/>
    <w:basedOn w:val="Carpredefinitoparagrafo"/>
    <w:link w:val="Titolo5"/>
    <w:uiPriority w:val="9"/>
    <w:semiHidden/>
    <w:rsid w:val="00CE765B"/>
    <w:rPr>
      <w:rFonts w:asciiTheme="majorHAnsi" w:eastAsiaTheme="majorEastAsia" w:hAnsiTheme="majorHAnsi" w:cstheme="majorBidi"/>
      <w:color w:val="2F5496" w:themeColor="accent1" w:themeShade="BF"/>
      <w:sz w:val="24"/>
    </w:rPr>
  </w:style>
  <w:style w:type="character" w:customStyle="1" w:styleId="Titolo6Carattere">
    <w:name w:val="Titolo 6 Carattere"/>
    <w:basedOn w:val="Carpredefinitoparagrafo"/>
    <w:link w:val="Titolo6"/>
    <w:uiPriority w:val="9"/>
    <w:semiHidden/>
    <w:rsid w:val="00CE765B"/>
    <w:rPr>
      <w:rFonts w:asciiTheme="majorHAnsi" w:eastAsiaTheme="majorEastAsia" w:hAnsiTheme="majorHAnsi" w:cstheme="majorBidi"/>
      <w:color w:val="1F3763" w:themeColor="accent1" w:themeShade="7F"/>
      <w:sz w:val="24"/>
    </w:rPr>
  </w:style>
  <w:style w:type="character" w:customStyle="1" w:styleId="Titolo7Carattere">
    <w:name w:val="Titolo 7 Carattere"/>
    <w:basedOn w:val="Carpredefinitoparagrafo"/>
    <w:link w:val="Titolo7"/>
    <w:uiPriority w:val="9"/>
    <w:semiHidden/>
    <w:rsid w:val="00CE765B"/>
    <w:rPr>
      <w:rFonts w:asciiTheme="majorHAnsi" w:eastAsiaTheme="majorEastAsia" w:hAnsiTheme="majorHAnsi" w:cstheme="majorBidi"/>
      <w:i/>
      <w:iCs/>
      <w:color w:val="1F3763" w:themeColor="accent1" w:themeShade="7F"/>
      <w:sz w:val="24"/>
    </w:rPr>
  </w:style>
  <w:style w:type="character" w:customStyle="1" w:styleId="Titolo8Carattere">
    <w:name w:val="Titolo 8 Carattere"/>
    <w:basedOn w:val="Carpredefinitoparagrafo"/>
    <w:link w:val="Titolo8"/>
    <w:uiPriority w:val="9"/>
    <w:semiHidden/>
    <w:rsid w:val="00CE765B"/>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CE765B"/>
    <w:rPr>
      <w:rFonts w:asciiTheme="majorHAnsi" w:eastAsiaTheme="majorEastAsia" w:hAnsiTheme="majorHAnsi" w:cstheme="majorBidi"/>
      <w:i/>
      <w:iCs/>
      <w:color w:val="272727" w:themeColor="text1" w:themeTint="D8"/>
      <w:sz w:val="21"/>
      <w:szCs w:val="21"/>
    </w:rPr>
  </w:style>
  <w:style w:type="paragraph" w:styleId="Revisione">
    <w:name w:val="Revision"/>
    <w:hidden/>
    <w:uiPriority w:val="99"/>
    <w:semiHidden/>
    <w:rsid w:val="009B15D7"/>
    <w:pPr>
      <w:spacing w:after="0" w:line="240" w:lineRule="auto"/>
    </w:pPr>
    <w:rPr>
      <w:rFonts w:ascii="Times New Roman" w:hAnsi="Times New Roman"/>
      <w:sz w:val="24"/>
    </w:rPr>
  </w:style>
  <w:style w:type="character" w:styleId="Enfasigrassetto">
    <w:name w:val="Strong"/>
    <w:basedOn w:val="Carpredefinitoparagrafo"/>
    <w:uiPriority w:val="22"/>
    <w:qFormat/>
    <w:rsid w:val="003310BB"/>
    <w:rPr>
      <w:b/>
      <w:bCs/>
    </w:rPr>
  </w:style>
  <w:style w:type="paragraph" w:styleId="Testofumetto">
    <w:name w:val="Balloon Text"/>
    <w:basedOn w:val="Normale"/>
    <w:link w:val="TestofumettoCarattere"/>
    <w:uiPriority w:val="99"/>
    <w:semiHidden/>
    <w:unhideWhenUsed/>
    <w:rsid w:val="00B33343"/>
    <w:pPr>
      <w:spacing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33343"/>
    <w:rPr>
      <w:rFonts w:ascii="Segoe UI" w:hAnsi="Segoe UI" w:cs="Segoe UI"/>
      <w:sz w:val="18"/>
      <w:szCs w:val="18"/>
    </w:rPr>
  </w:style>
  <w:style w:type="paragraph" w:customStyle="1" w:styleId="Normalcompargrafo">
    <w:name w:val="Normal com parágrafo"/>
    <w:basedOn w:val="Normale"/>
    <w:link w:val="NormalcompargrafoChar"/>
    <w:qFormat/>
    <w:rsid w:val="00902493"/>
    <w:pPr>
      <w:ind w:firstLine="862"/>
    </w:pPr>
  </w:style>
  <w:style w:type="character" w:customStyle="1" w:styleId="NormalcompargrafoChar">
    <w:name w:val="Normal com parágrafo Char"/>
    <w:basedOn w:val="Carpredefinitoparagrafo"/>
    <w:link w:val="Normalcompargrafo"/>
    <w:rsid w:val="00902493"/>
    <w:rPr>
      <w:rFonts w:ascii="Times New Roman" w:hAnsi="Times New Roman"/>
      <w:sz w:val="24"/>
    </w:rPr>
  </w:style>
  <w:style w:type="character" w:styleId="Rimandocommento">
    <w:name w:val="annotation reference"/>
    <w:basedOn w:val="Carpredefinitoparagrafo"/>
    <w:uiPriority w:val="99"/>
    <w:semiHidden/>
    <w:unhideWhenUsed/>
    <w:rsid w:val="00AE7C55"/>
    <w:rPr>
      <w:sz w:val="16"/>
      <w:szCs w:val="16"/>
    </w:rPr>
  </w:style>
  <w:style w:type="paragraph" w:styleId="Testocommento">
    <w:name w:val="annotation text"/>
    <w:basedOn w:val="Normale"/>
    <w:link w:val="TestocommentoCarattere"/>
    <w:uiPriority w:val="99"/>
    <w:unhideWhenUsed/>
    <w:rsid w:val="00AE7C55"/>
    <w:pPr>
      <w:spacing w:line="240" w:lineRule="auto"/>
    </w:pPr>
    <w:rPr>
      <w:sz w:val="20"/>
      <w:szCs w:val="20"/>
    </w:rPr>
  </w:style>
  <w:style w:type="character" w:customStyle="1" w:styleId="TestocommentoCarattere">
    <w:name w:val="Testo commento Carattere"/>
    <w:basedOn w:val="Carpredefinitoparagrafo"/>
    <w:link w:val="Testocommento"/>
    <w:uiPriority w:val="99"/>
    <w:rsid w:val="00AE7C55"/>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AE7C55"/>
    <w:rPr>
      <w:b/>
      <w:bCs/>
    </w:rPr>
  </w:style>
  <w:style w:type="character" w:customStyle="1" w:styleId="SoggettocommentoCarattere">
    <w:name w:val="Soggetto commento Carattere"/>
    <w:basedOn w:val="TestocommentoCarattere"/>
    <w:link w:val="Soggettocommento"/>
    <w:uiPriority w:val="99"/>
    <w:semiHidden/>
    <w:rsid w:val="00AE7C55"/>
    <w:rPr>
      <w:rFonts w:ascii="Times New Roman" w:hAnsi="Times New Roman"/>
      <w:b/>
      <w:bCs/>
      <w:sz w:val="20"/>
      <w:szCs w:val="20"/>
    </w:rPr>
  </w:style>
  <w:style w:type="paragraph" w:customStyle="1" w:styleId="TAMainText">
    <w:name w:val="TA_Main_Text"/>
    <w:basedOn w:val="Normale"/>
    <w:rsid w:val="00474587"/>
    <w:pPr>
      <w:spacing w:line="480" w:lineRule="auto"/>
      <w:ind w:firstLine="202"/>
    </w:pPr>
    <w:rPr>
      <w:rFonts w:ascii="Times" w:eastAsia="Times New Roman" w:hAnsi="Times" w:cs="Times New Roman"/>
      <w:szCs w:val="20"/>
    </w:rPr>
  </w:style>
  <w:style w:type="paragraph" w:customStyle="1" w:styleId="BCAuthorAddress">
    <w:name w:val="BC_Author_Address"/>
    <w:basedOn w:val="Normale"/>
    <w:next w:val="Normale"/>
    <w:rsid w:val="00474587"/>
    <w:pPr>
      <w:spacing w:after="240" w:line="480" w:lineRule="auto"/>
      <w:ind w:firstLine="397"/>
      <w:jc w:val="center"/>
    </w:pPr>
    <w:rPr>
      <w:rFonts w:ascii="Times" w:eastAsia="Times New Roman" w:hAnsi="Times" w:cs="Times New Roman"/>
      <w:szCs w:val="20"/>
    </w:rPr>
  </w:style>
  <w:style w:type="paragraph" w:customStyle="1" w:styleId="FACorrespondingAuthorFootnote">
    <w:name w:val="FA_Corresponding_Author_Footnote"/>
    <w:basedOn w:val="Normale"/>
    <w:next w:val="TAMainText"/>
    <w:rsid w:val="00474587"/>
    <w:pPr>
      <w:spacing w:line="480" w:lineRule="auto"/>
      <w:ind w:firstLine="397"/>
    </w:pPr>
    <w:rPr>
      <w:rFonts w:ascii="Times" w:eastAsia="Times New Roman" w:hAnsi="Times" w:cs="Times New Roman"/>
      <w:szCs w:val="20"/>
    </w:rPr>
  </w:style>
  <w:style w:type="paragraph" w:customStyle="1" w:styleId="BBAuthorName">
    <w:name w:val="BB_Author_Name"/>
    <w:basedOn w:val="Normale"/>
    <w:next w:val="BCAuthorAddress"/>
    <w:rsid w:val="00474587"/>
    <w:pPr>
      <w:spacing w:after="240" w:line="480" w:lineRule="auto"/>
      <w:ind w:firstLine="397"/>
      <w:jc w:val="center"/>
    </w:pPr>
    <w:rPr>
      <w:rFonts w:ascii="Times" w:eastAsia="Times New Roman" w:hAnsi="Times" w:cs="Times New Roman"/>
      <w:i/>
      <w:szCs w:val="20"/>
    </w:rPr>
  </w:style>
  <w:style w:type="paragraph" w:styleId="Indice1">
    <w:name w:val="index 1"/>
    <w:basedOn w:val="Normale"/>
    <w:next w:val="Normale"/>
    <w:autoRedefine/>
    <w:uiPriority w:val="99"/>
    <w:unhideWhenUsed/>
    <w:rsid w:val="009B7314"/>
    <w:pPr>
      <w:ind w:left="240" w:hanging="240"/>
      <w:jc w:val="left"/>
    </w:pPr>
    <w:rPr>
      <w:rFonts w:asciiTheme="minorHAnsi" w:hAnsiTheme="minorHAnsi" w:cstheme="minorHAnsi"/>
      <w:sz w:val="18"/>
      <w:szCs w:val="18"/>
    </w:rPr>
  </w:style>
  <w:style w:type="paragraph" w:styleId="Indice2">
    <w:name w:val="index 2"/>
    <w:basedOn w:val="Normale"/>
    <w:next w:val="Normale"/>
    <w:autoRedefine/>
    <w:uiPriority w:val="99"/>
    <w:unhideWhenUsed/>
    <w:rsid w:val="009B7314"/>
    <w:pPr>
      <w:ind w:left="480" w:hanging="240"/>
      <w:jc w:val="left"/>
    </w:pPr>
    <w:rPr>
      <w:rFonts w:asciiTheme="minorHAnsi" w:hAnsiTheme="minorHAnsi" w:cstheme="minorHAnsi"/>
      <w:sz w:val="18"/>
      <w:szCs w:val="18"/>
    </w:rPr>
  </w:style>
  <w:style w:type="paragraph" w:styleId="Indice3">
    <w:name w:val="index 3"/>
    <w:basedOn w:val="Normale"/>
    <w:next w:val="Normale"/>
    <w:autoRedefine/>
    <w:uiPriority w:val="99"/>
    <w:unhideWhenUsed/>
    <w:rsid w:val="009B7314"/>
    <w:pPr>
      <w:ind w:left="720" w:hanging="240"/>
      <w:jc w:val="left"/>
    </w:pPr>
    <w:rPr>
      <w:rFonts w:asciiTheme="minorHAnsi" w:hAnsiTheme="minorHAnsi" w:cstheme="minorHAnsi"/>
      <w:sz w:val="18"/>
      <w:szCs w:val="18"/>
    </w:rPr>
  </w:style>
  <w:style w:type="paragraph" w:styleId="Indice4">
    <w:name w:val="index 4"/>
    <w:basedOn w:val="Normale"/>
    <w:next w:val="Normale"/>
    <w:autoRedefine/>
    <w:uiPriority w:val="99"/>
    <w:unhideWhenUsed/>
    <w:rsid w:val="009B7314"/>
    <w:pPr>
      <w:ind w:left="960" w:hanging="240"/>
      <w:jc w:val="left"/>
    </w:pPr>
    <w:rPr>
      <w:rFonts w:asciiTheme="minorHAnsi" w:hAnsiTheme="minorHAnsi" w:cstheme="minorHAnsi"/>
      <w:sz w:val="18"/>
      <w:szCs w:val="18"/>
    </w:rPr>
  </w:style>
  <w:style w:type="paragraph" w:styleId="Indice5">
    <w:name w:val="index 5"/>
    <w:basedOn w:val="Normale"/>
    <w:next w:val="Normale"/>
    <w:autoRedefine/>
    <w:uiPriority w:val="99"/>
    <w:unhideWhenUsed/>
    <w:rsid w:val="009B7314"/>
    <w:pPr>
      <w:ind w:left="1200" w:hanging="240"/>
      <w:jc w:val="left"/>
    </w:pPr>
    <w:rPr>
      <w:rFonts w:asciiTheme="minorHAnsi" w:hAnsiTheme="minorHAnsi" w:cstheme="minorHAnsi"/>
      <w:sz w:val="18"/>
      <w:szCs w:val="18"/>
    </w:rPr>
  </w:style>
  <w:style w:type="paragraph" w:styleId="Indice6">
    <w:name w:val="index 6"/>
    <w:basedOn w:val="Normale"/>
    <w:next w:val="Normale"/>
    <w:autoRedefine/>
    <w:uiPriority w:val="99"/>
    <w:unhideWhenUsed/>
    <w:rsid w:val="009B7314"/>
    <w:pPr>
      <w:ind w:left="1440" w:hanging="240"/>
      <w:jc w:val="left"/>
    </w:pPr>
    <w:rPr>
      <w:rFonts w:asciiTheme="minorHAnsi" w:hAnsiTheme="minorHAnsi" w:cstheme="minorHAnsi"/>
      <w:sz w:val="18"/>
      <w:szCs w:val="18"/>
    </w:rPr>
  </w:style>
  <w:style w:type="paragraph" w:styleId="Indice7">
    <w:name w:val="index 7"/>
    <w:basedOn w:val="Normale"/>
    <w:next w:val="Normale"/>
    <w:autoRedefine/>
    <w:uiPriority w:val="99"/>
    <w:unhideWhenUsed/>
    <w:rsid w:val="009B7314"/>
    <w:pPr>
      <w:ind w:left="1680" w:hanging="240"/>
      <w:jc w:val="left"/>
    </w:pPr>
    <w:rPr>
      <w:rFonts w:asciiTheme="minorHAnsi" w:hAnsiTheme="minorHAnsi" w:cstheme="minorHAnsi"/>
      <w:sz w:val="18"/>
      <w:szCs w:val="18"/>
    </w:rPr>
  </w:style>
  <w:style w:type="paragraph" w:styleId="Indice8">
    <w:name w:val="index 8"/>
    <w:basedOn w:val="Normale"/>
    <w:next w:val="Normale"/>
    <w:autoRedefine/>
    <w:uiPriority w:val="99"/>
    <w:unhideWhenUsed/>
    <w:rsid w:val="009B7314"/>
    <w:pPr>
      <w:ind w:left="1920" w:hanging="240"/>
      <w:jc w:val="left"/>
    </w:pPr>
    <w:rPr>
      <w:rFonts w:asciiTheme="minorHAnsi" w:hAnsiTheme="minorHAnsi" w:cstheme="minorHAnsi"/>
      <w:sz w:val="18"/>
      <w:szCs w:val="18"/>
    </w:rPr>
  </w:style>
  <w:style w:type="paragraph" w:styleId="Indice9">
    <w:name w:val="index 9"/>
    <w:basedOn w:val="Normale"/>
    <w:next w:val="Normale"/>
    <w:autoRedefine/>
    <w:uiPriority w:val="99"/>
    <w:unhideWhenUsed/>
    <w:rsid w:val="009B7314"/>
    <w:pPr>
      <w:ind w:left="2160" w:hanging="240"/>
      <w:jc w:val="left"/>
    </w:pPr>
    <w:rPr>
      <w:rFonts w:asciiTheme="minorHAnsi" w:hAnsiTheme="minorHAnsi" w:cstheme="minorHAnsi"/>
      <w:sz w:val="18"/>
      <w:szCs w:val="18"/>
    </w:rPr>
  </w:style>
  <w:style w:type="paragraph" w:styleId="Titoloindice">
    <w:name w:val="index heading"/>
    <w:basedOn w:val="Normale"/>
    <w:next w:val="Indice1"/>
    <w:uiPriority w:val="99"/>
    <w:unhideWhenUsed/>
    <w:rsid w:val="009B7314"/>
    <w:pPr>
      <w:pBdr>
        <w:top w:val="double" w:sz="6" w:space="0" w:color="auto" w:shadow="1"/>
        <w:left w:val="double" w:sz="6" w:space="0" w:color="auto" w:shadow="1"/>
        <w:bottom w:val="double" w:sz="6" w:space="0" w:color="auto" w:shadow="1"/>
        <w:right w:val="double" w:sz="6" w:space="0" w:color="auto" w:shadow="1"/>
      </w:pBdr>
      <w:spacing w:before="240" w:after="120"/>
      <w:jc w:val="center"/>
    </w:pPr>
    <w:rPr>
      <w:rFonts w:asciiTheme="majorHAnsi" w:hAnsiTheme="majorHAnsi" w:cstheme="majorHAnsi"/>
      <w:b/>
      <w:bCs/>
      <w:sz w:val="22"/>
    </w:rPr>
  </w:style>
  <w:style w:type="character" w:customStyle="1" w:styleId="ipa">
    <w:name w:val="ipa"/>
    <w:basedOn w:val="Carpredefinitoparagrafo"/>
    <w:rsid w:val="001A039B"/>
  </w:style>
  <w:style w:type="character" w:customStyle="1" w:styleId="title-text">
    <w:name w:val="title-text"/>
    <w:basedOn w:val="Carpredefinitoparagrafo"/>
    <w:rsid w:val="0041324A"/>
  </w:style>
  <w:style w:type="character" w:customStyle="1" w:styleId="hithilite">
    <w:name w:val="hithilite"/>
    <w:basedOn w:val="Carpredefinitoparagrafo"/>
    <w:rsid w:val="004132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604170">
      <w:bodyDiv w:val="1"/>
      <w:marLeft w:val="0"/>
      <w:marRight w:val="0"/>
      <w:marTop w:val="0"/>
      <w:marBottom w:val="0"/>
      <w:divBdr>
        <w:top w:val="none" w:sz="0" w:space="0" w:color="auto"/>
        <w:left w:val="none" w:sz="0" w:space="0" w:color="auto"/>
        <w:bottom w:val="none" w:sz="0" w:space="0" w:color="auto"/>
        <w:right w:val="none" w:sz="0" w:space="0" w:color="auto"/>
      </w:divBdr>
    </w:div>
    <w:div w:id="295962103">
      <w:bodyDiv w:val="1"/>
      <w:marLeft w:val="0"/>
      <w:marRight w:val="0"/>
      <w:marTop w:val="0"/>
      <w:marBottom w:val="0"/>
      <w:divBdr>
        <w:top w:val="none" w:sz="0" w:space="0" w:color="auto"/>
        <w:left w:val="none" w:sz="0" w:space="0" w:color="auto"/>
        <w:bottom w:val="none" w:sz="0" w:space="0" w:color="auto"/>
        <w:right w:val="none" w:sz="0" w:space="0" w:color="auto"/>
      </w:divBdr>
      <w:divsChild>
        <w:div w:id="1335648249">
          <w:marLeft w:val="0"/>
          <w:marRight w:val="0"/>
          <w:marTop w:val="0"/>
          <w:marBottom w:val="0"/>
          <w:divBdr>
            <w:top w:val="none" w:sz="0" w:space="0" w:color="auto"/>
            <w:left w:val="none" w:sz="0" w:space="0" w:color="auto"/>
            <w:bottom w:val="none" w:sz="0" w:space="0" w:color="auto"/>
            <w:right w:val="none" w:sz="0" w:space="0" w:color="auto"/>
          </w:divBdr>
        </w:div>
        <w:div w:id="1805074954">
          <w:marLeft w:val="0"/>
          <w:marRight w:val="0"/>
          <w:marTop w:val="0"/>
          <w:marBottom w:val="0"/>
          <w:divBdr>
            <w:top w:val="none" w:sz="0" w:space="0" w:color="auto"/>
            <w:left w:val="none" w:sz="0" w:space="0" w:color="auto"/>
            <w:bottom w:val="none" w:sz="0" w:space="0" w:color="auto"/>
            <w:right w:val="none" w:sz="0" w:space="0" w:color="auto"/>
          </w:divBdr>
        </w:div>
      </w:divsChild>
    </w:div>
    <w:div w:id="480270659">
      <w:bodyDiv w:val="1"/>
      <w:marLeft w:val="0"/>
      <w:marRight w:val="0"/>
      <w:marTop w:val="0"/>
      <w:marBottom w:val="0"/>
      <w:divBdr>
        <w:top w:val="none" w:sz="0" w:space="0" w:color="auto"/>
        <w:left w:val="none" w:sz="0" w:space="0" w:color="auto"/>
        <w:bottom w:val="none" w:sz="0" w:space="0" w:color="auto"/>
        <w:right w:val="none" w:sz="0" w:space="0" w:color="auto"/>
      </w:divBdr>
    </w:div>
    <w:div w:id="801122014">
      <w:bodyDiv w:val="1"/>
      <w:marLeft w:val="0"/>
      <w:marRight w:val="0"/>
      <w:marTop w:val="0"/>
      <w:marBottom w:val="0"/>
      <w:divBdr>
        <w:top w:val="none" w:sz="0" w:space="0" w:color="auto"/>
        <w:left w:val="none" w:sz="0" w:space="0" w:color="auto"/>
        <w:bottom w:val="none" w:sz="0" w:space="0" w:color="auto"/>
        <w:right w:val="none" w:sz="0" w:space="0" w:color="auto"/>
      </w:divBdr>
    </w:div>
    <w:div w:id="1082609429">
      <w:bodyDiv w:val="1"/>
      <w:marLeft w:val="0"/>
      <w:marRight w:val="0"/>
      <w:marTop w:val="0"/>
      <w:marBottom w:val="0"/>
      <w:divBdr>
        <w:top w:val="none" w:sz="0" w:space="0" w:color="auto"/>
        <w:left w:val="none" w:sz="0" w:space="0" w:color="auto"/>
        <w:bottom w:val="none" w:sz="0" w:space="0" w:color="auto"/>
        <w:right w:val="none" w:sz="0" w:space="0" w:color="auto"/>
      </w:divBdr>
    </w:div>
    <w:div w:id="1201481248">
      <w:bodyDiv w:val="1"/>
      <w:marLeft w:val="0"/>
      <w:marRight w:val="0"/>
      <w:marTop w:val="0"/>
      <w:marBottom w:val="0"/>
      <w:divBdr>
        <w:top w:val="none" w:sz="0" w:space="0" w:color="auto"/>
        <w:left w:val="none" w:sz="0" w:space="0" w:color="auto"/>
        <w:bottom w:val="none" w:sz="0" w:space="0" w:color="auto"/>
        <w:right w:val="none" w:sz="0" w:space="0" w:color="auto"/>
      </w:divBdr>
    </w:div>
    <w:div w:id="1233852152">
      <w:bodyDiv w:val="1"/>
      <w:marLeft w:val="0"/>
      <w:marRight w:val="0"/>
      <w:marTop w:val="0"/>
      <w:marBottom w:val="0"/>
      <w:divBdr>
        <w:top w:val="none" w:sz="0" w:space="0" w:color="auto"/>
        <w:left w:val="none" w:sz="0" w:space="0" w:color="auto"/>
        <w:bottom w:val="none" w:sz="0" w:space="0" w:color="auto"/>
        <w:right w:val="none" w:sz="0" w:space="0" w:color="auto"/>
      </w:divBdr>
    </w:div>
    <w:div w:id="1362587208">
      <w:bodyDiv w:val="1"/>
      <w:marLeft w:val="0"/>
      <w:marRight w:val="0"/>
      <w:marTop w:val="0"/>
      <w:marBottom w:val="0"/>
      <w:divBdr>
        <w:top w:val="none" w:sz="0" w:space="0" w:color="auto"/>
        <w:left w:val="none" w:sz="0" w:space="0" w:color="auto"/>
        <w:bottom w:val="none" w:sz="0" w:space="0" w:color="auto"/>
        <w:right w:val="none" w:sz="0" w:space="0" w:color="auto"/>
      </w:divBdr>
    </w:div>
    <w:div w:id="1788161389">
      <w:bodyDiv w:val="1"/>
      <w:marLeft w:val="0"/>
      <w:marRight w:val="0"/>
      <w:marTop w:val="0"/>
      <w:marBottom w:val="0"/>
      <w:divBdr>
        <w:top w:val="none" w:sz="0" w:space="0" w:color="auto"/>
        <w:left w:val="none" w:sz="0" w:space="0" w:color="auto"/>
        <w:bottom w:val="none" w:sz="0" w:space="0" w:color="auto"/>
        <w:right w:val="none" w:sz="0" w:space="0" w:color="auto"/>
      </w:divBdr>
    </w:div>
    <w:div w:id="1959867756">
      <w:bodyDiv w:val="1"/>
      <w:marLeft w:val="0"/>
      <w:marRight w:val="0"/>
      <w:marTop w:val="0"/>
      <w:marBottom w:val="0"/>
      <w:divBdr>
        <w:top w:val="none" w:sz="0" w:space="0" w:color="auto"/>
        <w:left w:val="none" w:sz="0" w:space="0" w:color="auto"/>
        <w:bottom w:val="none" w:sz="0" w:space="0" w:color="auto"/>
        <w:right w:val="none" w:sz="0" w:space="0" w:color="auto"/>
      </w:divBdr>
    </w:div>
    <w:div w:id="1965454519">
      <w:bodyDiv w:val="1"/>
      <w:marLeft w:val="0"/>
      <w:marRight w:val="0"/>
      <w:marTop w:val="0"/>
      <w:marBottom w:val="0"/>
      <w:divBdr>
        <w:top w:val="none" w:sz="0" w:space="0" w:color="auto"/>
        <w:left w:val="none" w:sz="0" w:space="0" w:color="auto"/>
        <w:bottom w:val="none" w:sz="0" w:space="0" w:color="auto"/>
        <w:right w:val="none" w:sz="0" w:space="0" w:color="auto"/>
      </w:divBdr>
    </w:div>
    <w:div w:id="2058435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tia.sponchioni@polimi.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8A65A0-CEB3-4CA2-94F3-02DD7BF0D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19</Pages>
  <Words>24460</Words>
  <Characters>139428</Characters>
  <Application>Microsoft Office Word</Application>
  <DocSecurity>0</DocSecurity>
  <Lines>1161</Lines>
  <Paragraphs>327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Mattia Sponchioni</dc:creator>
  <cp:keywords/>
  <dc:description/>
  <cp:lastModifiedBy>Mattia Sponchioni</cp:lastModifiedBy>
  <cp:revision>4</cp:revision>
  <cp:lastPrinted>2018-12-10T20:19:00Z</cp:lastPrinted>
  <dcterms:created xsi:type="dcterms:W3CDTF">2020-05-06T19:48:00Z</dcterms:created>
  <dcterms:modified xsi:type="dcterms:W3CDTF">2020-05-06T20:26:00Z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http://www.zotero.org/styles/american-medical-association</vt:lpwstr>
  </property>
  <property fmtid="{D5CDD505-2E9C-101B-9397-08002B2CF9AE}" pid="5" name="Mendeley Recent Style Name 1_1">
    <vt:lpwstr>American Medical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http://www.zotero.org/styles/industrial-and-engineering-chemistry-research</vt:lpwstr>
  </property>
  <property fmtid="{D5CDD505-2E9C-101B-9397-08002B2CF9AE}" pid="15" name="Mendeley Recent Style Name 6_1">
    <vt:lpwstr>Industrial &amp; Engineering Chemistry Research</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ddefd0e5-2d9e-327c-a80d-0125758bb9ec</vt:lpwstr>
  </property>
  <property fmtid="{D5CDD505-2E9C-101B-9397-08002B2CF9AE}" pid="24" name="Mendeley Citation Style_1">
    <vt:lpwstr>http://www.zotero.org/styles/nature</vt:lpwstr>
  </property>
</Properties>
</file>