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1FF4C9" w14:textId="25A63FB8" w:rsidR="001A217B" w:rsidRPr="004A2865" w:rsidRDefault="00604912" w:rsidP="00462F8E">
      <w:pPr>
        <w:spacing w:after="160" w:line="259" w:lineRule="auto"/>
        <w:jc w:val="center"/>
        <w:rPr>
          <w:rFonts w:eastAsia="Calibri"/>
          <w:b/>
          <w:bCs/>
          <w:iCs/>
          <w:spacing w:val="5"/>
          <w:sz w:val="32"/>
          <w:szCs w:val="32"/>
          <w:lang w:val="en-GB" w:eastAsia="en-US"/>
        </w:rPr>
      </w:pPr>
      <w:r w:rsidRPr="004A2865">
        <w:rPr>
          <w:rFonts w:eastAsia="Calibri"/>
          <w:b/>
          <w:bCs/>
          <w:iCs/>
          <w:spacing w:val="5"/>
          <w:sz w:val="32"/>
          <w:szCs w:val="32"/>
          <w:lang w:val="en-GB" w:eastAsia="en-US"/>
        </w:rPr>
        <w:t xml:space="preserve">Towards </w:t>
      </w:r>
      <w:r w:rsidR="00462F8E" w:rsidRPr="004A2865">
        <w:rPr>
          <w:rFonts w:eastAsia="Calibri"/>
          <w:b/>
          <w:bCs/>
          <w:iCs/>
          <w:spacing w:val="5"/>
          <w:sz w:val="32"/>
          <w:szCs w:val="32"/>
          <w:lang w:val="en-GB" w:eastAsia="en-US"/>
        </w:rPr>
        <w:t>Circular Business Models</w:t>
      </w:r>
      <w:r w:rsidRPr="004A2865">
        <w:rPr>
          <w:rFonts w:eastAsia="Calibri"/>
          <w:b/>
          <w:bCs/>
          <w:iCs/>
          <w:spacing w:val="5"/>
          <w:sz w:val="32"/>
          <w:szCs w:val="32"/>
          <w:lang w:val="en-GB" w:eastAsia="en-US"/>
        </w:rPr>
        <w:t>: A systematic literature review o</w:t>
      </w:r>
      <w:r w:rsidR="007E41FD">
        <w:rPr>
          <w:rFonts w:eastAsia="Calibri"/>
          <w:b/>
          <w:bCs/>
          <w:iCs/>
          <w:spacing w:val="5"/>
          <w:sz w:val="32"/>
          <w:szCs w:val="32"/>
          <w:lang w:val="en-GB" w:eastAsia="en-US"/>
        </w:rPr>
        <w:t>n</w:t>
      </w:r>
      <w:r w:rsidRPr="004A2865">
        <w:rPr>
          <w:rFonts w:eastAsia="Calibri"/>
          <w:b/>
          <w:bCs/>
          <w:iCs/>
          <w:spacing w:val="5"/>
          <w:sz w:val="32"/>
          <w:szCs w:val="32"/>
          <w:lang w:val="en-GB" w:eastAsia="en-US"/>
        </w:rPr>
        <w:t xml:space="preserve"> classification frameworks and archetypes</w:t>
      </w:r>
    </w:p>
    <w:p w14:paraId="49FE80C3" w14:textId="1E4D6015" w:rsidR="001A217B" w:rsidRPr="0001427A" w:rsidRDefault="001A217B" w:rsidP="001A217B">
      <w:pPr>
        <w:jc w:val="center"/>
      </w:pPr>
      <w:r w:rsidRPr="0001427A">
        <w:t>Paolo Rosa</w:t>
      </w:r>
      <w:r w:rsidR="009D26E8" w:rsidRPr="0001427A">
        <w:t xml:space="preserve"> </w:t>
      </w:r>
      <w:r w:rsidR="009D26E8" w:rsidRPr="0001427A">
        <w:rPr>
          <w:vertAlign w:val="superscript"/>
        </w:rPr>
        <w:t>§</w:t>
      </w:r>
      <w:r w:rsidRPr="0001427A">
        <w:t>,</w:t>
      </w:r>
      <w:r w:rsidR="00462F8E" w:rsidRPr="0001427A">
        <w:t xml:space="preserve"> Claudio Sassanelli,</w:t>
      </w:r>
      <w:r w:rsidRPr="0001427A">
        <w:rPr>
          <w:vertAlign w:val="superscript"/>
        </w:rPr>
        <w:t xml:space="preserve"> </w:t>
      </w:r>
      <w:r w:rsidRPr="0001427A">
        <w:t>Sergio Terz</w:t>
      </w:r>
      <w:r w:rsidR="001E06E6" w:rsidRPr="0001427A">
        <w:t>i</w:t>
      </w:r>
    </w:p>
    <w:p w14:paraId="0533B4E4" w14:textId="77777777" w:rsidR="001326A6" w:rsidRPr="0001427A" w:rsidRDefault="001326A6" w:rsidP="001A217B">
      <w:pPr>
        <w:pStyle w:val="Affiliation"/>
        <w:spacing w:line="360" w:lineRule="auto"/>
        <w:rPr>
          <w:sz w:val="24"/>
          <w:szCs w:val="24"/>
          <w:vertAlign w:val="superscript"/>
          <w:lang w:val="it-IT"/>
        </w:rPr>
      </w:pPr>
    </w:p>
    <w:p w14:paraId="35F42C51" w14:textId="2670055E" w:rsidR="001326A6" w:rsidRPr="00402AEC" w:rsidRDefault="001A217B" w:rsidP="001326A6">
      <w:pPr>
        <w:pStyle w:val="Affiliation"/>
        <w:spacing w:line="360" w:lineRule="auto"/>
        <w:rPr>
          <w:sz w:val="24"/>
          <w:szCs w:val="24"/>
          <w:lang w:val="en-GB"/>
        </w:rPr>
      </w:pPr>
      <w:r w:rsidRPr="00402AEC">
        <w:rPr>
          <w:sz w:val="24"/>
          <w:szCs w:val="24"/>
          <w:lang w:val="en-GB"/>
        </w:rPr>
        <w:t xml:space="preserve">Department of Management, Economics and Industrial Engineering, </w:t>
      </w:r>
    </w:p>
    <w:p w14:paraId="338B049C" w14:textId="42446E2E" w:rsidR="001A217B" w:rsidRPr="0001427A" w:rsidRDefault="001A217B" w:rsidP="00334C9C">
      <w:pPr>
        <w:pStyle w:val="Affiliation"/>
        <w:spacing w:line="360" w:lineRule="auto"/>
        <w:rPr>
          <w:sz w:val="24"/>
          <w:szCs w:val="24"/>
          <w:lang w:val="it-IT"/>
        </w:rPr>
      </w:pPr>
      <w:r w:rsidRPr="0001427A">
        <w:rPr>
          <w:sz w:val="24"/>
          <w:szCs w:val="24"/>
          <w:lang w:val="it-IT"/>
        </w:rPr>
        <w:t>Politecnico di Milano,</w:t>
      </w:r>
      <w:r w:rsidR="001326A6" w:rsidRPr="0001427A">
        <w:rPr>
          <w:sz w:val="24"/>
          <w:szCs w:val="24"/>
          <w:lang w:val="it-IT"/>
        </w:rPr>
        <w:t xml:space="preserve"> </w:t>
      </w:r>
      <w:r w:rsidRPr="0001427A">
        <w:rPr>
          <w:sz w:val="24"/>
          <w:szCs w:val="24"/>
          <w:lang w:val="it-IT"/>
        </w:rPr>
        <w:t>Piazza Leonardo da Vinci 32, 20133 Milan</w:t>
      </w:r>
      <w:r w:rsidR="00651A45" w:rsidRPr="0001427A">
        <w:rPr>
          <w:sz w:val="24"/>
          <w:szCs w:val="24"/>
          <w:lang w:val="it-IT"/>
        </w:rPr>
        <w:t xml:space="preserve"> -</w:t>
      </w:r>
      <w:r w:rsidRPr="0001427A">
        <w:rPr>
          <w:sz w:val="24"/>
          <w:szCs w:val="24"/>
          <w:lang w:val="it-IT"/>
        </w:rPr>
        <w:t xml:space="preserve"> Italy</w:t>
      </w:r>
    </w:p>
    <w:p w14:paraId="1A22F742" w14:textId="58CBB863" w:rsidR="00663F3C" w:rsidRPr="00402AEC" w:rsidRDefault="001A217B" w:rsidP="001326A6">
      <w:pPr>
        <w:pStyle w:val="Affiliation"/>
        <w:spacing w:line="360" w:lineRule="auto"/>
        <w:rPr>
          <w:sz w:val="24"/>
          <w:szCs w:val="24"/>
          <w:lang w:val="en-GB"/>
        </w:rPr>
      </w:pPr>
      <w:r w:rsidRPr="00402AEC">
        <w:rPr>
          <w:sz w:val="24"/>
          <w:vertAlign w:val="superscript"/>
          <w:lang w:val="en-GB"/>
        </w:rPr>
        <w:t>§</w:t>
      </w:r>
      <w:r w:rsidRPr="00402AEC">
        <w:rPr>
          <w:vertAlign w:val="superscript"/>
          <w:lang w:val="en-GB"/>
        </w:rPr>
        <w:t xml:space="preserve"> </w:t>
      </w:r>
      <w:r w:rsidRPr="00402AEC">
        <w:rPr>
          <w:sz w:val="24"/>
          <w:lang w:val="en-GB"/>
        </w:rPr>
        <w:t>Corresponding author</w:t>
      </w:r>
      <w:r w:rsidR="001E06E6" w:rsidRPr="00402AEC">
        <w:rPr>
          <w:sz w:val="24"/>
          <w:lang w:val="en-GB"/>
        </w:rPr>
        <w:t>:</w:t>
      </w:r>
      <w:r w:rsidRPr="00402AEC">
        <w:rPr>
          <w:sz w:val="24"/>
          <w:lang w:val="en-GB"/>
        </w:rPr>
        <w:t xml:space="preserve"> </w:t>
      </w:r>
      <w:r w:rsidR="009D26E8" w:rsidRPr="00402AEC">
        <w:rPr>
          <w:rStyle w:val="Collegamentoipertestuale"/>
          <w:sz w:val="24"/>
          <w:lang w:val="en-GB"/>
        </w:rPr>
        <w:t>paolo1.rosa@polimi.it</w:t>
      </w:r>
    </w:p>
    <w:p w14:paraId="15BFB3CC" w14:textId="77777777" w:rsidR="001A217B" w:rsidRPr="00402AEC" w:rsidRDefault="001A217B" w:rsidP="003374C9">
      <w:pPr>
        <w:rPr>
          <w:sz w:val="21"/>
          <w:szCs w:val="21"/>
          <w:lang w:val="en-GB"/>
        </w:rPr>
      </w:pPr>
    </w:p>
    <w:p w14:paraId="6E155E33" w14:textId="0A04307F" w:rsidR="007E1765" w:rsidRPr="00402AEC" w:rsidRDefault="001A217B" w:rsidP="001A217B">
      <w:pPr>
        <w:rPr>
          <w:b/>
          <w:lang w:val="en-GB"/>
        </w:rPr>
      </w:pPr>
      <w:r w:rsidRPr="00402AEC">
        <w:rPr>
          <w:rFonts w:eastAsia="Calibri"/>
          <w:b/>
          <w:lang w:val="en-GB"/>
        </w:rPr>
        <w:t>Abstract</w:t>
      </w:r>
    </w:p>
    <w:p w14:paraId="32814C30" w14:textId="6E70D574" w:rsidR="00604912" w:rsidRPr="00402AEC" w:rsidRDefault="00300C91" w:rsidP="00831FD6">
      <w:pPr>
        <w:spacing w:line="360" w:lineRule="auto"/>
        <w:jc w:val="both"/>
        <w:rPr>
          <w:lang w:val="en-GB"/>
        </w:rPr>
      </w:pPr>
      <w:r w:rsidRPr="00551A1E">
        <w:rPr>
          <w:lang w:val="en-GB"/>
        </w:rPr>
        <w:t>Since many years, companies are trying to cope with</w:t>
      </w:r>
      <w:r w:rsidR="007E6F6C">
        <w:rPr>
          <w:lang w:val="en-GB"/>
        </w:rPr>
        <w:t xml:space="preserve"> impressive</w:t>
      </w:r>
      <w:r w:rsidRPr="00551A1E">
        <w:rPr>
          <w:lang w:val="en-GB"/>
        </w:rPr>
        <w:t xml:space="preserve"> technological growth </w:t>
      </w:r>
      <w:r w:rsidR="007E6F6C">
        <w:rPr>
          <w:lang w:val="en-GB"/>
        </w:rPr>
        <w:t>rates</w:t>
      </w:r>
      <w:r w:rsidR="00F368CD">
        <w:rPr>
          <w:lang w:val="en-GB"/>
        </w:rPr>
        <w:t>,</w:t>
      </w:r>
      <w:r w:rsidR="007E6F6C">
        <w:rPr>
          <w:lang w:val="en-GB"/>
        </w:rPr>
        <w:t xml:space="preserve"> </w:t>
      </w:r>
      <w:r w:rsidRPr="00551A1E">
        <w:rPr>
          <w:lang w:val="en-GB"/>
        </w:rPr>
        <w:t>severe environmental issues</w:t>
      </w:r>
      <w:r w:rsidR="00F368CD">
        <w:rPr>
          <w:lang w:val="en-GB"/>
        </w:rPr>
        <w:t xml:space="preserve"> and</w:t>
      </w:r>
      <w:r w:rsidRPr="00551A1E">
        <w:rPr>
          <w:lang w:val="en-GB"/>
        </w:rPr>
        <w:t xml:space="preserve"> even more restrictive national and international directives. However, innovative Business Models (BMs) and industrial strategies adequate to this new context are still </w:t>
      </w:r>
      <w:r w:rsidR="003D064D">
        <w:rPr>
          <w:lang w:val="en-GB"/>
        </w:rPr>
        <w:t xml:space="preserve">either </w:t>
      </w:r>
      <w:r w:rsidR="00706310">
        <w:rPr>
          <w:lang w:val="en-GB"/>
        </w:rPr>
        <w:t xml:space="preserve">under </w:t>
      </w:r>
      <w:r w:rsidR="00C771B9">
        <w:rPr>
          <w:lang w:val="en-GB"/>
        </w:rPr>
        <w:t>development</w:t>
      </w:r>
      <w:r w:rsidR="003D064D">
        <w:rPr>
          <w:lang w:val="en-GB"/>
        </w:rPr>
        <w:t xml:space="preserve"> or implementation</w:t>
      </w:r>
      <w:r w:rsidR="00865477">
        <w:rPr>
          <w:lang w:val="en-GB"/>
        </w:rPr>
        <w:t>.</w:t>
      </w:r>
      <w:r w:rsidRPr="00551A1E">
        <w:rPr>
          <w:lang w:val="en-GB"/>
        </w:rPr>
        <w:t xml:space="preserve"> </w:t>
      </w:r>
      <w:r w:rsidR="00175E7A" w:rsidRPr="00402AEC">
        <w:rPr>
          <w:lang w:val="en-GB"/>
        </w:rPr>
        <w:t xml:space="preserve">To this aim, </w:t>
      </w:r>
      <w:r w:rsidR="00462F8E" w:rsidRPr="00402AEC">
        <w:rPr>
          <w:lang w:val="en-GB"/>
        </w:rPr>
        <w:t>th</w:t>
      </w:r>
      <w:r w:rsidR="00604912" w:rsidRPr="00402AEC">
        <w:rPr>
          <w:lang w:val="en-GB"/>
        </w:rPr>
        <w:t>e</w:t>
      </w:r>
      <w:r w:rsidR="00462F8E" w:rsidRPr="00402AEC">
        <w:rPr>
          <w:lang w:val="en-GB"/>
        </w:rPr>
        <w:t xml:space="preserve"> article </w:t>
      </w:r>
      <w:r w:rsidR="00A60A4F" w:rsidRPr="00402AEC">
        <w:rPr>
          <w:lang w:val="en-GB"/>
        </w:rPr>
        <w:t xml:space="preserve">proposes a </w:t>
      </w:r>
      <w:r w:rsidR="00D96B4F" w:rsidRPr="00402AEC">
        <w:rPr>
          <w:lang w:val="en-GB"/>
        </w:rPr>
        <w:t>systematic literature review</w:t>
      </w:r>
      <w:r w:rsidR="00462F8E" w:rsidRPr="00402AEC">
        <w:rPr>
          <w:lang w:val="en-GB"/>
        </w:rPr>
        <w:t xml:space="preserve"> </w:t>
      </w:r>
      <w:r w:rsidR="008649DC" w:rsidRPr="00402AEC">
        <w:rPr>
          <w:lang w:val="en-GB"/>
        </w:rPr>
        <w:t>o</w:t>
      </w:r>
      <w:r w:rsidR="00A76BAD" w:rsidRPr="00402AEC">
        <w:rPr>
          <w:lang w:val="en-GB"/>
        </w:rPr>
        <w:t>n</w:t>
      </w:r>
      <w:r w:rsidR="008649DC" w:rsidRPr="00402AEC">
        <w:rPr>
          <w:lang w:val="en-GB"/>
        </w:rPr>
        <w:t xml:space="preserve"> existing</w:t>
      </w:r>
      <w:r w:rsidR="00462F8E" w:rsidRPr="00402AEC">
        <w:rPr>
          <w:lang w:val="en-GB"/>
        </w:rPr>
        <w:t xml:space="preserve"> </w:t>
      </w:r>
      <w:r w:rsidR="00865477">
        <w:rPr>
          <w:lang w:val="en-GB"/>
        </w:rPr>
        <w:t>Circular Business Models (</w:t>
      </w:r>
      <w:r w:rsidR="00175E7A" w:rsidRPr="00402AEC">
        <w:rPr>
          <w:lang w:val="en-GB"/>
        </w:rPr>
        <w:t>CBMs</w:t>
      </w:r>
      <w:r w:rsidR="00865477">
        <w:rPr>
          <w:lang w:val="en-GB"/>
        </w:rPr>
        <w:t>)</w:t>
      </w:r>
      <w:r w:rsidR="008649DC" w:rsidRPr="00402AEC">
        <w:rPr>
          <w:lang w:val="en-GB"/>
        </w:rPr>
        <w:t xml:space="preserve"> and their classification methods</w:t>
      </w:r>
      <w:r w:rsidR="00F60E98">
        <w:rPr>
          <w:lang w:val="en-GB"/>
        </w:rPr>
        <w:t>,</w:t>
      </w:r>
      <w:r w:rsidR="00F60E98" w:rsidRPr="00F60E98">
        <w:rPr>
          <w:lang w:val="en-GB"/>
        </w:rPr>
        <w:t xml:space="preserve"> </w:t>
      </w:r>
      <w:r w:rsidR="00F60E98" w:rsidRPr="00402AEC">
        <w:rPr>
          <w:lang w:val="en-GB"/>
        </w:rPr>
        <w:t>by selecting the most promising ones</w:t>
      </w:r>
      <w:r w:rsidR="00BA0C8D">
        <w:rPr>
          <w:lang w:val="en-GB"/>
        </w:rPr>
        <w:t>.</w:t>
      </w:r>
      <w:r w:rsidR="00662066" w:rsidRPr="00402AEC">
        <w:rPr>
          <w:lang w:val="en-GB"/>
        </w:rPr>
        <w:t xml:space="preserve"> </w:t>
      </w:r>
      <w:r w:rsidR="00630AEE">
        <w:rPr>
          <w:lang w:val="en-GB"/>
        </w:rPr>
        <w:t xml:space="preserve">A total amount of </w:t>
      </w:r>
      <w:r w:rsidR="00666451">
        <w:rPr>
          <w:lang w:val="en-GB"/>
        </w:rPr>
        <w:t xml:space="preserve">283 articles </w:t>
      </w:r>
      <w:r w:rsidR="00A83694">
        <w:rPr>
          <w:lang w:val="en-GB"/>
        </w:rPr>
        <w:t xml:space="preserve">related with CBMs </w:t>
      </w:r>
      <w:r w:rsidR="009C39E8">
        <w:rPr>
          <w:lang w:val="en-GB"/>
        </w:rPr>
        <w:t xml:space="preserve">has been </w:t>
      </w:r>
      <w:r w:rsidR="00666451">
        <w:rPr>
          <w:lang w:val="en-GB"/>
        </w:rPr>
        <w:t>assessed</w:t>
      </w:r>
      <w:r w:rsidR="003B0F77">
        <w:rPr>
          <w:lang w:val="en-GB"/>
        </w:rPr>
        <w:t xml:space="preserve"> into detail, by </w:t>
      </w:r>
      <w:r w:rsidR="00B62971">
        <w:rPr>
          <w:lang w:val="en-GB"/>
        </w:rPr>
        <w:t>identifying</w:t>
      </w:r>
      <w:r w:rsidR="00386959">
        <w:rPr>
          <w:lang w:val="en-GB"/>
        </w:rPr>
        <w:t>:</w:t>
      </w:r>
      <w:r w:rsidR="00B62971">
        <w:rPr>
          <w:lang w:val="en-GB"/>
        </w:rPr>
        <w:t xml:space="preserve"> </w:t>
      </w:r>
      <w:r w:rsidR="00A83694">
        <w:rPr>
          <w:lang w:val="en-GB"/>
        </w:rPr>
        <w:t>5</w:t>
      </w:r>
      <w:r w:rsidR="00C5623C">
        <w:rPr>
          <w:lang w:val="en-GB"/>
        </w:rPr>
        <w:t xml:space="preserve"> archetypes</w:t>
      </w:r>
      <w:r w:rsidR="00386959">
        <w:rPr>
          <w:lang w:val="en-GB"/>
        </w:rPr>
        <w:t>,</w:t>
      </w:r>
      <w:r w:rsidR="00F230DB">
        <w:rPr>
          <w:lang w:val="en-GB"/>
        </w:rPr>
        <w:t xml:space="preserve"> </w:t>
      </w:r>
      <w:r w:rsidR="00B62971">
        <w:rPr>
          <w:lang w:val="en-GB"/>
        </w:rPr>
        <w:t>9</w:t>
      </w:r>
      <w:r w:rsidR="00C5623C">
        <w:rPr>
          <w:lang w:val="en-GB"/>
        </w:rPr>
        <w:t xml:space="preserve"> </w:t>
      </w:r>
      <w:r w:rsidR="006D12A5">
        <w:rPr>
          <w:lang w:val="en-GB"/>
        </w:rPr>
        <w:t>classification methods</w:t>
      </w:r>
      <w:r w:rsidR="00386959">
        <w:rPr>
          <w:lang w:val="en-GB"/>
        </w:rPr>
        <w:t xml:space="preserve">, </w:t>
      </w:r>
      <w:r w:rsidR="003D490B">
        <w:rPr>
          <w:lang w:val="en-GB"/>
        </w:rPr>
        <w:t xml:space="preserve">5 </w:t>
      </w:r>
      <w:r w:rsidR="005B7793">
        <w:rPr>
          <w:lang w:val="en-GB"/>
        </w:rPr>
        <w:t>adoption</w:t>
      </w:r>
      <w:r w:rsidR="00796813">
        <w:rPr>
          <w:lang w:val="en-GB"/>
        </w:rPr>
        <w:t>-oriented</w:t>
      </w:r>
      <w:r w:rsidR="005B7793">
        <w:rPr>
          <w:lang w:val="en-GB"/>
        </w:rPr>
        <w:t xml:space="preserve"> </w:t>
      </w:r>
      <w:r w:rsidR="003D490B">
        <w:rPr>
          <w:lang w:val="en-GB"/>
        </w:rPr>
        <w:t xml:space="preserve">challenges, </w:t>
      </w:r>
      <w:r w:rsidR="00B33E8A">
        <w:rPr>
          <w:lang w:val="en-GB"/>
        </w:rPr>
        <w:t>4 decision-support tools</w:t>
      </w:r>
      <w:r w:rsidR="005224BE">
        <w:rPr>
          <w:lang w:val="en-GB"/>
        </w:rPr>
        <w:t xml:space="preserve"> </w:t>
      </w:r>
      <w:r w:rsidR="00C8108C">
        <w:rPr>
          <w:lang w:val="en-GB"/>
        </w:rPr>
        <w:t xml:space="preserve">and 3 </w:t>
      </w:r>
      <w:r w:rsidR="00C5623C">
        <w:rPr>
          <w:lang w:val="en-GB"/>
        </w:rPr>
        <w:t>additional</w:t>
      </w:r>
      <w:r w:rsidR="002A7359">
        <w:rPr>
          <w:lang w:val="en-GB"/>
        </w:rPr>
        <w:t xml:space="preserve"> </w:t>
      </w:r>
      <w:r w:rsidR="00C8108C">
        <w:rPr>
          <w:lang w:val="en-GB"/>
        </w:rPr>
        <w:t>research areas</w:t>
      </w:r>
      <w:r w:rsidR="00F230DB">
        <w:rPr>
          <w:lang w:val="en-GB"/>
        </w:rPr>
        <w:t>.</w:t>
      </w:r>
      <w:r w:rsidR="009C39E8">
        <w:rPr>
          <w:lang w:val="en-GB"/>
        </w:rPr>
        <w:t xml:space="preserve"> </w:t>
      </w:r>
      <w:r w:rsidR="00151B7D" w:rsidRPr="00402AEC">
        <w:rPr>
          <w:lang w:val="en-GB"/>
        </w:rPr>
        <w:t xml:space="preserve">Key findings demonstrate </w:t>
      </w:r>
      <w:r w:rsidR="005A2F5E">
        <w:rPr>
          <w:lang w:val="en-GB"/>
        </w:rPr>
        <w:t>that</w:t>
      </w:r>
      <w:r w:rsidR="00127153">
        <w:rPr>
          <w:lang w:val="en-GB"/>
        </w:rPr>
        <w:t>:</w:t>
      </w:r>
      <w:r w:rsidR="00151B7D" w:rsidRPr="00402AEC">
        <w:rPr>
          <w:lang w:val="en-GB"/>
        </w:rPr>
        <w:t xml:space="preserve"> </w:t>
      </w:r>
      <w:r w:rsidR="00AC7A2C">
        <w:rPr>
          <w:lang w:val="en-GB"/>
        </w:rPr>
        <w:t xml:space="preserve">i) </w:t>
      </w:r>
      <w:r w:rsidR="00151B7D" w:rsidRPr="00402AEC">
        <w:rPr>
          <w:lang w:val="en-GB"/>
        </w:rPr>
        <w:t>Product-Service Systems (PSSs)</w:t>
      </w:r>
      <w:r w:rsidR="004C30A8">
        <w:rPr>
          <w:lang w:val="en-GB"/>
        </w:rPr>
        <w:t>-oriented</w:t>
      </w:r>
      <w:r w:rsidR="00151B7D" w:rsidRPr="00402AEC">
        <w:rPr>
          <w:lang w:val="en-GB"/>
        </w:rPr>
        <w:t xml:space="preserve"> and </w:t>
      </w:r>
      <w:r w:rsidR="000F2432">
        <w:rPr>
          <w:lang w:val="en-GB"/>
        </w:rPr>
        <w:t>R</w:t>
      </w:r>
      <w:r w:rsidR="00151B7D">
        <w:rPr>
          <w:lang w:val="en-GB"/>
        </w:rPr>
        <w:t xml:space="preserve">euse, </w:t>
      </w:r>
      <w:r w:rsidR="000F2432">
        <w:rPr>
          <w:lang w:val="en-GB"/>
        </w:rPr>
        <w:t>R</w:t>
      </w:r>
      <w:r w:rsidR="00151B7D">
        <w:rPr>
          <w:lang w:val="en-GB"/>
        </w:rPr>
        <w:t xml:space="preserve">emanufacturing and </w:t>
      </w:r>
      <w:r w:rsidR="000F2432">
        <w:rPr>
          <w:lang w:val="en-GB"/>
        </w:rPr>
        <w:t>R</w:t>
      </w:r>
      <w:r w:rsidR="00151B7D">
        <w:rPr>
          <w:lang w:val="en-GB"/>
        </w:rPr>
        <w:t>ecycling (</w:t>
      </w:r>
      <w:r w:rsidR="00151B7D" w:rsidRPr="00402AEC">
        <w:rPr>
          <w:lang w:val="en-GB"/>
        </w:rPr>
        <w:t>3R</w:t>
      </w:r>
      <w:r w:rsidR="00151B7D">
        <w:rPr>
          <w:lang w:val="en-GB"/>
        </w:rPr>
        <w:t>)</w:t>
      </w:r>
      <w:r w:rsidR="00693CA5">
        <w:rPr>
          <w:lang w:val="en-GB"/>
        </w:rPr>
        <w:t>-</w:t>
      </w:r>
      <w:r w:rsidR="00C84676">
        <w:rPr>
          <w:lang w:val="en-GB"/>
        </w:rPr>
        <w:t>based</w:t>
      </w:r>
      <w:r w:rsidR="00693CA5">
        <w:rPr>
          <w:lang w:val="en-GB"/>
        </w:rPr>
        <w:t xml:space="preserve"> CBMs</w:t>
      </w:r>
      <w:r w:rsidR="00151B7D" w:rsidRPr="00402AEC">
        <w:rPr>
          <w:lang w:val="en-GB"/>
        </w:rPr>
        <w:t xml:space="preserve"> are the most common </w:t>
      </w:r>
      <w:r w:rsidR="007E66C1">
        <w:rPr>
          <w:lang w:val="en-GB"/>
        </w:rPr>
        <w:t>archetypes</w:t>
      </w:r>
      <w:r w:rsidR="00AC7A2C">
        <w:rPr>
          <w:lang w:val="en-GB"/>
        </w:rPr>
        <w:t>,</w:t>
      </w:r>
      <w:r w:rsidR="00151B7D" w:rsidRPr="00402AEC">
        <w:rPr>
          <w:lang w:val="en-GB"/>
        </w:rPr>
        <w:t xml:space="preserve"> </w:t>
      </w:r>
      <w:r w:rsidR="00AC7A2C">
        <w:rPr>
          <w:lang w:val="en-GB"/>
        </w:rPr>
        <w:t xml:space="preserve">ii) </w:t>
      </w:r>
      <w:r w:rsidR="00C52B15">
        <w:rPr>
          <w:lang w:val="en-GB"/>
        </w:rPr>
        <w:t>Business Model Canva</w:t>
      </w:r>
      <w:r w:rsidR="00C93F69">
        <w:rPr>
          <w:lang w:val="en-GB"/>
        </w:rPr>
        <w:t>s</w:t>
      </w:r>
      <w:r w:rsidR="00151B7D" w:rsidRPr="00402AEC">
        <w:rPr>
          <w:lang w:val="en-GB"/>
        </w:rPr>
        <w:t xml:space="preserve"> is the</w:t>
      </w:r>
      <w:r w:rsidR="00EF6D89">
        <w:rPr>
          <w:lang w:val="en-GB"/>
        </w:rPr>
        <w:t xml:space="preserve"> </w:t>
      </w:r>
      <w:r w:rsidR="009A1213">
        <w:rPr>
          <w:lang w:val="en-GB"/>
        </w:rPr>
        <w:t xml:space="preserve">most diffused classification framework, iii) </w:t>
      </w:r>
      <w:r w:rsidR="002247B7">
        <w:rPr>
          <w:lang w:val="en-GB"/>
        </w:rPr>
        <w:t xml:space="preserve">sustainability and company-based </w:t>
      </w:r>
      <w:r w:rsidR="00651FC0">
        <w:rPr>
          <w:lang w:val="en-GB"/>
        </w:rPr>
        <w:t xml:space="preserve">challenges </w:t>
      </w:r>
      <w:r w:rsidR="00663620">
        <w:rPr>
          <w:lang w:val="en-GB"/>
        </w:rPr>
        <w:t>are the most discussed by the experts</w:t>
      </w:r>
      <w:r w:rsidR="00524183">
        <w:rPr>
          <w:lang w:val="en-GB"/>
        </w:rPr>
        <w:t xml:space="preserve"> and</w:t>
      </w:r>
      <w:r w:rsidR="00663620">
        <w:rPr>
          <w:lang w:val="en-GB"/>
        </w:rPr>
        <w:t xml:space="preserve"> </w:t>
      </w:r>
      <w:r w:rsidR="00923531">
        <w:rPr>
          <w:lang w:val="en-GB"/>
        </w:rPr>
        <w:t>iv) sustainability check</w:t>
      </w:r>
      <w:r w:rsidR="00524183">
        <w:rPr>
          <w:lang w:val="en-GB"/>
        </w:rPr>
        <w:t>-oriented is the most common type of decision-support tools</w:t>
      </w:r>
      <w:r w:rsidR="00151B7D" w:rsidRPr="00402AEC">
        <w:rPr>
          <w:lang w:val="en-GB"/>
        </w:rPr>
        <w:t>.</w:t>
      </w:r>
      <w:r w:rsidR="00151B7D">
        <w:rPr>
          <w:lang w:val="en-GB"/>
        </w:rPr>
        <w:t xml:space="preserve"> </w:t>
      </w:r>
      <w:r w:rsidR="009C7A87">
        <w:rPr>
          <w:lang w:val="en-GB"/>
        </w:rPr>
        <w:t>These (and others) r</w:t>
      </w:r>
      <w:r w:rsidR="00763A24" w:rsidRPr="00402AEC">
        <w:rPr>
          <w:lang w:val="en-GB"/>
        </w:rPr>
        <w:t xml:space="preserve">esults could support both companies, </w:t>
      </w:r>
      <w:r w:rsidR="00A92437" w:rsidRPr="00402AEC">
        <w:rPr>
          <w:lang w:val="en-GB"/>
        </w:rPr>
        <w:t>researchers</w:t>
      </w:r>
      <w:r w:rsidR="00763A24" w:rsidRPr="00402AEC">
        <w:rPr>
          <w:lang w:val="en-GB"/>
        </w:rPr>
        <w:t xml:space="preserve"> and governments in</w:t>
      </w:r>
      <w:r w:rsidR="0093648C" w:rsidRPr="00402AEC">
        <w:rPr>
          <w:lang w:val="en-GB"/>
        </w:rPr>
        <w:t xml:space="preserve"> </w:t>
      </w:r>
      <w:r w:rsidR="004B1548">
        <w:rPr>
          <w:lang w:val="en-GB"/>
        </w:rPr>
        <w:t>updating</w:t>
      </w:r>
      <w:r w:rsidR="0093648C" w:rsidRPr="00402AEC">
        <w:rPr>
          <w:lang w:val="en-GB"/>
        </w:rPr>
        <w:t xml:space="preserve"> the current knowledge on CBMs and make th</w:t>
      </w:r>
      <w:r w:rsidR="00D350E7" w:rsidRPr="00402AEC">
        <w:rPr>
          <w:lang w:val="en-GB"/>
        </w:rPr>
        <w:t>em</w:t>
      </w:r>
      <w:r w:rsidR="0093648C" w:rsidRPr="00402AEC">
        <w:rPr>
          <w:lang w:val="en-GB"/>
        </w:rPr>
        <w:t xml:space="preserve"> </w:t>
      </w:r>
      <w:r w:rsidR="005E6C79" w:rsidRPr="00402AEC">
        <w:rPr>
          <w:lang w:val="en-GB"/>
        </w:rPr>
        <w:t xml:space="preserve">adoptable </w:t>
      </w:r>
      <w:r w:rsidR="0093648C" w:rsidRPr="00402AEC">
        <w:rPr>
          <w:lang w:val="en-GB"/>
        </w:rPr>
        <w:t>for practitioners</w:t>
      </w:r>
      <w:r w:rsidR="00D350E7" w:rsidRPr="00402AEC">
        <w:rPr>
          <w:lang w:val="en-GB"/>
        </w:rPr>
        <w:t xml:space="preserve"> from </w:t>
      </w:r>
      <w:r w:rsidR="00EF11B1" w:rsidRPr="00402AEC">
        <w:rPr>
          <w:lang w:val="en-GB"/>
        </w:rPr>
        <w:t>different industrial contexts.</w:t>
      </w:r>
      <w:r w:rsidR="0000290C" w:rsidRPr="00402AEC">
        <w:rPr>
          <w:lang w:val="en-GB"/>
        </w:rPr>
        <w:t xml:space="preserve"> </w:t>
      </w:r>
    </w:p>
    <w:p w14:paraId="694974C8" w14:textId="1104C447" w:rsidR="001A217B" w:rsidRPr="00402AEC" w:rsidRDefault="001A217B" w:rsidP="00462F8E">
      <w:pPr>
        <w:jc w:val="both"/>
        <w:rPr>
          <w:lang w:val="en-GB"/>
        </w:rPr>
      </w:pPr>
    </w:p>
    <w:p w14:paraId="7EEA977A" w14:textId="77777777" w:rsidR="0000290C" w:rsidRPr="00402AEC" w:rsidRDefault="0000290C" w:rsidP="00462F8E">
      <w:pPr>
        <w:jc w:val="both"/>
        <w:rPr>
          <w:b/>
          <w:lang w:val="en-GB"/>
        </w:rPr>
      </w:pPr>
    </w:p>
    <w:p w14:paraId="1E6A263B" w14:textId="742D0289" w:rsidR="001A217B" w:rsidRPr="00402AEC" w:rsidRDefault="001A217B" w:rsidP="001473A9">
      <w:pPr>
        <w:spacing w:line="480" w:lineRule="auto"/>
        <w:jc w:val="both"/>
        <w:rPr>
          <w:lang w:val="en-GB"/>
        </w:rPr>
      </w:pPr>
      <w:r w:rsidRPr="00402AEC">
        <w:rPr>
          <w:b/>
          <w:lang w:val="en-GB"/>
        </w:rPr>
        <w:t xml:space="preserve">Keywords: </w:t>
      </w:r>
      <w:r w:rsidR="00462F8E" w:rsidRPr="00402AEC">
        <w:rPr>
          <w:lang w:val="en-GB"/>
        </w:rPr>
        <w:t>Circular Economy; Circular Business Model</w:t>
      </w:r>
      <w:r w:rsidR="0045414D" w:rsidRPr="00402AEC">
        <w:rPr>
          <w:lang w:val="en-GB"/>
        </w:rPr>
        <w:t>s</w:t>
      </w:r>
      <w:r w:rsidR="00462F8E" w:rsidRPr="00402AEC">
        <w:rPr>
          <w:lang w:val="en-GB"/>
        </w:rPr>
        <w:t xml:space="preserve">; </w:t>
      </w:r>
      <w:r w:rsidR="00604912" w:rsidRPr="00402AEC">
        <w:rPr>
          <w:lang w:val="en-GB"/>
        </w:rPr>
        <w:t>Classification Frameworks; Archetypes; Literature Review</w:t>
      </w:r>
      <w:r w:rsidRPr="00402AEC">
        <w:rPr>
          <w:lang w:val="en-GB"/>
        </w:rPr>
        <w:t>.</w:t>
      </w:r>
      <w:r w:rsidRPr="00402AEC">
        <w:rPr>
          <w:b/>
          <w:lang w:val="en-GB"/>
        </w:rPr>
        <w:t xml:space="preserve"> </w:t>
      </w:r>
    </w:p>
    <w:p w14:paraId="7CCBAD61" w14:textId="77777777" w:rsidR="0082618F" w:rsidRPr="00402AEC" w:rsidRDefault="0082618F" w:rsidP="003E022F">
      <w:pPr>
        <w:spacing w:line="360" w:lineRule="auto"/>
        <w:jc w:val="both"/>
        <w:rPr>
          <w:b/>
          <w:lang w:val="en-GB"/>
        </w:rPr>
      </w:pPr>
    </w:p>
    <w:p w14:paraId="143A592D" w14:textId="209FBEE8" w:rsidR="003E022F" w:rsidRPr="00402AEC" w:rsidRDefault="003E022F" w:rsidP="003E022F">
      <w:pPr>
        <w:spacing w:line="360" w:lineRule="auto"/>
        <w:jc w:val="both"/>
        <w:rPr>
          <w:b/>
          <w:lang w:val="en-GB"/>
        </w:rPr>
      </w:pPr>
      <w:r w:rsidRPr="00402AEC">
        <w:rPr>
          <w:b/>
          <w:lang w:val="en-GB"/>
        </w:rPr>
        <w:t>Acronyms</w:t>
      </w:r>
    </w:p>
    <w:tbl>
      <w:tblPr>
        <w:tblW w:w="5000" w:type="pct"/>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86"/>
        <w:gridCol w:w="3828"/>
        <w:gridCol w:w="851"/>
        <w:gridCol w:w="3957"/>
      </w:tblGrid>
      <w:tr w:rsidR="002908D8" w:rsidRPr="00402AEC" w14:paraId="6257E7E3" w14:textId="77777777" w:rsidTr="00746DB3">
        <w:trPr>
          <w:trHeight w:val="318"/>
        </w:trPr>
        <w:tc>
          <w:tcPr>
            <w:tcW w:w="513" w:type="pct"/>
          </w:tcPr>
          <w:p w14:paraId="3FB39539" w14:textId="3EE4CBB8" w:rsidR="00597592" w:rsidRPr="00402AEC" w:rsidRDefault="00597592" w:rsidP="00597592">
            <w:pPr>
              <w:spacing w:line="360" w:lineRule="auto"/>
              <w:jc w:val="both"/>
              <w:rPr>
                <w:lang w:val="en-GB"/>
              </w:rPr>
            </w:pPr>
            <w:r>
              <w:rPr>
                <w:lang w:val="en-GB"/>
              </w:rPr>
              <w:t>3R</w:t>
            </w:r>
          </w:p>
        </w:tc>
        <w:tc>
          <w:tcPr>
            <w:tcW w:w="1989" w:type="pct"/>
          </w:tcPr>
          <w:p w14:paraId="67707403" w14:textId="6A6838B8" w:rsidR="00597592" w:rsidRPr="00402AEC" w:rsidRDefault="00597592" w:rsidP="00597592">
            <w:pPr>
              <w:spacing w:line="360" w:lineRule="auto"/>
              <w:rPr>
                <w:lang w:val="en-GB"/>
              </w:rPr>
            </w:pPr>
            <w:r>
              <w:rPr>
                <w:lang w:val="en-GB"/>
              </w:rPr>
              <w:t>Reuse, Remanufacturing</w:t>
            </w:r>
            <w:r w:rsidR="002908D8">
              <w:rPr>
                <w:lang w:val="en-GB"/>
              </w:rPr>
              <w:t>,</w:t>
            </w:r>
            <w:r>
              <w:rPr>
                <w:lang w:val="en-GB"/>
              </w:rPr>
              <w:t xml:space="preserve"> Recycling</w:t>
            </w:r>
          </w:p>
        </w:tc>
        <w:tc>
          <w:tcPr>
            <w:tcW w:w="442" w:type="pct"/>
          </w:tcPr>
          <w:p w14:paraId="601F7BCB" w14:textId="3B54D3BE" w:rsidR="00597592" w:rsidRPr="00402AEC" w:rsidRDefault="00597592" w:rsidP="00597592">
            <w:pPr>
              <w:spacing w:line="360" w:lineRule="auto"/>
              <w:rPr>
                <w:lang w:val="en-GB"/>
              </w:rPr>
            </w:pPr>
            <w:r w:rsidRPr="00402AEC">
              <w:rPr>
                <w:lang w:val="en-GB"/>
              </w:rPr>
              <w:t>GBM</w:t>
            </w:r>
          </w:p>
        </w:tc>
        <w:tc>
          <w:tcPr>
            <w:tcW w:w="2056" w:type="pct"/>
          </w:tcPr>
          <w:p w14:paraId="32DCF962" w14:textId="404C0540" w:rsidR="00597592" w:rsidRPr="00402AEC" w:rsidRDefault="00597592" w:rsidP="00597592">
            <w:pPr>
              <w:spacing w:line="360" w:lineRule="auto"/>
              <w:rPr>
                <w:lang w:val="en-GB"/>
              </w:rPr>
            </w:pPr>
            <w:r w:rsidRPr="00402AEC">
              <w:rPr>
                <w:lang w:val="en-GB"/>
              </w:rPr>
              <w:t>Green Business Model</w:t>
            </w:r>
          </w:p>
        </w:tc>
      </w:tr>
      <w:tr w:rsidR="002908D8" w:rsidRPr="00402AEC" w14:paraId="5E9DCFFB" w14:textId="5B61F607" w:rsidTr="00746DB3">
        <w:trPr>
          <w:trHeight w:val="318"/>
        </w:trPr>
        <w:tc>
          <w:tcPr>
            <w:tcW w:w="513" w:type="pct"/>
          </w:tcPr>
          <w:p w14:paraId="1D7BD7AF" w14:textId="3F72514D" w:rsidR="00597592" w:rsidRPr="00402AEC" w:rsidRDefault="00597592" w:rsidP="00597592">
            <w:pPr>
              <w:spacing w:line="360" w:lineRule="auto"/>
              <w:jc w:val="both"/>
              <w:rPr>
                <w:lang w:val="en-GB"/>
              </w:rPr>
            </w:pPr>
            <w:r w:rsidRPr="00402AEC">
              <w:rPr>
                <w:lang w:val="en-GB"/>
              </w:rPr>
              <w:t>AM</w:t>
            </w:r>
          </w:p>
        </w:tc>
        <w:tc>
          <w:tcPr>
            <w:tcW w:w="1989" w:type="pct"/>
          </w:tcPr>
          <w:p w14:paraId="330E213A" w14:textId="1FA5C3C7" w:rsidR="00597592" w:rsidRPr="00402AEC" w:rsidRDefault="00597592" w:rsidP="00597592">
            <w:pPr>
              <w:spacing w:line="360" w:lineRule="auto"/>
              <w:rPr>
                <w:lang w:val="en-GB"/>
              </w:rPr>
            </w:pPr>
            <w:r w:rsidRPr="00402AEC">
              <w:rPr>
                <w:lang w:val="en-GB"/>
              </w:rPr>
              <w:t>Additive Manufacturing</w:t>
            </w:r>
          </w:p>
        </w:tc>
        <w:tc>
          <w:tcPr>
            <w:tcW w:w="442" w:type="pct"/>
          </w:tcPr>
          <w:p w14:paraId="401D80F1" w14:textId="355463BD" w:rsidR="00597592" w:rsidRPr="00402AEC" w:rsidRDefault="00597592" w:rsidP="00597592">
            <w:pPr>
              <w:spacing w:line="360" w:lineRule="auto"/>
              <w:rPr>
                <w:lang w:val="en-GB"/>
              </w:rPr>
            </w:pPr>
            <w:r w:rsidRPr="00402AEC">
              <w:rPr>
                <w:lang w:val="en-GB"/>
              </w:rPr>
              <w:t>ICT</w:t>
            </w:r>
          </w:p>
        </w:tc>
        <w:tc>
          <w:tcPr>
            <w:tcW w:w="2056" w:type="pct"/>
          </w:tcPr>
          <w:p w14:paraId="46E87358" w14:textId="1D1E4C62" w:rsidR="00597592" w:rsidRPr="00402AEC" w:rsidRDefault="00597592" w:rsidP="00597592">
            <w:pPr>
              <w:tabs>
                <w:tab w:val="right" w:pos="3942"/>
              </w:tabs>
              <w:spacing w:line="360" w:lineRule="auto"/>
              <w:rPr>
                <w:lang w:val="en-GB"/>
              </w:rPr>
            </w:pPr>
            <w:r w:rsidRPr="00402AEC">
              <w:rPr>
                <w:lang w:val="en-GB"/>
              </w:rPr>
              <w:t>Information and Communication Technology</w:t>
            </w:r>
          </w:p>
        </w:tc>
      </w:tr>
      <w:tr w:rsidR="002908D8" w:rsidRPr="00402AEC" w14:paraId="1F106480" w14:textId="77777777" w:rsidTr="002908D8">
        <w:trPr>
          <w:trHeight w:val="318"/>
        </w:trPr>
        <w:tc>
          <w:tcPr>
            <w:tcW w:w="513" w:type="pct"/>
          </w:tcPr>
          <w:p w14:paraId="5EB71E4C" w14:textId="667D2C04" w:rsidR="00597592" w:rsidRPr="00402AEC" w:rsidRDefault="00597592" w:rsidP="00597592">
            <w:pPr>
              <w:spacing w:line="360" w:lineRule="auto"/>
              <w:jc w:val="both"/>
              <w:rPr>
                <w:lang w:val="en-GB"/>
              </w:rPr>
            </w:pPr>
            <w:r w:rsidRPr="00402AEC">
              <w:rPr>
                <w:lang w:val="en-GB"/>
              </w:rPr>
              <w:t>BM</w:t>
            </w:r>
          </w:p>
        </w:tc>
        <w:tc>
          <w:tcPr>
            <w:tcW w:w="1989" w:type="pct"/>
          </w:tcPr>
          <w:p w14:paraId="3212350F" w14:textId="6B0E846B" w:rsidR="00597592" w:rsidRPr="00402AEC" w:rsidRDefault="00597592" w:rsidP="00597592">
            <w:pPr>
              <w:spacing w:line="360" w:lineRule="auto"/>
              <w:rPr>
                <w:lang w:val="en-GB"/>
              </w:rPr>
            </w:pPr>
            <w:r w:rsidRPr="00402AEC">
              <w:rPr>
                <w:lang w:val="en-GB"/>
              </w:rPr>
              <w:t>Business Model</w:t>
            </w:r>
          </w:p>
        </w:tc>
        <w:tc>
          <w:tcPr>
            <w:tcW w:w="442" w:type="pct"/>
          </w:tcPr>
          <w:p w14:paraId="7F8A460E" w14:textId="0F5DD6D9" w:rsidR="00597592" w:rsidRPr="00402AEC" w:rsidRDefault="00597592" w:rsidP="00597592">
            <w:pPr>
              <w:spacing w:line="360" w:lineRule="auto"/>
              <w:rPr>
                <w:lang w:val="en-GB"/>
              </w:rPr>
            </w:pPr>
            <w:r w:rsidRPr="00402AEC">
              <w:rPr>
                <w:lang w:val="en-GB"/>
              </w:rPr>
              <w:t>IoT</w:t>
            </w:r>
          </w:p>
        </w:tc>
        <w:tc>
          <w:tcPr>
            <w:tcW w:w="2056" w:type="pct"/>
          </w:tcPr>
          <w:p w14:paraId="76AE7D78" w14:textId="1E080C44" w:rsidR="00597592" w:rsidRPr="00402AEC" w:rsidRDefault="00597592" w:rsidP="00597592">
            <w:pPr>
              <w:tabs>
                <w:tab w:val="right" w:pos="3942"/>
              </w:tabs>
              <w:spacing w:line="360" w:lineRule="auto"/>
              <w:rPr>
                <w:lang w:val="en-GB"/>
              </w:rPr>
            </w:pPr>
            <w:r w:rsidRPr="00402AEC">
              <w:rPr>
                <w:lang w:val="en-GB"/>
              </w:rPr>
              <w:t>Internet of Things</w:t>
            </w:r>
          </w:p>
        </w:tc>
      </w:tr>
      <w:tr w:rsidR="002908D8" w:rsidRPr="00402AEC" w14:paraId="006AC778" w14:textId="77777777" w:rsidTr="00746DB3">
        <w:trPr>
          <w:trHeight w:val="318"/>
        </w:trPr>
        <w:tc>
          <w:tcPr>
            <w:tcW w:w="513" w:type="pct"/>
          </w:tcPr>
          <w:p w14:paraId="7F6A0741" w14:textId="26FAFD73" w:rsidR="00597592" w:rsidRPr="00402AEC" w:rsidRDefault="00597592" w:rsidP="00597592">
            <w:pPr>
              <w:spacing w:line="360" w:lineRule="auto"/>
              <w:jc w:val="both"/>
              <w:rPr>
                <w:lang w:val="en-GB"/>
              </w:rPr>
            </w:pPr>
            <w:r>
              <w:rPr>
                <w:lang w:val="en-GB"/>
              </w:rPr>
              <w:lastRenderedPageBreak/>
              <w:t>BMC</w:t>
            </w:r>
          </w:p>
        </w:tc>
        <w:tc>
          <w:tcPr>
            <w:tcW w:w="1989" w:type="pct"/>
          </w:tcPr>
          <w:p w14:paraId="21A5388F" w14:textId="05D9F2EE" w:rsidR="00597592" w:rsidRPr="00402AEC" w:rsidRDefault="00597592" w:rsidP="00597592">
            <w:pPr>
              <w:spacing w:line="360" w:lineRule="auto"/>
              <w:rPr>
                <w:lang w:val="en-GB"/>
              </w:rPr>
            </w:pPr>
            <w:r>
              <w:rPr>
                <w:lang w:val="en-GB"/>
              </w:rPr>
              <w:t>Business Model Canvas</w:t>
            </w:r>
          </w:p>
        </w:tc>
        <w:tc>
          <w:tcPr>
            <w:tcW w:w="442" w:type="pct"/>
          </w:tcPr>
          <w:p w14:paraId="5A7787CF" w14:textId="35CB407B" w:rsidR="00597592" w:rsidRPr="00402AEC" w:rsidRDefault="00597592" w:rsidP="00597592">
            <w:pPr>
              <w:spacing w:line="360" w:lineRule="auto"/>
              <w:rPr>
                <w:lang w:val="en-GB"/>
              </w:rPr>
            </w:pPr>
            <w:r w:rsidRPr="00402AEC">
              <w:rPr>
                <w:lang w:val="en-GB"/>
              </w:rPr>
              <w:t>KET</w:t>
            </w:r>
          </w:p>
        </w:tc>
        <w:tc>
          <w:tcPr>
            <w:tcW w:w="2056" w:type="pct"/>
          </w:tcPr>
          <w:p w14:paraId="36A20371" w14:textId="517575DD" w:rsidR="00597592" w:rsidRPr="00402AEC" w:rsidRDefault="00597592" w:rsidP="00597592">
            <w:pPr>
              <w:tabs>
                <w:tab w:val="right" w:pos="3942"/>
              </w:tabs>
              <w:spacing w:line="360" w:lineRule="auto"/>
              <w:rPr>
                <w:lang w:val="en-GB"/>
              </w:rPr>
            </w:pPr>
            <w:r w:rsidRPr="00402AEC">
              <w:rPr>
                <w:lang w:val="en-GB"/>
              </w:rPr>
              <w:t>Key Enabling Technology</w:t>
            </w:r>
          </w:p>
        </w:tc>
      </w:tr>
      <w:tr w:rsidR="002908D8" w:rsidRPr="00402AEC" w14:paraId="4E0B23F4" w14:textId="77777777" w:rsidTr="00746DB3">
        <w:trPr>
          <w:trHeight w:val="318"/>
        </w:trPr>
        <w:tc>
          <w:tcPr>
            <w:tcW w:w="513" w:type="pct"/>
          </w:tcPr>
          <w:p w14:paraId="11DD43E9" w14:textId="2E65164F" w:rsidR="00597592" w:rsidRPr="00402AEC" w:rsidRDefault="00597592" w:rsidP="00597592">
            <w:pPr>
              <w:spacing w:line="360" w:lineRule="auto"/>
              <w:jc w:val="both"/>
              <w:rPr>
                <w:lang w:val="en-GB"/>
              </w:rPr>
            </w:pPr>
            <w:r w:rsidRPr="00402AEC">
              <w:rPr>
                <w:lang w:val="en-GB"/>
              </w:rPr>
              <w:t>BoL</w:t>
            </w:r>
          </w:p>
        </w:tc>
        <w:tc>
          <w:tcPr>
            <w:tcW w:w="1989" w:type="pct"/>
          </w:tcPr>
          <w:p w14:paraId="70830381" w14:textId="77159758" w:rsidR="00597592" w:rsidRPr="00402AEC" w:rsidRDefault="00597592" w:rsidP="00597592">
            <w:pPr>
              <w:spacing w:line="360" w:lineRule="auto"/>
              <w:rPr>
                <w:lang w:val="en-GB"/>
              </w:rPr>
            </w:pPr>
            <w:r w:rsidRPr="00402AEC">
              <w:rPr>
                <w:lang w:val="en-GB"/>
              </w:rPr>
              <w:t>Beginning of Life</w:t>
            </w:r>
          </w:p>
        </w:tc>
        <w:tc>
          <w:tcPr>
            <w:tcW w:w="442" w:type="pct"/>
          </w:tcPr>
          <w:p w14:paraId="6D2A5F1A" w14:textId="125C0DD6" w:rsidR="00597592" w:rsidRPr="00402AEC" w:rsidRDefault="00597592" w:rsidP="00597592">
            <w:pPr>
              <w:spacing w:line="360" w:lineRule="auto"/>
              <w:rPr>
                <w:lang w:val="en-GB"/>
              </w:rPr>
            </w:pPr>
            <w:r w:rsidRPr="00402AEC">
              <w:rPr>
                <w:lang w:val="en-GB"/>
              </w:rPr>
              <w:t>MoL</w:t>
            </w:r>
          </w:p>
        </w:tc>
        <w:tc>
          <w:tcPr>
            <w:tcW w:w="2056" w:type="pct"/>
          </w:tcPr>
          <w:p w14:paraId="0D8F5060" w14:textId="708B742D" w:rsidR="00597592" w:rsidRPr="00402AEC" w:rsidRDefault="00597592" w:rsidP="00597592">
            <w:pPr>
              <w:spacing w:line="360" w:lineRule="auto"/>
              <w:rPr>
                <w:lang w:val="en-GB"/>
              </w:rPr>
            </w:pPr>
            <w:r w:rsidRPr="00402AEC">
              <w:rPr>
                <w:lang w:val="en-GB"/>
              </w:rPr>
              <w:t>Middle of Life</w:t>
            </w:r>
          </w:p>
        </w:tc>
      </w:tr>
      <w:tr w:rsidR="002908D8" w:rsidRPr="00402AEC" w14:paraId="087E69E3" w14:textId="77777777" w:rsidTr="00746DB3">
        <w:trPr>
          <w:trHeight w:val="318"/>
        </w:trPr>
        <w:tc>
          <w:tcPr>
            <w:tcW w:w="513" w:type="pct"/>
          </w:tcPr>
          <w:p w14:paraId="2DE52D3F" w14:textId="30F4CD59" w:rsidR="00597592" w:rsidRPr="00402AEC" w:rsidRDefault="00597592" w:rsidP="00597592">
            <w:pPr>
              <w:spacing w:line="360" w:lineRule="auto"/>
              <w:jc w:val="both"/>
              <w:rPr>
                <w:lang w:val="en-GB"/>
              </w:rPr>
            </w:pPr>
            <w:r w:rsidRPr="00402AEC">
              <w:rPr>
                <w:lang w:val="en-GB"/>
              </w:rPr>
              <w:t>CBM</w:t>
            </w:r>
          </w:p>
        </w:tc>
        <w:tc>
          <w:tcPr>
            <w:tcW w:w="1989" w:type="pct"/>
          </w:tcPr>
          <w:p w14:paraId="4C05848E" w14:textId="3A76917F" w:rsidR="00597592" w:rsidRPr="00402AEC" w:rsidRDefault="00597592" w:rsidP="00597592">
            <w:pPr>
              <w:spacing w:line="360" w:lineRule="auto"/>
              <w:rPr>
                <w:lang w:val="en-GB"/>
              </w:rPr>
            </w:pPr>
            <w:r w:rsidRPr="00402AEC">
              <w:rPr>
                <w:lang w:val="en-GB"/>
              </w:rPr>
              <w:t>Circular Business Model</w:t>
            </w:r>
          </w:p>
        </w:tc>
        <w:tc>
          <w:tcPr>
            <w:tcW w:w="442" w:type="pct"/>
          </w:tcPr>
          <w:p w14:paraId="0ABB1E0C" w14:textId="71B87785" w:rsidR="00597592" w:rsidRPr="00402AEC" w:rsidRDefault="00597592" w:rsidP="00597592">
            <w:pPr>
              <w:spacing w:line="360" w:lineRule="auto"/>
              <w:rPr>
                <w:lang w:val="en-GB"/>
              </w:rPr>
            </w:pPr>
            <w:r>
              <w:rPr>
                <w:lang w:val="en-GB"/>
              </w:rPr>
              <w:t>P2P</w:t>
            </w:r>
          </w:p>
        </w:tc>
        <w:tc>
          <w:tcPr>
            <w:tcW w:w="2056" w:type="pct"/>
          </w:tcPr>
          <w:p w14:paraId="477C5966" w14:textId="4CCE26F8" w:rsidR="00597592" w:rsidRPr="00402AEC" w:rsidRDefault="00597592" w:rsidP="00597592">
            <w:pPr>
              <w:spacing w:line="360" w:lineRule="auto"/>
              <w:rPr>
                <w:lang w:val="en-GB"/>
              </w:rPr>
            </w:pPr>
            <w:r>
              <w:rPr>
                <w:lang w:val="en-GB"/>
              </w:rPr>
              <w:t>Peer</w:t>
            </w:r>
            <w:r w:rsidR="001133E6">
              <w:rPr>
                <w:lang w:val="en-GB"/>
              </w:rPr>
              <w:t>-</w:t>
            </w:r>
            <w:r>
              <w:rPr>
                <w:lang w:val="en-GB"/>
              </w:rPr>
              <w:t>to</w:t>
            </w:r>
            <w:r w:rsidR="001133E6">
              <w:rPr>
                <w:lang w:val="en-GB"/>
              </w:rPr>
              <w:t>-</w:t>
            </w:r>
            <w:r>
              <w:rPr>
                <w:lang w:val="en-GB"/>
              </w:rPr>
              <w:t>Peer</w:t>
            </w:r>
          </w:p>
        </w:tc>
      </w:tr>
      <w:tr w:rsidR="002908D8" w:rsidRPr="00402AEC" w14:paraId="5E1B0344" w14:textId="77777777" w:rsidTr="00746DB3">
        <w:trPr>
          <w:trHeight w:val="318"/>
        </w:trPr>
        <w:tc>
          <w:tcPr>
            <w:tcW w:w="513" w:type="pct"/>
          </w:tcPr>
          <w:p w14:paraId="72089675" w14:textId="1BB9E976" w:rsidR="00597592" w:rsidRPr="00402AEC" w:rsidRDefault="00597592" w:rsidP="00597592">
            <w:pPr>
              <w:spacing w:line="360" w:lineRule="auto"/>
              <w:jc w:val="both"/>
              <w:rPr>
                <w:lang w:val="en-GB"/>
              </w:rPr>
            </w:pPr>
            <w:r w:rsidRPr="00402AEC">
              <w:rPr>
                <w:lang w:val="en-GB"/>
              </w:rPr>
              <w:t>CE</w:t>
            </w:r>
          </w:p>
        </w:tc>
        <w:tc>
          <w:tcPr>
            <w:tcW w:w="1989" w:type="pct"/>
          </w:tcPr>
          <w:p w14:paraId="4E81025C" w14:textId="463E26E3" w:rsidR="00597592" w:rsidRPr="00402AEC" w:rsidRDefault="00597592" w:rsidP="00597592">
            <w:pPr>
              <w:spacing w:line="360" w:lineRule="auto"/>
              <w:rPr>
                <w:lang w:val="en-GB"/>
              </w:rPr>
            </w:pPr>
            <w:r w:rsidRPr="00402AEC">
              <w:rPr>
                <w:lang w:val="en-GB"/>
              </w:rPr>
              <w:t>Circular Economy</w:t>
            </w:r>
          </w:p>
        </w:tc>
        <w:tc>
          <w:tcPr>
            <w:tcW w:w="442" w:type="pct"/>
          </w:tcPr>
          <w:p w14:paraId="46446700" w14:textId="5966B631" w:rsidR="00597592" w:rsidRPr="00402AEC" w:rsidRDefault="00597592" w:rsidP="00597592">
            <w:pPr>
              <w:spacing w:line="360" w:lineRule="auto"/>
              <w:rPr>
                <w:lang w:val="en-GB"/>
              </w:rPr>
            </w:pPr>
            <w:r w:rsidRPr="00402AEC">
              <w:rPr>
                <w:lang w:val="en-GB"/>
              </w:rPr>
              <w:t>PSS</w:t>
            </w:r>
          </w:p>
        </w:tc>
        <w:tc>
          <w:tcPr>
            <w:tcW w:w="2056" w:type="pct"/>
          </w:tcPr>
          <w:p w14:paraId="49305433" w14:textId="54686CF0" w:rsidR="00597592" w:rsidRPr="00402AEC" w:rsidRDefault="00597592" w:rsidP="00597592">
            <w:pPr>
              <w:spacing w:line="360" w:lineRule="auto"/>
              <w:rPr>
                <w:lang w:val="en-GB"/>
              </w:rPr>
            </w:pPr>
            <w:r w:rsidRPr="00402AEC">
              <w:rPr>
                <w:lang w:val="en-GB"/>
              </w:rPr>
              <w:t>Product-Service System</w:t>
            </w:r>
          </w:p>
        </w:tc>
      </w:tr>
      <w:tr w:rsidR="002908D8" w:rsidRPr="00402AEC" w14:paraId="2310E858" w14:textId="77777777" w:rsidTr="00746DB3">
        <w:trPr>
          <w:trHeight w:val="318"/>
        </w:trPr>
        <w:tc>
          <w:tcPr>
            <w:tcW w:w="513" w:type="pct"/>
          </w:tcPr>
          <w:p w14:paraId="0451ADE2" w14:textId="452805AF" w:rsidR="00597592" w:rsidRPr="00402AEC" w:rsidRDefault="00597592" w:rsidP="00597592">
            <w:pPr>
              <w:spacing w:line="360" w:lineRule="auto"/>
              <w:jc w:val="both"/>
              <w:rPr>
                <w:lang w:val="en-GB"/>
              </w:rPr>
            </w:pPr>
            <w:r w:rsidRPr="00402AEC">
              <w:rPr>
                <w:lang w:val="en-GB"/>
              </w:rPr>
              <w:t>CEBM</w:t>
            </w:r>
          </w:p>
        </w:tc>
        <w:tc>
          <w:tcPr>
            <w:tcW w:w="1989" w:type="pct"/>
          </w:tcPr>
          <w:p w14:paraId="4C885BBE" w14:textId="2B6EE3E4" w:rsidR="00597592" w:rsidRPr="00402AEC" w:rsidRDefault="00597592" w:rsidP="00597592">
            <w:pPr>
              <w:spacing w:line="360" w:lineRule="auto"/>
              <w:rPr>
                <w:lang w:val="en-GB"/>
              </w:rPr>
            </w:pPr>
            <w:r w:rsidRPr="00402AEC">
              <w:rPr>
                <w:lang w:val="en-GB"/>
              </w:rPr>
              <w:t>Circular Economy Business Model</w:t>
            </w:r>
          </w:p>
        </w:tc>
        <w:tc>
          <w:tcPr>
            <w:tcW w:w="442" w:type="pct"/>
          </w:tcPr>
          <w:p w14:paraId="26345B0C" w14:textId="58296915" w:rsidR="00597592" w:rsidRPr="00402AEC" w:rsidRDefault="00597592" w:rsidP="00597592">
            <w:pPr>
              <w:spacing w:line="360" w:lineRule="auto"/>
              <w:rPr>
                <w:lang w:val="en-GB"/>
              </w:rPr>
            </w:pPr>
            <w:r w:rsidRPr="00402AEC">
              <w:rPr>
                <w:lang w:val="en-GB"/>
              </w:rPr>
              <w:t>SBM</w:t>
            </w:r>
          </w:p>
        </w:tc>
        <w:tc>
          <w:tcPr>
            <w:tcW w:w="2056" w:type="pct"/>
          </w:tcPr>
          <w:p w14:paraId="419598BA" w14:textId="47B140DE" w:rsidR="00597592" w:rsidRPr="00402AEC" w:rsidRDefault="00597592" w:rsidP="00597592">
            <w:pPr>
              <w:spacing w:line="360" w:lineRule="auto"/>
              <w:rPr>
                <w:lang w:val="en-GB"/>
              </w:rPr>
            </w:pPr>
            <w:r w:rsidRPr="00402AEC">
              <w:rPr>
                <w:lang w:val="en-GB"/>
              </w:rPr>
              <w:t>Sustainable Business Model</w:t>
            </w:r>
          </w:p>
        </w:tc>
      </w:tr>
      <w:tr w:rsidR="002908D8" w:rsidRPr="00402AEC" w14:paraId="029E72EC" w14:textId="77777777" w:rsidTr="00746DB3">
        <w:trPr>
          <w:trHeight w:val="318"/>
        </w:trPr>
        <w:tc>
          <w:tcPr>
            <w:tcW w:w="513" w:type="pct"/>
          </w:tcPr>
          <w:p w14:paraId="4993ABE7" w14:textId="76125040" w:rsidR="00597592" w:rsidRPr="00402AEC" w:rsidRDefault="00597592" w:rsidP="00597592">
            <w:pPr>
              <w:spacing w:line="360" w:lineRule="auto"/>
              <w:jc w:val="both"/>
              <w:rPr>
                <w:lang w:val="en-GB"/>
              </w:rPr>
            </w:pPr>
            <w:r>
              <w:rPr>
                <w:lang w:val="en-GB"/>
              </w:rPr>
              <w:t>DfX</w:t>
            </w:r>
          </w:p>
        </w:tc>
        <w:tc>
          <w:tcPr>
            <w:tcW w:w="1989" w:type="pct"/>
          </w:tcPr>
          <w:p w14:paraId="4136AA8A" w14:textId="379D8BA8" w:rsidR="00597592" w:rsidRPr="00402AEC" w:rsidRDefault="00597592" w:rsidP="00597592">
            <w:pPr>
              <w:spacing w:line="360" w:lineRule="auto"/>
              <w:rPr>
                <w:lang w:val="en-GB"/>
              </w:rPr>
            </w:pPr>
            <w:r>
              <w:rPr>
                <w:lang w:val="en-GB"/>
              </w:rPr>
              <w:t>Design for X</w:t>
            </w:r>
          </w:p>
        </w:tc>
        <w:tc>
          <w:tcPr>
            <w:tcW w:w="442" w:type="pct"/>
          </w:tcPr>
          <w:p w14:paraId="69394001" w14:textId="32036ECB" w:rsidR="00597592" w:rsidRPr="00402AEC" w:rsidRDefault="00597592" w:rsidP="00597592">
            <w:pPr>
              <w:spacing w:line="360" w:lineRule="auto"/>
              <w:rPr>
                <w:lang w:val="en-GB"/>
              </w:rPr>
            </w:pPr>
            <w:r w:rsidRPr="00402AEC">
              <w:rPr>
                <w:lang w:val="en-GB"/>
              </w:rPr>
              <w:t>SME</w:t>
            </w:r>
          </w:p>
        </w:tc>
        <w:tc>
          <w:tcPr>
            <w:tcW w:w="2056" w:type="pct"/>
          </w:tcPr>
          <w:p w14:paraId="54595854" w14:textId="48BE3584" w:rsidR="00597592" w:rsidRPr="00402AEC" w:rsidRDefault="00597592" w:rsidP="00597592">
            <w:pPr>
              <w:spacing w:line="360" w:lineRule="auto"/>
              <w:rPr>
                <w:lang w:val="en-GB"/>
              </w:rPr>
            </w:pPr>
            <w:r w:rsidRPr="00402AEC">
              <w:rPr>
                <w:lang w:val="en-GB"/>
              </w:rPr>
              <w:t>Small and Medium Enterprise</w:t>
            </w:r>
          </w:p>
        </w:tc>
      </w:tr>
      <w:tr w:rsidR="002908D8" w:rsidRPr="00402AEC" w14:paraId="3B2B6846" w14:textId="77777777" w:rsidTr="002908D8">
        <w:trPr>
          <w:trHeight w:val="318"/>
        </w:trPr>
        <w:tc>
          <w:tcPr>
            <w:tcW w:w="513" w:type="pct"/>
          </w:tcPr>
          <w:p w14:paraId="5F453359" w14:textId="5370C410" w:rsidR="00597592" w:rsidRPr="00402AEC" w:rsidRDefault="00597592" w:rsidP="00597592">
            <w:pPr>
              <w:spacing w:line="360" w:lineRule="auto"/>
              <w:jc w:val="both"/>
              <w:rPr>
                <w:lang w:val="en-GB"/>
              </w:rPr>
            </w:pPr>
            <w:r w:rsidRPr="00402AEC">
              <w:rPr>
                <w:lang w:val="en-GB"/>
              </w:rPr>
              <w:t>EoL</w:t>
            </w:r>
          </w:p>
        </w:tc>
        <w:tc>
          <w:tcPr>
            <w:tcW w:w="1989" w:type="pct"/>
          </w:tcPr>
          <w:p w14:paraId="7CCFD7FC" w14:textId="281E6C4F" w:rsidR="00597592" w:rsidRPr="00402AEC" w:rsidRDefault="00597592" w:rsidP="00597592">
            <w:pPr>
              <w:spacing w:line="360" w:lineRule="auto"/>
              <w:rPr>
                <w:lang w:val="en-GB"/>
              </w:rPr>
            </w:pPr>
            <w:r w:rsidRPr="00402AEC">
              <w:rPr>
                <w:lang w:val="en-GB"/>
              </w:rPr>
              <w:t>End of Life</w:t>
            </w:r>
          </w:p>
        </w:tc>
        <w:tc>
          <w:tcPr>
            <w:tcW w:w="442" w:type="pct"/>
          </w:tcPr>
          <w:p w14:paraId="4C9DEC03" w14:textId="1A0350B8" w:rsidR="00597592" w:rsidRDefault="00597592" w:rsidP="00597592">
            <w:pPr>
              <w:spacing w:line="360" w:lineRule="auto"/>
              <w:rPr>
                <w:lang w:val="en-GB"/>
              </w:rPr>
            </w:pPr>
          </w:p>
        </w:tc>
        <w:tc>
          <w:tcPr>
            <w:tcW w:w="2056" w:type="pct"/>
          </w:tcPr>
          <w:p w14:paraId="61740688" w14:textId="2B6698DE" w:rsidR="00597592" w:rsidRDefault="00597592" w:rsidP="00597592">
            <w:pPr>
              <w:spacing w:line="360" w:lineRule="auto"/>
              <w:rPr>
                <w:lang w:val="en-GB"/>
              </w:rPr>
            </w:pPr>
          </w:p>
        </w:tc>
      </w:tr>
    </w:tbl>
    <w:p w14:paraId="23CC4630" w14:textId="6EAD723B" w:rsidR="004A00EA" w:rsidRPr="00402AEC" w:rsidRDefault="004A00EA">
      <w:pPr>
        <w:rPr>
          <w:lang w:val="en-GB" w:eastAsia="en-US"/>
        </w:rPr>
      </w:pPr>
    </w:p>
    <w:p w14:paraId="0F0436A0" w14:textId="77777777" w:rsidR="004A00EA" w:rsidRPr="00402AEC" w:rsidRDefault="004A00EA">
      <w:pPr>
        <w:rPr>
          <w:lang w:val="en-GB" w:eastAsia="en-US"/>
        </w:rPr>
      </w:pPr>
    </w:p>
    <w:p w14:paraId="5294464F" w14:textId="235201A1" w:rsidR="00BE54CD" w:rsidRPr="00402AEC" w:rsidRDefault="003E022F" w:rsidP="00026D10">
      <w:pPr>
        <w:spacing w:after="240" w:line="360" w:lineRule="auto"/>
        <w:rPr>
          <w:b/>
          <w:lang w:val="en-GB"/>
        </w:rPr>
      </w:pPr>
      <w:r w:rsidRPr="00402AEC">
        <w:rPr>
          <w:b/>
          <w:lang w:val="en-GB"/>
        </w:rPr>
        <w:t xml:space="preserve">1. </w:t>
      </w:r>
      <w:r w:rsidR="00E80873" w:rsidRPr="00402AEC">
        <w:rPr>
          <w:b/>
          <w:lang w:val="en-GB"/>
        </w:rPr>
        <w:t>Introduction</w:t>
      </w:r>
    </w:p>
    <w:p w14:paraId="01E3E7F0" w14:textId="092289E6" w:rsidR="003A64D1" w:rsidRPr="00551A1E" w:rsidRDefault="00D42BEE" w:rsidP="00216241">
      <w:pPr>
        <w:autoSpaceDE w:val="0"/>
        <w:autoSpaceDN w:val="0"/>
        <w:adjustRightInd w:val="0"/>
        <w:spacing w:after="240" w:line="360" w:lineRule="auto"/>
        <w:jc w:val="both"/>
        <w:rPr>
          <w:lang w:val="en-GB"/>
        </w:rPr>
      </w:pPr>
      <w:r w:rsidRPr="00551A1E">
        <w:rPr>
          <w:lang w:val="en-GB"/>
        </w:rPr>
        <w:t xml:space="preserve">Since </w:t>
      </w:r>
      <w:r w:rsidR="00861985" w:rsidRPr="00551A1E">
        <w:rPr>
          <w:lang w:val="en-GB"/>
        </w:rPr>
        <w:t>many years</w:t>
      </w:r>
      <w:r w:rsidR="001018BA" w:rsidRPr="00551A1E">
        <w:rPr>
          <w:lang w:val="en-GB"/>
        </w:rPr>
        <w:t>,</w:t>
      </w:r>
      <w:r w:rsidRPr="00551A1E">
        <w:rPr>
          <w:lang w:val="en-GB"/>
        </w:rPr>
        <w:t xml:space="preserve"> c</w:t>
      </w:r>
      <w:r w:rsidR="009E4590" w:rsidRPr="00551A1E">
        <w:rPr>
          <w:lang w:val="en-GB"/>
        </w:rPr>
        <w:t xml:space="preserve">ompanies </w:t>
      </w:r>
      <w:r w:rsidR="00A44880" w:rsidRPr="00551A1E">
        <w:rPr>
          <w:lang w:val="en-GB"/>
        </w:rPr>
        <w:t>are</w:t>
      </w:r>
      <w:r w:rsidR="00861985" w:rsidRPr="00551A1E">
        <w:rPr>
          <w:lang w:val="en-GB"/>
        </w:rPr>
        <w:t xml:space="preserve"> trying</w:t>
      </w:r>
      <w:r w:rsidRPr="00551A1E">
        <w:rPr>
          <w:lang w:val="en-GB"/>
        </w:rPr>
        <w:t xml:space="preserve"> to cope with </w:t>
      </w:r>
      <w:r w:rsidR="006042E3" w:rsidRPr="00551A1E">
        <w:rPr>
          <w:lang w:val="en-GB"/>
        </w:rPr>
        <w:t>the</w:t>
      </w:r>
      <w:r w:rsidRPr="00551A1E">
        <w:rPr>
          <w:lang w:val="en-GB"/>
        </w:rPr>
        <w:t xml:space="preserve"> fast technological</w:t>
      </w:r>
      <w:r w:rsidR="008B1A13" w:rsidRPr="00551A1E">
        <w:rPr>
          <w:lang w:val="en-GB"/>
        </w:rPr>
        <w:t xml:space="preserve"> growth</w:t>
      </w:r>
      <w:r w:rsidR="00581828">
        <w:rPr>
          <w:lang w:val="en-GB"/>
        </w:rPr>
        <w:t xml:space="preserve"> rates,</w:t>
      </w:r>
      <w:r w:rsidRPr="00551A1E">
        <w:rPr>
          <w:lang w:val="en-GB"/>
        </w:rPr>
        <w:t xml:space="preserve"> </w:t>
      </w:r>
      <w:r w:rsidR="00833B7A" w:rsidRPr="00551A1E">
        <w:rPr>
          <w:lang w:val="en-GB"/>
        </w:rPr>
        <w:t xml:space="preserve">severe </w:t>
      </w:r>
      <w:r w:rsidR="001D4A1B" w:rsidRPr="00551A1E">
        <w:rPr>
          <w:lang w:val="en-GB"/>
        </w:rPr>
        <w:t xml:space="preserve">environmental </w:t>
      </w:r>
      <w:r w:rsidR="00833B7A" w:rsidRPr="00551A1E">
        <w:rPr>
          <w:lang w:val="en-GB"/>
        </w:rPr>
        <w:t>issues</w:t>
      </w:r>
      <w:r w:rsidRPr="00551A1E">
        <w:rPr>
          <w:lang w:val="en-GB"/>
        </w:rPr>
        <w:t xml:space="preserve"> </w:t>
      </w:r>
      <w:r w:rsidR="00713F56" w:rsidRPr="00252DF0">
        <w:rPr>
          <w:lang w:val="en-GB"/>
        </w:rPr>
        <w:fldChar w:fldCharType="begin" w:fldLock="1"/>
      </w:r>
      <w:r w:rsidR="003445CC">
        <w:rPr>
          <w:lang w:val="en-GB"/>
        </w:rPr>
        <w:instrText>ADDIN CSL_CITATION {"citationItems":[{"id":"ITEM-1","itemData":{"author":[{"dropping-particle":"","family":"WCED","given":"","non-dropping-particle":"","parse-names":false,"suffix":""}],"id":"ITEM-1","issued":{"date-parts":[["1987"]]},"title":"Our Common Future: Report of the World Commission on Environment and Development","type":"report"},"uris":["http://www.mendeley.com/documents/?uuid=d5cd2b98-1dc5-4a0d-ba56-7f295382dff5"]},{"id":"ITEM-2","itemData":{"DOI":"10.1007/s10551-015-2693-2","ISBN":"0167-4544\\r1573-0697","ISSN":"15730697","abstract":"There have long been calls from industry for guidance in implementing strategies for sustainable development. The Circular Economy represents the most recent attempt to conceptualize the integration of economic activity and environmental wellbeing in a sustainable way. This set of ideas has been adopted by China as the basis of their economic development (included in both the 11th and the 12th 'Five Year Plan'), escalating the concept in minds of western policymakers and NGOs. This paper traces the conceptualisations and origins of the Circular Economy, tracing its meanings, and exploring its antecedents in economics and ecology, and discusses how the Circular Economy has been operationalized in business and policy. The paper finds that while the Circular Economy places emphasis on the redesign of processes and cycling of materials, which may contribute to more sustainable business models, it also encapsulates tensions and limitations. These include an absence of the social dimension inherent in sustainable development that limits its ethical dimensions, and some unintended consequences. This leads us to propose a revised definition of the Circular Economy as 'an economic model wherein planning, resourcing, procurement, production and reprocessing are designed and managed, as both process and output, to maximize ecosystem functioning and human well-being'.","author":[{"dropping-particle":"","family":"Murray","given":"Alan","non-dropping-particle":"","parse-names":false,"suffix":""},{"dropping-particle":"","family":"Skene","given":"Keith","non-dropping-particle":"","parse-names":false,"suffix":""},{"dropping-particle":"","family":"Haynes","given":"Kathryn","non-dropping-particle":"","parse-names":false,"suffix":""}],"container-title":"Journal of Business Ethics","id":"ITEM-2","issued":{"date-parts":[["2017"]]},"page":"369-380","publisher":"Springer Netherlands","title":"The Circular Economy: An Interdisciplinary Exploration of the Concept and Application in a Global Context","type":"article-journal","volume":"140"},"uris":["http://www.mendeley.com/documents/?uuid=d7ad4f33-50fe-455a-a080-c9f3a0727143","http://www.mendeley.com/documents/?uuid=93119e3e-2213-49ee-8c5b-2c2d10c448b3"]}],"mendeley":{"formattedCitation":"(Murray et al., 2017; WCED, 1987)","plainTextFormattedCitation":"(Murray et al., 2017; WCED, 1987)","previouslyFormattedCitation":"(Murray et al., 2017; WCED, 1987)"},"properties":{"noteIndex":0},"schema":"https://github.com/citation-style-language/schema/raw/master/csl-citation.json"}</w:instrText>
      </w:r>
      <w:r w:rsidR="00713F56" w:rsidRPr="00252DF0">
        <w:rPr>
          <w:lang w:val="en-GB"/>
        </w:rPr>
        <w:fldChar w:fldCharType="separate"/>
      </w:r>
      <w:r w:rsidR="00713F56" w:rsidRPr="00551A1E">
        <w:rPr>
          <w:noProof/>
          <w:lang w:val="en-GB"/>
        </w:rPr>
        <w:t>(Murray et al., 2017; WCED, 1987)</w:t>
      </w:r>
      <w:r w:rsidR="00713F56" w:rsidRPr="00252DF0">
        <w:rPr>
          <w:lang w:val="en-GB"/>
        </w:rPr>
        <w:fldChar w:fldCharType="end"/>
      </w:r>
      <w:r w:rsidR="00581828">
        <w:rPr>
          <w:lang w:val="en-GB"/>
        </w:rPr>
        <w:t xml:space="preserve"> and</w:t>
      </w:r>
      <w:r w:rsidR="00F201B1" w:rsidRPr="00551A1E">
        <w:rPr>
          <w:lang w:val="en-GB"/>
        </w:rPr>
        <w:t xml:space="preserve"> </w:t>
      </w:r>
      <w:r w:rsidR="000A3258" w:rsidRPr="00551A1E">
        <w:rPr>
          <w:lang w:val="en-GB"/>
        </w:rPr>
        <w:t xml:space="preserve">even more restrictive </w:t>
      </w:r>
      <w:r w:rsidR="00F201B1" w:rsidRPr="00551A1E">
        <w:rPr>
          <w:lang w:val="en-GB"/>
        </w:rPr>
        <w:t xml:space="preserve">national and international directives </w:t>
      </w:r>
      <w:r w:rsidR="00F201B1" w:rsidRPr="00252DF0">
        <w:rPr>
          <w:lang w:val="en-GB"/>
        </w:rPr>
        <w:fldChar w:fldCharType="begin" w:fldLock="1"/>
      </w:r>
      <w:r w:rsidR="00BF2F60">
        <w:rPr>
          <w:lang w:val="en-GB"/>
        </w:rPr>
        <w:instrText>ADDIN CSL_CITATION {"citationItems":[{"id":"ITEM-1","itemData":{"author":[{"dropping-particle":"","family":"European Commission","given":"","non-dropping-particle":"","parse-names":false,"suffix":""}],"id":"ITEM-1","issued":{"date-parts":[["2011"]]},"title":"Roadmap to a resource efficient Europe","type":"report"},"uris":["http://www.mendeley.com/documents/?uuid=30664194-97a2-35ac-b188-f04e02cb36ed","http://www.mendeley.com/documents/?uuid=44015129-6785-4c9b-a803-c8cf09c89107"]},{"id":"ITEM-2","itemData":{"author":[{"dropping-particle":"","family":"European Commission","given":"","non-dropping-particle":"","parse-names":false,"suffix":""}],"id":"ITEM-2","issued":{"date-parts":[["2017"]]},"title":"Report on the implementation of the Circular Economy Action Plan","type":"report"},"uris":["http://www.mendeley.com/documents/?uuid=eae5ad34-c67d-32b2-a6e3-e60e0ae48acb","http://www.mendeley.com/documents/?uuid=897fd429-1721-4278-8f8a-aad9950a13c9"]},{"id":"ITEM-3","itemData":{"DOI":"10.1111/j.1530-9290.2011.00332.x","ISBN":"10881980","ISSN":"10881980","abstract":"Eco-industrial initiatives, which close industrial loops by turning wastes at one point in a value chain into inputs at another point, are attracting growing interest as a solution to the problem of sustainability of industrial systems. Although Germany and Japan have made important advances in building recycling incentives into their industrial systems and sought competitive advantage from doing so, China is arguably taking the issue even further (in principle) through its pursuit of a circular economy, now enshrined in law as an official national development goal. In this article, we review a number of the eco-industrial initiatives taken in China and compare them using a common graphical representation with comparable initiatives taken in the West and elsewhere in East Asia. Our aim is to demonstrate some common themes across the case studies, such as the transformation from the former linear economy to a circular economy and the evolutionary processes in which dynamic linkages are gradually established over time. We discuss the drivers of these eco-industrial initiatives as well as the inhibitors, setting the initiatives in an evolutionary framework and introducing a notion of Pareto eco-efficiency to evaluate them. We make the argument that China might be capturing latecomer advantages through its systematic promotion of eco-industrial initiatives within a circular economy framework.","author":[{"dropping-particle":"","family":"Mathews","given":"John A.","non-dropping-particle":"","parse-names":false,"suffix":""},{"dropping-particle":"","family":"Tan","given":"Hao","non-dropping-particle":"","parse-names":false,"suffix":""}],"container-title":"Journal of Industrial Ecology","id":"ITEM-3","issue":"3","issued":{"date-parts":[["2011"]]},"page":"435-457","title":"Progress toward a circular economy in China: The drivers (and inhibitors) of eco-industrial initiative","type":"article-journal","volume":"15"},"uris":["http://www.mendeley.com/documents/?uuid=74563350-eac8-4775-890b-cf15720c8540","http://www.mendeley.com/documents/?uuid=43b4cf04-3804-4865-8a25-5cf841e2f4ea"]},{"id":"ITEM-4","itemData":{"DOI":"10.1038/531440a","ISBN":"978-1-4244-7901-6","ISSN":"14764687","abstract":"The Business Process Execution Language (BPEL) is a reasonable choice for modeling workflows in a Web service environment, but it has a high acceptance threshold for users with no workflow skills. To improve the usability of BPEL for non-tech savvy scientific end users, we present SimpleBPEL, a modeling tool for composing workflows of SimpleBPEL fragments that encapsulate BPEL logic. The implementation is based on Eclipse and automatically generates standard-compliant BPEL workflows. A usage example from the area of media research shows the usefulness of the presented approach.","author":[{"dropping-particle":"","family":"Mathews","given":"John A.","non-dropping-particle":"","parse-names":false,"suffix":""},{"dropping-particle":"","family":"Tan","given":"Hao","non-dropping-particle":"","parse-names":false,"suffix":""}],"container-title":"Nature","id":"ITEM-4","issue":"7595","issued":{"date-parts":[["2016"]]},"page":"440-442","title":"Circular economy: Lessons from China","type":"article-journal","volume":"531"},"uris":["http://www.mendeley.com/documents/?uuid=884b6df9-ce5e-475e-a9fb-bfc9e71cacf7","http://www.mendeley.com/documents/?uuid=0856a2b1-90c1-4479-a7e5-1ce6c42f061d"]}],"mendeley":{"formattedCitation":"(European Commission, 2017, 2011; Mathews and Tan, 2016, 2011)","plainTextFormattedCitation":"(European Commission, 2017, 2011; Mathews and Tan, 2016, 2011)","previouslyFormattedCitation":"(European Commission, 2017, 2011; Mathews and Tan, 2016, 2011)"},"properties":{"noteIndex":0},"schema":"https://github.com/citation-style-language/schema/raw/master/csl-citation.json"}</w:instrText>
      </w:r>
      <w:r w:rsidR="00F201B1" w:rsidRPr="00252DF0">
        <w:rPr>
          <w:lang w:val="en-GB"/>
        </w:rPr>
        <w:fldChar w:fldCharType="separate"/>
      </w:r>
      <w:r w:rsidR="00F201B1" w:rsidRPr="00551A1E">
        <w:rPr>
          <w:noProof/>
          <w:lang w:val="en-GB"/>
        </w:rPr>
        <w:t>(European Commission, 2017, 2011; Mathews and Tan, 2016, 2011)</w:t>
      </w:r>
      <w:r w:rsidR="00F201B1" w:rsidRPr="00252DF0">
        <w:rPr>
          <w:lang w:val="en-GB"/>
        </w:rPr>
        <w:fldChar w:fldCharType="end"/>
      </w:r>
      <w:r w:rsidR="009E4590" w:rsidRPr="00551A1E">
        <w:rPr>
          <w:lang w:val="en-GB"/>
        </w:rPr>
        <w:t>.</w:t>
      </w:r>
      <w:r w:rsidR="00BD40D8" w:rsidRPr="00551A1E">
        <w:rPr>
          <w:lang w:val="en-GB"/>
        </w:rPr>
        <w:t xml:space="preserve"> However,</w:t>
      </w:r>
      <w:r w:rsidR="008C6934" w:rsidRPr="00551A1E">
        <w:rPr>
          <w:lang w:val="en-GB"/>
        </w:rPr>
        <w:t xml:space="preserve"> innovative Business Models (BMs) and industrial strategies </w:t>
      </w:r>
      <w:r w:rsidR="0096129C" w:rsidRPr="00551A1E">
        <w:rPr>
          <w:lang w:val="en-GB"/>
        </w:rPr>
        <w:t xml:space="preserve"> </w:t>
      </w:r>
      <w:r w:rsidR="008C6934" w:rsidRPr="00551A1E">
        <w:rPr>
          <w:lang w:val="en-GB"/>
        </w:rPr>
        <w:t>a</w:t>
      </w:r>
      <w:r w:rsidR="0085197D" w:rsidRPr="00551A1E">
        <w:rPr>
          <w:lang w:val="en-GB"/>
        </w:rPr>
        <w:t>dequate</w:t>
      </w:r>
      <w:r w:rsidR="008C6934" w:rsidRPr="00551A1E">
        <w:rPr>
          <w:lang w:val="en-GB"/>
        </w:rPr>
        <w:t xml:space="preserve"> to th</w:t>
      </w:r>
      <w:r w:rsidR="000C1877" w:rsidRPr="00551A1E">
        <w:rPr>
          <w:lang w:val="en-GB"/>
        </w:rPr>
        <w:t>is</w:t>
      </w:r>
      <w:r w:rsidR="008C6934" w:rsidRPr="00551A1E">
        <w:rPr>
          <w:lang w:val="en-GB"/>
        </w:rPr>
        <w:t xml:space="preserve"> new</w:t>
      </w:r>
      <w:r w:rsidR="000C1877" w:rsidRPr="00551A1E">
        <w:rPr>
          <w:lang w:val="en-GB"/>
        </w:rPr>
        <w:t xml:space="preserve"> context</w:t>
      </w:r>
      <w:r w:rsidR="00747ECF" w:rsidRPr="00551A1E">
        <w:rPr>
          <w:lang w:val="en-GB"/>
        </w:rPr>
        <w:t xml:space="preserve"> are still </w:t>
      </w:r>
      <w:r w:rsidR="00AD3B0B">
        <w:rPr>
          <w:lang w:val="en-GB"/>
        </w:rPr>
        <w:t>either under development or implementation</w:t>
      </w:r>
      <w:r w:rsidR="00AD3B0B" w:rsidRPr="00252DF0">
        <w:rPr>
          <w:lang w:val="en-GB"/>
        </w:rPr>
        <w:t xml:space="preserve"> </w:t>
      </w:r>
      <w:r w:rsidR="00903F64" w:rsidRPr="00252DF0">
        <w:rPr>
          <w:lang w:val="en-GB"/>
        </w:rPr>
        <w:fldChar w:fldCharType="begin" w:fldLock="1"/>
      </w:r>
      <w:r w:rsidR="003027D4">
        <w:rPr>
          <w:lang w:val="en-GB"/>
        </w:rPr>
        <w:instrText>ADDIN CSL_CITATION {"citationItems":[{"id":"ITEM-1","itemData":{"DOI":"10.1016/j.jbusres.2018.06.013","ISSN":"01482963","abstract":"Digital startups in the early stages of their development frequently undergo innovation to their value architecture and Business Model. A set of pragmatic methods drawing on lean and agile principles has recently been proposed to support digital entrepreneurs facing Business Model Innovation (BMI), known as Lean Startup Approaches (LSAs). However, the theoretical and practical relationship between BMI and LSAs in dynamic digital environments has seldom been investigated. To fill this gap, our study draws on an exploratory multiple-case study based on three digital multisided platform startups to craft a unified framework that can disclose the relationship between BMI, LSAs and Agile Development (AD), within the context of Strategic Agility. Our findings, which emerge from the unified framework, show that LSAs can be employed as agile methods to enable Business Model Innovation in Digital Entrepreneurship. These findings are then organized around a set of propositions, with the aim of developing a research agenda directed towards integrating BMI, LSAs and AD processes and methods.","author":[{"dropping-particle":"","family":"Ghezzi","given":"Antonio","non-dropping-particle":"","parse-names":false,"suffix":""},{"dropping-particle":"","family":"Cavallo","given":"Angelo","non-dropping-particle":"","parse-names":false,"suffix":""}],"container-title":"Journal of Business Research","id":"ITEM-1","issued":{"date-parts":[["2019"]]},"publisher":"Elsevier","title":"Agile Business Model Innovation in Digital Entrepreneurship: Lean Startup Approaches","type":"article-journal"},"uris":["http://www.mendeley.com/documents/?uuid=d8c47e34-fb7c-4f7d-954a-8a77eeb2523b","http://www.mendeley.com/documents/?uuid=fa14c927-8095-48e5-850e-18dd2f5294f5"]}],"mendeley":{"formattedCitation":"(Ghezzi and Cavallo, 2019)","plainTextFormattedCitation":"(Ghezzi and Cavallo, 2019)","previouslyFormattedCitation":"(Ghezzi and Cavallo, 2019)"},"properties":{"noteIndex":0},"schema":"https://github.com/citation-style-language/schema/raw/master/csl-citation.json"}</w:instrText>
      </w:r>
      <w:r w:rsidR="00903F64" w:rsidRPr="00252DF0">
        <w:rPr>
          <w:lang w:val="en-GB"/>
        </w:rPr>
        <w:fldChar w:fldCharType="separate"/>
      </w:r>
      <w:r w:rsidR="003445CC" w:rsidRPr="003445CC">
        <w:rPr>
          <w:noProof/>
          <w:lang w:val="en-GB"/>
        </w:rPr>
        <w:t>(Ghezzi and Cavallo, 2019)</w:t>
      </w:r>
      <w:r w:rsidR="00903F64" w:rsidRPr="00252DF0">
        <w:rPr>
          <w:lang w:val="en-GB"/>
        </w:rPr>
        <w:fldChar w:fldCharType="end"/>
      </w:r>
      <w:r w:rsidR="000C1877" w:rsidRPr="00551A1E">
        <w:rPr>
          <w:lang w:val="en-GB"/>
        </w:rPr>
        <w:t>.</w:t>
      </w:r>
      <w:r w:rsidR="00F82637" w:rsidRPr="00551A1E">
        <w:rPr>
          <w:lang w:val="en-GB"/>
        </w:rPr>
        <w:t xml:space="preserve"> </w:t>
      </w:r>
      <w:r w:rsidR="0007314D" w:rsidRPr="00551A1E">
        <w:rPr>
          <w:lang w:val="en-GB"/>
        </w:rPr>
        <w:t xml:space="preserve">The need </w:t>
      </w:r>
      <w:r w:rsidR="00697053">
        <w:rPr>
          <w:lang w:val="en-GB"/>
        </w:rPr>
        <w:t>of</w:t>
      </w:r>
      <w:r w:rsidR="0007314D" w:rsidRPr="00551A1E">
        <w:rPr>
          <w:lang w:val="en-GB"/>
        </w:rPr>
        <w:t xml:space="preserve"> rethink</w:t>
      </w:r>
      <w:r w:rsidR="000719C0" w:rsidRPr="00551A1E">
        <w:rPr>
          <w:lang w:val="en-GB"/>
        </w:rPr>
        <w:t>ing</w:t>
      </w:r>
      <w:r w:rsidR="0007314D" w:rsidRPr="00551A1E">
        <w:rPr>
          <w:lang w:val="en-GB"/>
        </w:rPr>
        <w:t xml:space="preserve"> and reshap</w:t>
      </w:r>
      <w:r w:rsidR="000719C0" w:rsidRPr="00551A1E">
        <w:rPr>
          <w:lang w:val="en-GB"/>
        </w:rPr>
        <w:t>ing</w:t>
      </w:r>
      <w:r w:rsidR="0007314D" w:rsidRPr="00551A1E">
        <w:rPr>
          <w:lang w:val="en-GB"/>
        </w:rPr>
        <w:t xml:space="preserve"> </w:t>
      </w:r>
      <w:r w:rsidR="00375747" w:rsidRPr="00551A1E">
        <w:rPr>
          <w:lang w:val="en-GB"/>
        </w:rPr>
        <w:t xml:space="preserve">current </w:t>
      </w:r>
      <w:r w:rsidR="0007314D" w:rsidRPr="00551A1E">
        <w:rPr>
          <w:lang w:val="en-GB"/>
        </w:rPr>
        <w:t xml:space="preserve">production and consumption </w:t>
      </w:r>
      <w:r w:rsidR="00375747" w:rsidRPr="00551A1E">
        <w:rPr>
          <w:lang w:val="en-GB"/>
        </w:rPr>
        <w:t xml:space="preserve">behaviours </w:t>
      </w:r>
      <w:r w:rsidR="00F82637" w:rsidRPr="00551A1E">
        <w:rPr>
          <w:lang w:val="en-GB"/>
        </w:rPr>
        <w:t xml:space="preserve">emerged from </w:t>
      </w:r>
      <w:r w:rsidR="002516E5" w:rsidRPr="00551A1E">
        <w:rPr>
          <w:lang w:val="en-GB"/>
        </w:rPr>
        <w:t>several works</w:t>
      </w:r>
      <w:r w:rsidR="00F82637" w:rsidRPr="00551A1E">
        <w:rPr>
          <w:lang w:val="en-GB"/>
        </w:rPr>
        <w:t xml:space="preserve"> </w:t>
      </w:r>
      <w:r w:rsidR="00093472">
        <w:rPr>
          <w:lang w:val="en-GB"/>
        </w:rPr>
        <w:fldChar w:fldCharType="begin" w:fldLock="1"/>
      </w:r>
      <w:r w:rsidR="003445CC">
        <w:rPr>
          <w:lang w:val="en-GB"/>
        </w:rPr>
        <w:instrText>ADDIN CSL_CITATION {"citationItems":[{"id":"ITEM-1","itemData":{"DOI":"10.1016/j.jclepro.2017.12.112","ISBN":"0959-6526","ISSN":"09596526","abstract":"Circular Economy (CE) aims to overcome the take-make-dispose linear pattern of production and consumption, proposing a circular system in which the value of products, materials and resources is maintained in the economy as long as possible. In recent years there has been a proliferation of scholars' publications on the topic. This study presents the results of a systematic literature review exploring the state-of-the-art of academic research on CE. The paper examines the CE body of literature with a systematic approach, to provide an exhaustive analysis of the phenomenon with rigorous and reproducible research criteria. The revisited material consists of 565 articles collected through the Web of Science and Scopus databases, and has been evaluated using specific structural dimensions to group literature into analytical categories. Starting from being a concept studied in connection with industrial ecology, CE has slowly acquired its independent role in academic research, framed mainly into environmental sustainability related studies. As a result of policies implementation, academic production is mainly concentrated in China and Europe, employing tools and methods for modelling processes and supporting decision-making for CE implementation (e.g. Life Cycle Assessment and Material Flow Analysis). CE studies follow three main lines of action: the first aims to change the social and economic dynamics at macro and administrative level; the second to support firms in circular processes implementation at micro level to spread new forms of consumption and product design; the third, developed at meso level, discusses industrial symbiosis experiences. CE is associated with a variety of concepts, and waste management emerges as the most relevant sub-sector. CE is also strongly connected with the concept of sustainability, proposing ways to operationalize its implementation at the environmental and economic level, while scholars only marginally consider social and institutional implications. The most explored practices are those related to cleaner production, aiming at reducing environmental impact and waste production along the life cycle of a product, and optimizing the performance and efficiency of processes. Conversely, studies on CE may devote greater attention to strategies for social and institutional changes, able to transform the upstream process of production and consumption. Considering business model strategies, scholars mainly focus on studying closin…","author":[{"dropping-particle":"","family":"Merli","given":"Roberto","non-dropping-particle":"","parse-names":false,"suffix":""},{"dropping-particle":"","family":"Preziosi","given":"Michele","non-dropping-particle":"","parse-names":false,"suffix":""},{"dropping-particle":"","family":"Acampora","given":"Alessia","non-dropping-particle":"","parse-names":false,"suffix":""}],"container-title":"Journal of Cleaner Production","id":"ITEM-1","issued":{"date-parts":[["2018"]]},"page":"703-722","publisher":"Elsevier Ltd","title":"How do scholars approach the circular economy? A systematic literature review","type":"article-journal","volume":"178"},"uris":["http://www.mendeley.com/documents/?uuid=0eb2661a-ad7b-4a5e-a0a4-bf69bd6d601e","http://www.mendeley.com/documents/?uuid=f1111dac-60ab-4664-9e0e-fbe692acf292"]},{"id":"ITEM-2","itemData":{"author":[{"dropping-particle":"","family":"Pardo","given":"Romain","non-dropping-particle":"","parse-names":false,"suffix":""}],"id":"ITEM-2","issued":{"date-parts":[["2018"]]},"title":"How the Circular Economy can benefit from the Digital Revolution","type":"report"},"uris":["http://www.mendeley.com/documents/?uuid=87ca5d12-c18d-4105-9b26-28aa34c2993c","http://www.mendeley.com/documents/?uuid=1f2c7b57-dc97-4627-b30d-08ee82dbd625"]},{"id":"ITEM-3","itemData":{"DOI":"10.1080/21681015.2016.1172124","ISBN":"10.1080/21681015.2016.1172124","ISSN":"21681023","abstract":"The transition within business from a linear to a circular economy brings with it a range of practical challenges for companies. The following question is addressed: What are the product design and business model strategies for companies that want to move to a circular economy model? This paper develops a framework of strategies to guide designers and business strategists in the move from a linear to a circular economy. Building on Stahel, the terminology of slowing, closing, and narrowing resource loops is introduced. A list of product design strategies, business model strategies, and examples for key decision-makers in businesses is introduced, to facilitate the move to a circular economy. This framework also opens up a future research agenda for the circular economy.","author":[{"dropping-particle":"","family":"Bocken","given":"Nancy M.P.","non-dropping-particle":"","parse-names":false,"suffix":""},{"dropping-particle":"","family":"Pauw","given":"Ingrid","non-dropping-particle":"de","parse-names":false,"suffix":""},{"dropping-particle":"","family":"Bakker","given":"Conny A.","non-dropping-particle":"","parse-names":false,"suffix":""},{"dropping-particle":"","family":"Grinten","given":"Bram","non-dropping-particle":"van der","parse-names":false,"suffix":""}],"container-title":"Journal of Industrial and Production Engineering","id":"ITEM-3","issue":"5","issued":{"date-parts":[["2016"]]},"page":"308-320","publisher":"Taylor &amp; Francis","title":"Product design and business model strategies for a circular economy","type":"article-journal","volume":"33"},"uris":["http://www.mendeley.com/documents/?uuid=ef2c2b2e-1e94-4d10-b966-511148dc0d31"]}],"mendeley":{"formattedCitation":"(Bocken et al., 2016a; Merli et al., 2018; Pardo, 2018)","plainTextFormattedCitation":"(Bocken et al., 2016a; Merli et al., 2018; Pardo, 2018)","previouslyFormattedCitation":"(Bocken et al., 2016a; Merli et al., 2018; Pardo, 2018)"},"properties":{"noteIndex":0},"schema":"https://github.com/citation-style-language/schema/raw/master/csl-citation.json"}</w:instrText>
      </w:r>
      <w:r w:rsidR="00093472">
        <w:rPr>
          <w:lang w:val="en-GB"/>
        </w:rPr>
        <w:fldChar w:fldCharType="separate"/>
      </w:r>
      <w:r w:rsidR="00093472" w:rsidRPr="00093472">
        <w:rPr>
          <w:noProof/>
          <w:lang w:val="en-GB"/>
        </w:rPr>
        <w:t>(Bocken et al., 2016a; Merli et al., 2018; Pardo, 2018)</w:t>
      </w:r>
      <w:r w:rsidR="00093472">
        <w:rPr>
          <w:lang w:val="en-GB"/>
        </w:rPr>
        <w:fldChar w:fldCharType="end"/>
      </w:r>
      <w:r w:rsidR="00F82637" w:rsidRPr="00300C91">
        <w:rPr>
          <w:lang w:val="en-GB"/>
        </w:rPr>
        <w:t xml:space="preserve">, </w:t>
      </w:r>
      <w:r w:rsidR="00E749F7" w:rsidRPr="00300C91">
        <w:rPr>
          <w:lang w:val="en-GB"/>
        </w:rPr>
        <w:t>claiming</w:t>
      </w:r>
      <w:r w:rsidR="00F82637" w:rsidRPr="00300C91">
        <w:rPr>
          <w:lang w:val="en-GB"/>
        </w:rPr>
        <w:t xml:space="preserve"> </w:t>
      </w:r>
      <w:r w:rsidR="0096129C" w:rsidRPr="00300C91">
        <w:rPr>
          <w:lang w:val="en-GB"/>
        </w:rPr>
        <w:t xml:space="preserve">for </w:t>
      </w:r>
      <w:r w:rsidR="00F82637" w:rsidRPr="00300C91">
        <w:rPr>
          <w:lang w:val="en-GB"/>
        </w:rPr>
        <w:t xml:space="preserve">further researches on </w:t>
      </w:r>
      <w:r w:rsidR="00E97932" w:rsidRPr="00746DB3">
        <w:rPr>
          <w:lang w:val="en-GB"/>
        </w:rPr>
        <w:t xml:space="preserve">CE-oriented </w:t>
      </w:r>
      <w:r w:rsidR="00F82637" w:rsidRPr="00300C91">
        <w:rPr>
          <w:lang w:val="en-GB"/>
        </w:rPr>
        <w:t>innovative practice</w:t>
      </w:r>
      <w:r w:rsidR="00E97932" w:rsidRPr="00746DB3">
        <w:rPr>
          <w:lang w:val="en-GB"/>
        </w:rPr>
        <w:t>s</w:t>
      </w:r>
      <w:r w:rsidR="00F82637" w:rsidRPr="00300C91">
        <w:rPr>
          <w:lang w:val="en-GB"/>
        </w:rPr>
        <w:t>, such as</w:t>
      </w:r>
      <w:r w:rsidR="00916BF5" w:rsidRPr="00300C91">
        <w:rPr>
          <w:lang w:val="en-GB"/>
        </w:rPr>
        <w:t xml:space="preserve"> </w:t>
      </w:r>
      <w:r w:rsidR="00F82637" w:rsidRPr="00300C91">
        <w:rPr>
          <w:lang w:val="en-GB"/>
        </w:rPr>
        <w:t>sharing economy, product-service systems, dematerialization,</w:t>
      </w:r>
      <w:r w:rsidR="00547CE0" w:rsidRPr="00300C91">
        <w:rPr>
          <w:lang w:val="en-GB"/>
        </w:rPr>
        <w:t xml:space="preserve"> </w:t>
      </w:r>
      <w:r w:rsidR="00F82637" w:rsidRPr="00300C91">
        <w:rPr>
          <w:lang w:val="en-GB"/>
        </w:rPr>
        <w:t>remanufacturing</w:t>
      </w:r>
      <w:r w:rsidR="00F61451" w:rsidRPr="00300C91">
        <w:rPr>
          <w:lang w:val="en-GB"/>
        </w:rPr>
        <w:t xml:space="preserve"> and</w:t>
      </w:r>
      <w:r w:rsidR="00F51936" w:rsidRPr="00300C91">
        <w:rPr>
          <w:lang w:val="en-GB"/>
        </w:rPr>
        <w:t xml:space="preserve"> product lifecycles</w:t>
      </w:r>
      <w:r w:rsidR="00F82637" w:rsidRPr="00300C91">
        <w:rPr>
          <w:lang w:val="en-GB"/>
        </w:rPr>
        <w:t>.</w:t>
      </w:r>
      <w:r w:rsidR="008C6934" w:rsidRPr="00300C91">
        <w:rPr>
          <w:lang w:val="en-GB"/>
        </w:rPr>
        <w:t xml:space="preserve"> </w:t>
      </w:r>
      <w:r w:rsidR="00C3293A" w:rsidRPr="00551A1E">
        <w:rPr>
          <w:lang w:val="en-GB"/>
        </w:rPr>
        <w:t xml:space="preserve">Considering all these elements, the paper wants </w:t>
      </w:r>
      <w:r w:rsidR="008247B3">
        <w:rPr>
          <w:lang w:val="en-GB"/>
        </w:rPr>
        <w:t xml:space="preserve">to analyse the </w:t>
      </w:r>
      <w:r w:rsidR="008247B3" w:rsidRPr="00551A1E">
        <w:rPr>
          <w:rFonts w:eastAsia="Times New Roman"/>
          <w:lang w:val="en-GB"/>
        </w:rPr>
        <w:t>Circular Business Model</w:t>
      </w:r>
      <w:r w:rsidR="008247B3">
        <w:rPr>
          <w:lang w:val="en-GB"/>
        </w:rPr>
        <w:t xml:space="preserve"> (CBM) research context in all its dimensions</w:t>
      </w:r>
      <w:r w:rsidR="00704203">
        <w:rPr>
          <w:lang w:val="en-GB"/>
        </w:rPr>
        <w:t xml:space="preserve"> </w:t>
      </w:r>
      <w:r w:rsidR="00C3293A" w:rsidRPr="00551A1E">
        <w:rPr>
          <w:rFonts w:eastAsia="Times New Roman"/>
          <w:lang w:val="en-GB"/>
        </w:rPr>
        <w:t xml:space="preserve">and make companies aware about them </w:t>
      </w:r>
      <w:r w:rsidR="00C3293A" w:rsidRPr="00551A1E">
        <w:rPr>
          <w:lang w:val="en-GB"/>
        </w:rPr>
        <w:t>during their shift towards CE</w:t>
      </w:r>
      <w:r w:rsidR="00C3293A" w:rsidRPr="00746DB3">
        <w:rPr>
          <w:lang w:val="en-GB"/>
        </w:rPr>
        <w:t>.</w:t>
      </w:r>
      <w:r w:rsidR="00042F74" w:rsidRPr="00746DB3">
        <w:rPr>
          <w:lang w:val="en-GB"/>
        </w:rPr>
        <w:t xml:space="preserve"> </w:t>
      </w:r>
      <w:r w:rsidR="007C1D86" w:rsidRPr="00551A1E">
        <w:rPr>
          <w:lang w:val="en-GB"/>
        </w:rPr>
        <w:t>To this aim, a systematic literature review has been conducted. First</w:t>
      </w:r>
      <w:r w:rsidR="00930CE3" w:rsidRPr="00551A1E">
        <w:rPr>
          <w:lang w:val="en-GB"/>
        </w:rPr>
        <w:t>ly</w:t>
      </w:r>
      <w:r w:rsidR="007C1D86" w:rsidRPr="00551A1E">
        <w:rPr>
          <w:lang w:val="en-GB"/>
        </w:rPr>
        <w:t>, a state-of-the-art analysis allowed t</w:t>
      </w:r>
      <w:r w:rsidR="00041797">
        <w:rPr>
          <w:lang w:val="en-GB"/>
        </w:rPr>
        <w:t>he</w:t>
      </w:r>
      <w:r w:rsidR="007C1D86" w:rsidRPr="00551A1E">
        <w:rPr>
          <w:lang w:val="en-GB"/>
        </w:rPr>
        <w:t xml:space="preserve"> </w:t>
      </w:r>
      <w:r w:rsidR="007E411C" w:rsidRPr="00551A1E">
        <w:rPr>
          <w:lang w:val="en-GB"/>
        </w:rPr>
        <w:t>iden</w:t>
      </w:r>
      <w:r w:rsidR="00150658" w:rsidRPr="00551A1E">
        <w:rPr>
          <w:lang w:val="en-GB"/>
        </w:rPr>
        <w:t>tif</w:t>
      </w:r>
      <w:r w:rsidR="00041797">
        <w:rPr>
          <w:lang w:val="en-GB"/>
        </w:rPr>
        <w:t>ication</w:t>
      </w:r>
      <w:r w:rsidR="008247B3">
        <w:rPr>
          <w:lang w:val="en-GB"/>
        </w:rPr>
        <w:t xml:space="preserve"> </w:t>
      </w:r>
      <w:r w:rsidR="00041797">
        <w:rPr>
          <w:lang w:val="en-GB"/>
        </w:rPr>
        <w:t>of</w:t>
      </w:r>
      <w:r w:rsidR="008247B3">
        <w:rPr>
          <w:lang w:val="en-GB"/>
        </w:rPr>
        <w:t xml:space="preserve"> macro-areas composing the CBM research context and</w:t>
      </w:r>
      <w:r w:rsidR="00150658" w:rsidRPr="00551A1E">
        <w:rPr>
          <w:lang w:val="en-GB"/>
        </w:rPr>
        <w:t xml:space="preserve"> </w:t>
      </w:r>
      <w:r w:rsidR="00063F8A" w:rsidRPr="00551A1E">
        <w:rPr>
          <w:lang w:val="en-GB"/>
        </w:rPr>
        <w:t>the most common types of CBMs. Second</w:t>
      </w:r>
      <w:r w:rsidR="00930CE3" w:rsidRPr="00551A1E">
        <w:rPr>
          <w:lang w:val="en-GB"/>
        </w:rPr>
        <w:t>ly</w:t>
      </w:r>
      <w:r w:rsidR="00063F8A" w:rsidRPr="00551A1E">
        <w:rPr>
          <w:lang w:val="en-GB"/>
        </w:rPr>
        <w:t>, an in-depth analysis of th</w:t>
      </w:r>
      <w:r w:rsidR="008247B3">
        <w:rPr>
          <w:lang w:val="en-GB"/>
        </w:rPr>
        <w:t xml:space="preserve">ese </w:t>
      </w:r>
      <w:r w:rsidR="00063F8A" w:rsidRPr="00551A1E">
        <w:rPr>
          <w:lang w:val="en-GB"/>
        </w:rPr>
        <w:t>macro-areas</w:t>
      </w:r>
      <w:r w:rsidR="008247B3">
        <w:rPr>
          <w:lang w:val="en-GB"/>
        </w:rPr>
        <w:t xml:space="preserve"> </w:t>
      </w:r>
      <w:r w:rsidR="00063F8A" w:rsidRPr="00551A1E">
        <w:rPr>
          <w:lang w:val="en-GB"/>
        </w:rPr>
        <w:t>allowed t</w:t>
      </w:r>
      <w:r w:rsidR="006C229A">
        <w:rPr>
          <w:lang w:val="en-GB"/>
        </w:rPr>
        <w:t>he</w:t>
      </w:r>
      <w:r w:rsidR="00063F8A" w:rsidRPr="00551A1E">
        <w:rPr>
          <w:lang w:val="en-GB"/>
        </w:rPr>
        <w:t xml:space="preserve"> understand</w:t>
      </w:r>
      <w:r w:rsidR="006C229A">
        <w:rPr>
          <w:lang w:val="en-GB"/>
        </w:rPr>
        <w:t>ing</w:t>
      </w:r>
      <w:r w:rsidR="00063F8A" w:rsidRPr="00551A1E">
        <w:rPr>
          <w:lang w:val="en-GB"/>
        </w:rPr>
        <w:t xml:space="preserve"> </w:t>
      </w:r>
      <w:r w:rsidR="00B83826">
        <w:rPr>
          <w:lang w:val="en-GB"/>
        </w:rPr>
        <w:t>of their classification</w:t>
      </w:r>
      <w:r w:rsidR="002B6E17" w:rsidRPr="00551A1E">
        <w:rPr>
          <w:lang w:val="en-GB"/>
        </w:rPr>
        <w:t xml:space="preserve"> into</w:t>
      </w:r>
      <w:r w:rsidR="00063F8A" w:rsidRPr="00551A1E">
        <w:rPr>
          <w:lang w:val="en-GB"/>
        </w:rPr>
        <w:t xml:space="preserve"> archetypes.</w:t>
      </w:r>
      <w:r w:rsidR="008E3F33" w:rsidRPr="00551A1E">
        <w:rPr>
          <w:lang w:val="en-GB"/>
        </w:rPr>
        <w:t xml:space="preserve"> </w:t>
      </w:r>
      <w:r w:rsidR="008E3F33" w:rsidRPr="00551A1E">
        <w:rPr>
          <w:rFonts w:eastAsia="Times New Roman"/>
          <w:lang w:val="en-GB"/>
        </w:rPr>
        <w:t>T</w:t>
      </w:r>
      <w:r w:rsidR="004841F7" w:rsidRPr="00551A1E">
        <w:rPr>
          <w:lang w:val="en-GB"/>
        </w:rPr>
        <w:t xml:space="preserve">he paper is structured as follows. Section 2 </w:t>
      </w:r>
      <w:r w:rsidR="009E6FE2">
        <w:rPr>
          <w:lang w:val="en-GB"/>
        </w:rPr>
        <w:t>defines</w:t>
      </w:r>
      <w:r w:rsidR="004841F7" w:rsidRPr="00551A1E">
        <w:rPr>
          <w:lang w:val="en-GB"/>
        </w:rPr>
        <w:t xml:space="preserve"> the </w:t>
      </w:r>
      <w:r w:rsidR="0099320A" w:rsidRPr="00551A1E">
        <w:rPr>
          <w:lang w:val="en-GB"/>
        </w:rPr>
        <w:t xml:space="preserve">research </w:t>
      </w:r>
      <w:r w:rsidR="004841F7" w:rsidRPr="00551A1E">
        <w:rPr>
          <w:lang w:val="en-GB"/>
        </w:rPr>
        <w:t xml:space="preserve">context and its objectives. Section 3 </w:t>
      </w:r>
      <w:r w:rsidR="0065665D">
        <w:rPr>
          <w:lang w:val="en-GB"/>
        </w:rPr>
        <w:t>analyses</w:t>
      </w:r>
      <w:r w:rsidR="004841F7" w:rsidRPr="00551A1E">
        <w:rPr>
          <w:lang w:val="en-GB"/>
        </w:rPr>
        <w:t xml:space="preserve"> the </w:t>
      </w:r>
      <w:r w:rsidR="00960183" w:rsidRPr="00551A1E">
        <w:rPr>
          <w:lang w:val="en-GB"/>
        </w:rPr>
        <w:t xml:space="preserve">adopted </w:t>
      </w:r>
      <w:r w:rsidR="004841F7" w:rsidRPr="00551A1E">
        <w:rPr>
          <w:lang w:val="en-GB"/>
        </w:rPr>
        <w:t>research methodology</w:t>
      </w:r>
      <w:r w:rsidR="00FA0316" w:rsidRPr="00551A1E">
        <w:rPr>
          <w:lang w:val="en-GB"/>
        </w:rPr>
        <w:t xml:space="preserve"> </w:t>
      </w:r>
      <w:r w:rsidR="004841F7" w:rsidRPr="00551A1E">
        <w:rPr>
          <w:lang w:val="en-GB"/>
        </w:rPr>
        <w:t>to</w:t>
      </w:r>
      <w:r w:rsidR="00FA0316" w:rsidRPr="00551A1E">
        <w:rPr>
          <w:lang w:val="en-GB"/>
        </w:rPr>
        <w:t xml:space="preserve"> </w:t>
      </w:r>
      <w:r w:rsidR="004841F7" w:rsidRPr="00551A1E">
        <w:rPr>
          <w:lang w:val="en-GB"/>
        </w:rPr>
        <w:t xml:space="preserve">perform the </w:t>
      </w:r>
      <w:r w:rsidR="0001427A" w:rsidRPr="00551A1E">
        <w:rPr>
          <w:lang w:val="en-GB"/>
        </w:rPr>
        <w:t xml:space="preserve">systematic </w:t>
      </w:r>
      <w:r w:rsidR="004841F7" w:rsidRPr="00551A1E">
        <w:rPr>
          <w:lang w:val="en-GB"/>
        </w:rPr>
        <w:t>literature review</w:t>
      </w:r>
      <w:r w:rsidR="0001427A" w:rsidRPr="00551A1E">
        <w:rPr>
          <w:lang w:val="en-GB"/>
        </w:rPr>
        <w:t>.</w:t>
      </w:r>
      <w:r w:rsidR="004841F7" w:rsidRPr="00551A1E">
        <w:rPr>
          <w:lang w:val="en-GB"/>
        </w:rPr>
        <w:t xml:space="preserve"> Section 4 </w:t>
      </w:r>
      <w:r w:rsidR="005B3C06">
        <w:rPr>
          <w:lang w:val="en-GB"/>
        </w:rPr>
        <w:t xml:space="preserve">presents and discusses </w:t>
      </w:r>
      <w:r w:rsidR="009E6FE2">
        <w:rPr>
          <w:lang w:val="en-GB"/>
        </w:rPr>
        <w:t>results coming from</w:t>
      </w:r>
      <w:r w:rsidR="004841F7" w:rsidRPr="00551A1E">
        <w:rPr>
          <w:lang w:val="en-GB"/>
        </w:rPr>
        <w:t xml:space="preserve"> the literature analysis. Finally, Section 5 </w:t>
      </w:r>
      <w:r w:rsidR="006829F7" w:rsidRPr="00551A1E">
        <w:rPr>
          <w:lang w:val="en-GB"/>
        </w:rPr>
        <w:t xml:space="preserve">provides some </w:t>
      </w:r>
      <w:r w:rsidR="004841F7" w:rsidRPr="00551A1E">
        <w:rPr>
          <w:lang w:val="en-GB"/>
        </w:rPr>
        <w:t>conclud</w:t>
      </w:r>
      <w:r w:rsidR="006829F7" w:rsidRPr="00551A1E">
        <w:rPr>
          <w:lang w:val="en-GB"/>
        </w:rPr>
        <w:t xml:space="preserve">ing remarks and </w:t>
      </w:r>
      <w:r w:rsidR="00FC783E" w:rsidRPr="00551A1E">
        <w:rPr>
          <w:lang w:val="en-GB"/>
        </w:rPr>
        <w:t>proposes</w:t>
      </w:r>
      <w:r w:rsidR="008C04C7" w:rsidRPr="00551A1E">
        <w:rPr>
          <w:lang w:val="en-GB"/>
        </w:rPr>
        <w:t xml:space="preserve"> future research </w:t>
      </w:r>
      <w:r w:rsidR="006829F7" w:rsidRPr="00551A1E">
        <w:rPr>
          <w:lang w:val="en-GB"/>
        </w:rPr>
        <w:t>areas</w:t>
      </w:r>
      <w:r w:rsidR="004841F7" w:rsidRPr="00551A1E">
        <w:rPr>
          <w:lang w:val="en-GB"/>
        </w:rPr>
        <w:t>.</w:t>
      </w:r>
    </w:p>
    <w:p w14:paraId="12B9921B" w14:textId="15458ECE" w:rsidR="00700901" w:rsidRPr="00402AEC" w:rsidRDefault="003E022F" w:rsidP="00026D10">
      <w:pPr>
        <w:spacing w:after="240" w:line="360" w:lineRule="auto"/>
        <w:rPr>
          <w:b/>
          <w:lang w:val="en-GB"/>
        </w:rPr>
      </w:pPr>
      <w:r w:rsidRPr="00402AEC">
        <w:rPr>
          <w:b/>
          <w:lang w:val="en-GB"/>
        </w:rPr>
        <w:t xml:space="preserve">2. </w:t>
      </w:r>
      <w:r w:rsidR="00462F8E" w:rsidRPr="00402AEC">
        <w:rPr>
          <w:b/>
          <w:lang w:val="en-GB"/>
        </w:rPr>
        <w:t>Research context</w:t>
      </w:r>
    </w:p>
    <w:p w14:paraId="4D40688F" w14:textId="6DD201A7" w:rsidR="003E022F" w:rsidRPr="00402AEC" w:rsidRDefault="00FB461D" w:rsidP="00216241">
      <w:pPr>
        <w:spacing w:after="240" w:line="360" w:lineRule="auto"/>
        <w:jc w:val="both"/>
        <w:rPr>
          <w:rFonts w:eastAsia="Times New Roman"/>
          <w:lang w:val="en-GB"/>
        </w:rPr>
      </w:pPr>
      <w:r w:rsidRPr="00402AEC">
        <w:rPr>
          <w:rFonts w:eastAsia="Times New Roman"/>
          <w:lang w:val="en-GB"/>
        </w:rPr>
        <w:t xml:space="preserve">The entire work </w:t>
      </w:r>
      <w:r w:rsidR="00903CF8" w:rsidRPr="00402AEC">
        <w:rPr>
          <w:rFonts w:eastAsia="Times New Roman"/>
          <w:lang w:val="en-GB"/>
        </w:rPr>
        <w:t xml:space="preserve">is based on two main concepts, </w:t>
      </w:r>
      <w:r w:rsidR="007C6FD8" w:rsidRPr="00402AEC">
        <w:rPr>
          <w:rFonts w:eastAsia="Times New Roman"/>
          <w:lang w:val="en-GB"/>
        </w:rPr>
        <w:t xml:space="preserve">as </w:t>
      </w:r>
      <w:r w:rsidR="007D0BD6" w:rsidRPr="00402AEC">
        <w:rPr>
          <w:rFonts w:eastAsia="Times New Roman"/>
          <w:lang w:val="en-GB"/>
        </w:rPr>
        <w:t>CE</w:t>
      </w:r>
      <w:r w:rsidR="00462F8E" w:rsidRPr="00402AEC">
        <w:rPr>
          <w:rFonts w:eastAsia="Times New Roman"/>
          <w:lang w:val="en-GB"/>
        </w:rPr>
        <w:t xml:space="preserve"> and CBM</w:t>
      </w:r>
      <w:r w:rsidR="007D0BD6" w:rsidRPr="00402AEC">
        <w:rPr>
          <w:rFonts w:eastAsia="Times New Roman"/>
          <w:lang w:val="en-GB"/>
        </w:rPr>
        <w:t>s</w:t>
      </w:r>
      <w:r w:rsidR="00462F8E" w:rsidRPr="00402AEC">
        <w:rPr>
          <w:rFonts w:eastAsia="Times New Roman"/>
          <w:lang w:val="en-GB"/>
        </w:rPr>
        <w:t>.</w:t>
      </w:r>
      <w:r w:rsidR="00903CF8" w:rsidRPr="00402AEC">
        <w:rPr>
          <w:rFonts w:eastAsia="Times New Roman"/>
          <w:lang w:val="en-GB"/>
        </w:rPr>
        <w:t xml:space="preserve"> This section </w:t>
      </w:r>
      <w:r w:rsidR="0091064A" w:rsidRPr="00402AEC">
        <w:rPr>
          <w:rFonts w:eastAsia="Times New Roman"/>
          <w:lang w:val="en-GB"/>
        </w:rPr>
        <w:t>presents them</w:t>
      </w:r>
      <w:r w:rsidR="00C51A2F">
        <w:rPr>
          <w:rFonts w:eastAsia="Times New Roman"/>
          <w:lang w:val="en-GB"/>
        </w:rPr>
        <w:t xml:space="preserve"> and</w:t>
      </w:r>
      <w:r w:rsidR="0091064A" w:rsidRPr="00402AEC">
        <w:rPr>
          <w:rFonts w:eastAsia="Times New Roman"/>
          <w:lang w:val="en-GB"/>
        </w:rPr>
        <w:t xml:space="preserve"> tr</w:t>
      </w:r>
      <w:r w:rsidR="00A64EB6">
        <w:rPr>
          <w:rFonts w:eastAsia="Times New Roman"/>
          <w:lang w:val="en-GB"/>
        </w:rPr>
        <w:t>ies</w:t>
      </w:r>
      <w:r w:rsidR="0091064A" w:rsidRPr="00402AEC">
        <w:rPr>
          <w:rFonts w:eastAsia="Times New Roman"/>
          <w:lang w:val="en-GB"/>
        </w:rPr>
        <w:t xml:space="preserve"> to </w:t>
      </w:r>
      <w:r w:rsidR="00C55638" w:rsidRPr="00402AEC">
        <w:rPr>
          <w:rFonts w:eastAsia="Times New Roman"/>
          <w:lang w:val="en-GB"/>
        </w:rPr>
        <w:t xml:space="preserve">clarify their </w:t>
      </w:r>
      <w:r w:rsidR="00897353" w:rsidRPr="00402AEC">
        <w:rPr>
          <w:rFonts w:eastAsia="Times New Roman"/>
          <w:lang w:val="en-GB"/>
        </w:rPr>
        <w:t>definition.</w:t>
      </w:r>
      <w:r w:rsidR="00903CF8" w:rsidRPr="00402AEC">
        <w:rPr>
          <w:rFonts w:eastAsia="Times New Roman"/>
          <w:lang w:val="en-GB"/>
        </w:rPr>
        <w:t xml:space="preserve"> </w:t>
      </w:r>
    </w:p>
    <w:p w14:paraId="18BEBE6D" w14:textId="2841C6A2" w:rsidR="00462F8E" w:rsidRPr="00402AEC" w:rsidRDefault="003E022F" w:rsidP="00026D10">
      <w:pPr>
        <w:spacing w:after="160" w:line="360" w:lineRule="auto"/>
        <w:rPr>
          <w:rFonts w:eastAsia="Times New Roman"/>
          <w:i/>
          <w:lang w:val="en-GB"/>
        </w:rPr>
      </w:pPr>
      <w:r w:rsidRPr="00402AEC">
        <w:rPr>
          <w:rFonts w:eastAsia="Times New Roman"/>
          <w:i/>
          <w:lang w:val="en-GB"/>
        </w:rPr>
        <w:lastRenderedPageBreak/>
        <w:t>2.</w:t>
      </w:r>
      <w:r w:rsidR="00910088" w:rsidRPr="00402AEC">
        <w:rPr>
          <w:rFonts w:eastAsia="Times New Roman"/>
          <w:i/>
          <w:lang w:val="en-GB"/>
        </w:rPr>
        <w:t>1</w:t>
      </w:r>
      <w:r w:rsidRPr="00402AEC">
        <w:rPr>
          <w:rFonts w:eastAsia="Times New Roman"/>
          <w:i/>
          <w:lang w:val="en-GB"/>
        </w:rPr>
        <w:t xml:space="preserve"> </w:t>
      </w:r>
      <w:r w:rsidR="00462F8E" w:rsidRPr="00402AEC">
        <w:rPr>
          <w:rFonts w:eastAsia="Times New Roman"/>
          <w:i/>
          <w:lang w:val="en-GB"/>
        </w:rPr>
        <w:t>Circular Economy</w:t>
      </w:r>
    </w:p>
    <w:p w14:paraId="74CA7690" w14:textId="6266D942" w:rsidR="0009657D" w:rsidRPr="00402AEC" w:rsidRDefault="003E79BA" w:rsidP="00216241">
      <w:pPr>
        <w:spacing w:after="240" w:line="360" w:lineRule="auto"/>
        <w:jc w:val="both"/>
        <w:rPr>
          <w:rFonts w:eastAsia="Times New Roman"/>
          <w:lang w:val="en-GB"/>
        </w:rPr>
      </w:pPr>
      <w:r w:rsidRPr="00402AEC">
        <w:rPr>
          <w:rFonts w:eastAsia="Times New Roman"/>
          <w:lang w:val="en-GB"/>
        </w:rPr>
        <w:t xml:space="preserve">CE is often framed in the wider concept of sustainability </w:t>
      </w:r>
      <w:r w:rsidRPr="009601F2">
        <w:rPr>
          <w:rFonts w:eastAsia="Times New Roman"/>
          <w:lang w:val="en-GB"/>
        </w:rPr>
        <w:fldChar w:fldCharType="begin" w:fldLock="1"/>
      </w:r>
      <w:r w:rsidR="00BF2F60">
        <w:rPr>
          <w:rFonts w:eastAsia="Times New Roman"/>
          <w:lang w:val="en-GB"/>
        </w:rPr>
        <w:instrText>ADDIN CSL_CITATION {"citationItems":[{"id":"ITEM-1","itemData":{"DOI":"10.1016/j.jclepro.2017.12.112","ISBN":"0959-6526","ISSN":"09596526","abstract":"Circular Economy (CE) aims to overcome the take-make-dispose linear pattern of production and consumption, proposing a circular system in which the value of products, materials and resources is maintained in the economy as long as possible. In recent years there has been a proliferation of scholars' publications on the topic. This study presents the results of a systematic literature review exploring the state-of-the-art of academic research on CE. The paper examines the CE body of literature with a systematic approach, to provide an exhaustive analysis of the phenomenon with rigorous and reproducible research criteria. The revisited material consists of 565 articles collected through the Web of Science and Scopus databases, and has been evaluated using specific structural dimensions to group literature into analytical categories. Starting from being a concept studied in connection with industrial ecology, CE has slowly acquired its independent role in academic research, framed mainly into environmental sustainability related studies. As a result of policies implementation, academic production is mainly concentrated in China and Europe, employing tools and methods for modelling processes and supporting decision-making for CE implementation (e.g. Life Cycle Assessment and Material Flow Analysis). CE studies follow three main lines of action: the first aims to change the social and economic dynamics at macro and administrative level; the second to support firms in circular processes implementation at micro level to spread new forms of consumption and product design; the third, developed at meso level, discusses industrial symbiosis experiences. CE is associated with a variety of concepts, and waste management emerges as the most relevant sub-sector. CE is also strongly connected with the concept of sustainability, proposing ways to operationalize its implementation at the environmental and economic level, while scholars only marginally consider social and institutional implications. The most explored practices are those related to cleaner production, aiming at reducing environmental impact and waste production along the life cycle of a product, and optimizing the performance and efficiency of processes. Conversely, studies on CE may devote greater attention to strategies for social and institutional changes, able to transform the upstream process of production and consumption. Considering business model strategies, scholars mainly focus on studying closin…","author":[{"dropping-particle":"","family":"Merli","given":"Roberto","non-dropping-particle":"","parse-names":false,"suffix":""},{"dropping-particle":"","family":"Preziosi","given":"Michele","non-dropping-particle":"","parse-names":false,"suffix":""},{"dropping-particle":"","family":"Acampora","given":"Alessia","non-dropping-particle":"","parse-names":false,"suffix":""}],"container-title":"Journal of Cleaner Production","id":"ITEM-1","issued":{"date-parts":[["2018"]]},"page":"703-722","publisher":"Elsevier Ltd","title":"How do scholars approach the circular economy? A systematic literature review","type":"article-journal","volume":"178"},"uris":["http://www.mendeley.com/documents/?uuid=f1111dac-60ab-4664-9e0e-fbe692acf292","http://www.mendeley.com/documents/?uuid=0eb2661a-ad7b-4a5e-a0a4-bf69bd6d601e"]}],"mendeley":{"formattedCitation":"(Merli et al., 2018)","plainTextFormattedCitation":"(Merli et al., 2018)","previouslyFormattedCitation":"(Merli et al., 2018)"},"properties":{"noteIndex":0},"schema":"https://github.com/citation-style-language/schema/raw/master/csl-citation.json"}</w:instrText>
      </w:r>
      <w:r w:rsidRPr="009601F2">
        <w:rPr>
          <w:rFonts w:eastAsia="Times New Roman"/>
          <w:lang w:val="en-GB"/>
        </w:rPr>
        <w:fldChar w:fldCharType="separate"/>
      </w:r>
      <w:r w:rsidRPr="00402AEC">
        <w:rPr>
          <w:rFonts w:eastAsia="Times New Roman"/>
          <w:noProof/>
          <w:lang w:val="en-GB"/>
        </w:rPr>
        <w:t>(Merli et al., 2018)</w:t>
      </w:r>
      <w:r w:rsidRPr="009601F2">
        <w:rPr>
          <w:rFonts w:eastAsia="Times New Roman"/>
          <w:lang w:val="en-GB"/>
        </w:rPr>
        <w:fldChar w:fldCharType="end"/>
      </w:r>
      <w:r w:rsidRPr="00402AEC">
        <w:rPr>
          <w:rFonts w:eastAsia="Times New Roman"/>
          <w:lang w:val="en-GB"/>
        </w:rPr>
        <w:t xml:space="preserve">. </w:t>
      </w:r>
      <w:r w:rsidR="001A58E3" w:rsidRPr="00402AEC">
        <w:rPr>
          <w:rFonts w:eastAsia="Times New Roman"/>
          <w:lang w:val="en-GB"/>
        </w:rPr>
        <w:t xml:space="preserve">Considering the report of </w:t>
      </w:r>
      <w:r w:rsidR="001A58E3" w:rsidRPr="009601F2">
        <w:rPr>
          <w:rFonts w:eastAsia="Times New Roman"/>
          <w:lang w:val="en-GB"/>
        </w:rPr>
        <w:fldChar w:fldCharType="begin" w:fldLock="1"/>
      </w:r>
      <w:r w:rsidR="003445CC">
        <w:rPr>
          <w:rFonts w:eastAsia="Times New Roman"/>
          <w:lang w:val="en-GB"/>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Transition","type":"report"},"uris":["http://www.mendeley.com/documents/?uuid=971e4fa0-7fe9-4e1f-b452-62303eeda0d3"]}],"mendeley":{"formattedCitation":"(The Ellen MacArthur Foundation, 2015)","manualFormatting":"The Ellen MacArthur Foundation (2015)","plainTextFormattedCitation":"(The Ellen MacArthur Foundation, 2015)","previouslyFormattedCitation":"(The Ellen MacArthur Foundation, 2015)"},"properties":{"noteIndex":0},"schema":"https://github.com/citation-style-language/schema/raw/master/csl-citation.json"}</w:instrText>
      </w:r>
      <w:r w:rsidR="001A58E3" w:rsidRPr="009601F2">
        <w:rPr>
          <w:rFonts w:eastAsia="Times New Roman"/>
          <w:lang w:val="en-GB"/>
        </w:rPr>
        <w:fldChar w:fldCharType="separate"/>
      </w:r>
      <w:r w:rsidR="001A58E3" w:rsidRPr="00402AEC">
        <w:rPr>
          <w:rFonts w:eastAsia="Times New Roman"/>
          <w:noProof/>
          <w:lang w:val="en-GB"/>
        </w:rPr>
        <w:t xml:space="preserve">The Ellen MacArthur Foundation </w:t>
      </w:r>
      <w:r w:rsidRPr="00402AEC">
        <w:rPr>
          <w:rFonts w:eastAsia="Times New Roman"/>
          <w:noProof/>
          <w:lang w:val="en-GB"/>
        </w:rPr>
        <w:t>(</w:t>
      </w:r>
      <w:r w:rsidR="001A58E3" w:rsidRPr="00402AEC">
        <w:rPr>
          <w:rFonts w:eastAsia="Times New Roman"/>
          <w:noProof/>
          <w:lang w:val="en-GB"/>
        </w:rPr>
        <w:t>2015)</w:t>
      </w:r>
      <w:r w:rsidR="001A58E3" w:rsidRPr="009601F2">
        <w:rPr>
          <w:rFonts w:eastAsia="Times New Roman"/>
          <w:lang w:val="en-GB"/>
        </w:rPr>
        <w:fldChar w:fldCharType="end"/>
      </w:r>
      <w:r w:rsidR="002E30FA" w:rsidRPr="00402AEC">
        <w:rPr>
          <w:rFonts w:eastAsia="Times New Roman"/>
          <w:lang w:val="en-GB"/>
        </w:rPr>
        <w:t>,</w:t>
      </w:r>
      <w:r w:rsidR="001A58E3" w:rsidRPr="00402AEC">
        <w:rPr>
          <w:rFonts w:eastAsia="Times New Roman"/>
          <w:lang w:val="en-GB"/>
        </w:rPr>
        <w:t xml:space="preserve"> </w:t>
      </w:r>
      <w:r w:rsidR="00FE760D" w:rsidRPr="00402AEC">
        <w:rPr>
          <w:rFonts w:eastAsia="Times New Roman"/>
          <w:lang w:val="en-GB"/>
        </w:rPr>
        <w:t xml:space="preserve">CE is defined as a global economic model </w:t>
      </w:r>
      <w:r w:rsidR="00427259">
        <w:rPr>
          <w:rFonts w:eastAsia="Times New Roman"/>
          <w:lang w:val="en-GB"/>
        </w:rPr>
        <w:t>minimizing</w:t>
      </w:r>
      <w:r w:rsidR="00FE760D" w:rsidRPr="00402AEC">
        <w:rPr>
          <w:rFonts w:eastAsia="Times New Roman"/>
          <w:lang w:val="en-GB"/>
        </w:rPr>
        <w:t xml:space="preserve"> the</w:t>
      </w:r>
      <w:r w:rsidR="00847218" w:rsidRPr="00402AEC">
        <w:rPr>
          <w:rFonts w:eastAsia="Times New Roman"/>
          <w:lang w:val="en-GB"/>
        </w:rPr>
        <w:t xml:space="preserve"> negative effects of </w:t>
      </w:r>
      <w:r w:rsidR="00FE760D" w:rsidRPr="00402AEC">
        <w:rPr>
          <w:rFonts w:eastAsia="Times New Roman"/>
          <w:lang w:val="en-GB"/>
        </w:rPr>
        <w:t>finite resource</w:t>
      </w:r>
      <w:r w:rsidR="002E30FA" w:rsidRPr="00402AEC">
        <w:rPr>
          <w:rFonts w:eastAsia="Times New Roman"/>
          <w:lang w:val="en-GB"/>
        </w:rPr>
        <w:t>s</w:t>
      </w:r>
      <w:r w:rsidR="00847218" w:rsidRPr="00402AEC">
        <w:rPr>
          <w:rFonts w:eastAsia="Times New Roman"/>
          <w:lang w:val="en-GB"/>
        </w:rPr>
        <w:t xml:space="preserve"> consumption</w:t>
      </w:r>
      <w:r w:rsidR="002E30FA" w:rsidRPr="00402AEC">
        <w:rPr>
          <w:rFonts w:eastAsia="Times New Roman"/>
          <w:lang w:val="en-GB"/>
        </w:rPr>
        <w:t>,</w:t>
      </w:r>
      <w:r w:rsidR="00847218" w:rsidRPr="00402AEC">
        <w:rPr>
          <w:rFonts w:eastAsia="Times New Roman"/>
          <w:lang w:val="en-GB"/>
        </w:rPr>
        <w:t xml:space="preserve"> </w:t>
      </w:r>
      <w:r w:rsidR="002E30FA" w:rsidRPr="00402AEC">
        <w:rPr>
          <w:rFonts w:eastAsia="Times New Roman"/>
          <w:lang w:val="en-GB"/>
        </w:rPr>
        <w:t>by focusing</w:t>
      </w:r>
      <w:r w:rsidR="00FE760D" w:rsidRPr="00402AEC">
        <w:rPr>
          <w:rFonts w:eastAsia="Times New Roman"/>
          <w:lang w:val="en-GB"/>
        </w:rPr>
        <w:t xml:space="preserve"> on intelligent design of materials, products and systems. </w:t>
      </w:r>
      <w:r w:rsidR="008B3622" w:rsidRPr="00402AEC">
        <w:rPr>
          <w:rFonts w:eastAsia="Times New Roman"/>
          <w:lang w:val="en-GB"/>
        </w:rPr>
        <w:t xml:space="preserve">Inspired by the </w:t>
      </w:r>
      <w:r w:rsidR="005E6051" w:rsidRPr="00402AEC">
        <w:rPr>
          <w:rFonts w:eastAsia="Times New Roman"/>
          <w:lang w:val="en-GB"/>
        </w:rPr>
        <w:t xml:space="preserve">concept of </w:t>
      </w:r>
      <w:r w:rsidR="008B3622" w:rsidRPr="00402AEC">
        <w:rPr>
          <w:rFonts w:eastAsia="Times New Roman"/>
          <w:lang w:val="en-GB"/>
        </w:rPr>
        <w:t>closed-loop economy</w:t>
      </w:r>
      <w:r w:rsidR="00B17F3E" w:rsidRPr="00402AEC">
        <w:rPr>
          <w:rFonts w:eastAsia="Times New Roman"/>
          <w:lang w:val="en-GB"/>
        </w:rPr>
        <w:t xml:space="preserve">, </w:t>
      </w:r>
      <w:r w:rsidR="00B74124" w:rsidRPr="00402AEC">
        <w:rPr>
          <w:rFonts w:eastAsia="Times New Roman"/>
          <w:lang w:val="en-GB"/>
        </w:rPr>
        <w:t xml:space="preserve">the </w:t>
      </w:r>
      <w:r w:rsidR="00B17F3E" w:rsidRPr="00402AEC">
        <w:rPr>
          <w:rFonts w:eastAsia="Times New Roman"/>
          <w:lang w:val="en-GB"/>
        </w:rPr>
        <w:t xml:space="preserve">CE </w:t>
      </w:r>
      <w:r w:rsidR="00B74124" w:rsidRPr="00402AEC">
        <w:rPr>
          <w:rFonts w:eastAsia="Times New Roman"/>
          <w:lang w:val="en-GB"/>
        </w:rPr>
        <w:t xml:space="preserve">paradigm </w:t>
      </w:r>
      <w:r w:rsidR="0052041C" w:rsidRPr="00402AEC">
        <w:rPr>
          <w:rFonts w:eastAsia="Times New Roman"/>
          <w:lang w:val="en-GB"/>
        </w:rPr>
        <w:t>was introduced</w:t>
      </w:r>
      <w:r w:rsidR="00B17F3E" w:rsidRPr="00402AEC">
        <w:rPr>
          <w:rFonts w:eastAsia="Times New Roman"/>
          <w:lang w:val="en-GB"/>
        </w:rPr>
        <w:t xml:space="preserve"> at the end of the ‘80s</w:t>
      </w:r>
      <w:r w:rsidR="00F25C7B" w:rsidRPr="00402AEC">
        <w:rPr>
          <w:rFonts w:eastAsia="Times New Roman"/>
          <w:lang w:val="en-GB"/>
        </w:rPr>
        <w:t xml:space="preserve"> </w:t>
      </w:r>
      <w:r w:rsidR="000B2D6F" w:rsidRPr="00252DF0">
        <w:rPr>
          <w:rFonts w:eastAsia="Times New Roman"/>
          <w:lang w:val="en-GB"/>
        </w:rPr>
        <w:fldChar w:fldCharType="begin" w:fldLock="1"/>
      </w:r>
      <w:r w:rsidR="003445CC">
        <w:rPr>
          <w:rFonts w:eastAsia="Times New Roman"/>
          <w:lang w:val="en-GB"/>
        </w:rPr>
        <w:instrText>ADDIN CSL_CITATION {"citationItems":[{"id":"ITEM-1","itemData":{"author":[{"dropping-particle":"","family":"Stahel","given":"Walter R.","non-dropping-particle":"","parse-names":false,"suffix":""},{"dropping-particle":"","family":"Reday-Mulvey","given":"Genevi eve","non-dropping-particle":"","parse-names":false,"suffix":""}],"edition":"1st","id":"ITEM-1","issued":{"date-parts":[["1981"]]},"publisher":"Vantage Press","publisher-place":"New York","title":"Jobs for tomorrow : the potential for substituting manpower for energy","type":"book"},"uris":["http://www.mendeley.com/documents/?uuid=0e5141fe-054f-3b3c-8509-05ba3e682a54","http://www.mendeley.com/documents/?uuid=cb41102e-67ec-4c87-92ee-261d8f2c14a6","http://www.mendeley.com/documents/?uuid=bec7358b-72b9-43a4-9569-299a1a846640"]},{"id":"ITEM-2","itemData":{"DOI":"10.1016/0308-521X(91)90051-B","author":[{"dropping-particle":"","family":"Pearce","given":"D.W.","non-dropping-particle":"","parse-names":false,"suffix":""},{"dropping-particle":"","family":"Turner","given":"R.K","non-dropping-particle":"","parse-names":false,"suffix":""}],"container-title":"Agricultural Systems","id":"ITEM-2","issue":"1","issued":{"date-parts":[["1991","1"]]},"page":"100-101","publisher":"Elsevier","title":"Economics of natural resources and the environment","type":"article-journal","volume":"37"},"uris":["http://www.mendeley.com/documents/?uuid=e3342c7b-d214-3139-85e9-55f926d00492","http://www.mendeley.com/documents/?uuid=ca3c8b3d-7c49-41f0-b6e7-2887540e5a52","http://www.mendeley.com/documents/?uuid=9cdf1c13-804a-4b0f-9b72-bc0e6e93f732"]}],"mendeley":{"formattedCitation":"(Pearce and Turner, 1991; Stahel and Reday-Mulvey, 1981)","plainTextFormattedCitation":"(Pearce and Turner, 1991; Stahel and Reday-Mulvey, 1981)","previouslyFormattedCitation":"(Pearce and Turner, 1991; Stahel and Reday-Mulvey, 1981)"},"properties":{"noteIndex":0},"schema":"https://github.com/citation-style-language/schema/raw/master/csl-citation.json"}</w:instrText>
      </w:r>
      <w:r w:rsidR="000B2D6F" w:rsidRPr="00252DF0">
        <w:rPr>
          <w:rFonts w:eastAsia="Times New Roman"/>
          <w:lang w:val="en-GB"/>
        </w:rPr>
        <w:fldChar w:fldCharType="separate"/>
      </w:r>
      <w:r w:rsidR="000B2D6F" w:rsidRPr="00402AEC">
        <w:rPr>
          <w:rFonts w:eastAsia="Times New Roman"/>
          <w:noProof/>
          <w:lang w:val="en-GB"/>
        </w:rPr>
        <w:t>(Pearce and Turner, 1991; Stahel and Reday-Mulvey, 1981)</w:t>
      </w:r>
      <w:r w:rsidR="000B2D6F" w:rsidRPr="00252DF0">
        <w:rPr>
          <w:rFonts w:eastAsia="Times New Roman"/>
          <w:lang w:val="en-GB"/>
        </w:rPr>
        <w:fldChar w:fldCharType="end"/>
      </w:r>
      <w:r w:rsidR="00847218" w:rsidRPr="00402AEC">
        <w:rPr>
          <w:rFonts w:eastAsia="Times New Roman"/>
          <w:lang w:val="en-GB"/>
        </w:rPr>
        <w:t xml:space="preserve"> </w:t>
      </w:r>
      <w:r w:rsidR="00847218" w:rsidRPr="00402AEC">
        <w:rPr>
          <w:lang w:val="en-GB"/>
        </w:rPr>
        <w:t>to minimise emissions, resource use, pollution and waste, and maximise the resource efficiency of material assets</w:t>
      </w:r>
      <w:r w:rsidR="00B17F3E" w:rsidRPr="00402AEC">
        <w:rPr>
          <w:rFonts w:eastAsia="Times New Roman"/>
          <w:lang w:val="en-GB"/>
        </w:rPr>
        <w:t>.</w:t>
      </w:r>
      <w:r w:rsidR="0052041C" w:rsidRPr="00402AEC">
        <w:rPr>
          <w:rFonts w:eastAsia="Times New Roman"/>
          <w:lang w:val="en-GB"/>
        </w:rPr>
        <w:t xml:space="preserve"> However, only in the last years its relevance was amplified worldwide</w:t>
      </w:r>
      <w:r w:rsidR="00F27E74" w:rsidRPr="00402AEC">
        <w:rPr>
          <w:rFonts w:eastAsia="Times New Roman"/>
          <w:lang w:val="en-GB"/>
        </w:rPr>
        <w:t>,</w:t>
      </w:r>
      <w:r w:rsidR="00BF7325" w:rsidRPr="00402AEC">
        <w:rPr>
          <w:rFonts w:eastAsia="Times New Roman"/>
          <w:lang w:val="en-GB"/>
        </w:rPr>
        <w:t xml:space="preserve"> </w:t>
      </w:r>
      <w:r w:rsidR="0052041C" w:rsidRPr="00402AEC">
        <w:rPr>
          <w:rFonts w:eastAsia="Times New Roman"/>
          <w:lang w:val="en-GB"/>
        </w:rPr>
        <w:t xml:space="preserve">by an increasing interest </w:t>
      </w:r>
      <w:r w:rsidR="00BF7325" w:rsidRPr="00402AEC">
        <w:rPr>
          <w:rFonts w:eastAsia="Times New Roman"/>
          <w:lang w:val="en-GB"/>
        </w:rPr>
        <w:t xml:space="preserve">of people </w:t>
      </w:r>
      <w:r w:rsidR="003771D7" w:rsidRPr="00402AEC">
        <w:rPr>
          <w:rFonts w:eastAsia="Times New Roman"/>
          <w:lang w:val="en-GB"/>
        </w:rPr>
        <w:t>in</w:t>
      </w:r>
      <w:r w:rsidR="0052041C" w:rsidRPr="00402AEC">
        <w:rPr>
          <w:rFonts w:eastAsia="Times New Roman"/>
          <w:lang w:val="en-GB"/>
        </w:rPr>
        <w:t xml:space="preserve"> environmental impact</w:t>
      </w:r>
      <w:r w:rsidR="003771D7" w:rsidRPr="00402AEC">
        <w:rPr>
          <w:rFonts w:eastAsia="Times New Roman"/>
          <w:lang w:val="en-GB"/>
        </w:rPr>
        <w:t>s</w:t>
      </w:r>
      <w:r w:rsidR="0052041C" w:rsidRPr="00402AEC">
        <w:rPr>
          <w:rFonts w:eastAsia="Times New Roman"/>
          <w:lang w:val="en-GB"/>
        </w:rPr>
        <w:t xml:space="preserve"> of products and processes and the sustainable use of </w:t>
      </w:r>
      <w:r w:rsidR="00673DB3" w:rsidRPr="00402AEC">
        <w:rPr>
          <w:rFonts w:eastAsia="Times New Roman"/>
          <w:lang w:val="en-GB"/>
        </w:rPr>
        <w:t xml:space="preserve">natural </w:t>
      </w:r>
      <w:r w:rsidR="0052041C" w:rsidRPr="00402AEC">
        <w:rPr>
          <w:rFonts w:eastAsia="Times New Roman"/>
          <w:lang w:val="en-GB"/>
        </w:rPr>
        <w:t xml:space="preserve">resources </w:t>
      </w:r>
      <w:r w:rsidR="0052041C" w:rsidRPr="009601F2">
        <w:rPr>
          <w:rFonts w:eastAsia="Times New Roman"/>
          <w:lang w:val="en-GB"/>
        </w:rPr>
        <w:fldChar w:fldCharType="begin" w:fldLock="1"/>
      </w:r>
      <w:r w:rsidR="003445CC">
        <w:rPr>
          <w:rFonts w:eastAsia="Times New Roman"/>
          <w:lang w:val="en-GB"/>
        </w:rPr>
        <w:instrText>ADDIN CSL_CITATION {"citationItems":[{"id":"ITEM-1","itemData":{"ISBN":"9789280732672","author":[{"dropping-particle":"","family":"Reuter","given":"Markus A.","non-dropping-particle":"","parse-names":false,"suffix":""},{"dropping-particle":"","family":"Hudson","given":"Christian","non-dropping-particle":"","parse-names":false,"suffix":""},{"dropping-particle":"","family":"Schaik","given":"Antoinette","non-dropping-particle":"van","parse-names":false,"suffix":""},{"dropping-particle":"","family":"Heiskanen","given":"Kari","non-dropping-particle":"","parse-names":false,"suffix":""},{"dropping-particle":"","family":"Meskers","given":"Christina","non-dropping-particle":"","parse-names":false,"suffix":""},{"dropping-particle":"","family":"Hagelüken","given":"Christian","non-dropping-particle":"","parse-names":false,"suffix":""}],"id":"ITEM-1","issued":{"date-parts":[["2013"]]},"number-of-pages":"320","publisher":"UNEP","title":"Metal Recycling: Opportunities, Limits, Infrastructure, A report of the Working Group on the Global Metal Flows to the International Resource Panel","type":"report"},"uris":["http://www.mendeley.com/documents/?uuid=c64e9636-29c6-4bbd-a95c-d81eb96b77cf","http://www.mendeley.com/documents/?uuid=5de78539-9143-4711-a147-135cc8d101d2"]}],"mendeley":{"formattedCitation":"(Reuter et al., 2013)","plainTextFormattedCitation":"(Reuter et al., 2013)","previouslyFormattedCitation":"(Reuter et al., 2013)"},"properties":{"noteIndex":0},"schema":"https://github.com/citation-style-language/schema/raw/master/csl-citation.json"}</w:instrText>
      </w:r>
      <w:r w:rsidR="0052041C" w:rsidRPr="009601F2">
        <w:rPr>
          <w:rFonts w:eastAsia="Times New Roman"/>
          <w:lang w:val="en-GB"/>
        </w:rPr>
        <w:fldChar w:fldCharType="separate"/>
      </w:r>
      <w:r w:rsidR="0052041C" w:rsidRPr="00402AEC">
        <w:rPr>
          <w:rFonts w:eastAsia="Times New Roman"/>
          <w:noProof/>
          <w:lang w:val="en-GB"/>
        </w:rPr>
        <w:t>(Reuter et al., 2013)</w:t>
      </w:r>
      <w:r w:rsidR="0052041C" w:rsidRPr="009601F2">
        <w:rPr>
          <w:rFonts w:eastAsia="Times New Roman"/>
          <w:lang w:val="en-GB"/>
        </w:rPr>
        <w:fldChar w:fldCharType="end"/>
      </w:r>
      <w:r w:rsidR="0052041C" w:rsidRPr="00402AEC">
        <w:rPr>
          <w:rFonts w:eastAsia="Times New Roman"/>
          <w:lang w:val="en-GB"/>
        </w:rPr>
        <w:t>.</w:t>
      </w:r>
      <w:r w:rsidR="0007195B" w:rsidRPr="00402AEC">
        <w:rPr>
          <w:rFonts w:eastAsia="Times New Roman"/>
          <w:lang w:val="en-GB"/>
        </w:rPr>
        <w:t xml:space="preserve"> </w:t>
      </w:r>
      <w:r w:rsidR="0009657D" w:rsidRPr="00402AEC">
        <w:rPr>
          <w:rFonts w:eastAsia="Times New Roman"/>
          <w:lang w:val="en-GB"/>
        </w:rPr>
        <w:t xml:space="preserve">Before the introduction of CE, a traditional linear </w:t>
      </w:r>
      <w:r w:rsidR="00F27E74" w:rsidRPr="00402AEC">
        <w:rPr>
          <w:rFonts w:eastAsia="Times New Roman"/>
          <w:lang w:val="en-GB"/>
        </w:rPr>
        <w:t>(</w:t>
      </w:r>
      <w:r w:rsidR="0009657D" w:rsidRPr="00402AEC">
        <w:rPr>
          <w:rFonts w:eastAsia="Times New Roman"/>
          <w:lang w:val="en-GB"/>
        </w:rPr>
        <w:t>open-ended</w:t>
      </w:r>
      <w:r w:rsidR="00F27E74" w:rsidRPr="00402AEC">
        <w:rPr>
          <w:rFonts w:eastAsia="Times New Roman"/>
          <w:lang w:val="en-GB"/>
        </w:rPr>
        <w:t>)</w:t>
      </w:r>
      <w:r w:rsidR="0009657D" w:rsidRPr="00402AEC">
        <w:rPr>
          <w:rFonts w:eastAsia="Times New Roman"/>
          <w:lang w:val="en-GB"/>
        </w:rPr>
        <w:t xml:space="preserve"> economy was </w:t>
      </w:r>
      <w:r w:rsidR="00910435" w:rsidRPr="00402AEC">
        <w:rPr>
          <w:rFonts w:eastAsia="Times New Roman"/>
          <w:lang w:val="en-GB"/>
        </w:rPr>
        <w:t>the only existing paradigm</w:t>
      </w:r>
      <w:r w:rsidR="00DF19E1" w:rsidRPr="00402AEC">
        <w:rPr>
          <w:rFonts w:eastAsia="Times New Roman"/>
          <w:lang w:val="en-GB"/>
        </w:rPr>
        <w:t>,</w:t>
      </w:r>
      <w:r w:rsidR="00363930" w:rsidRPr="00402AEC">
        <w:rPr>
          <w:rFonts w:eastAsia="Times New Roman"/>
          <w:lang w:val="en-GB"/>
        </w:rPr>
        <w:t xml:space="preserve"> </w:t>
      </w:r>
      <w:r w:rsidR="0009657D" w:rsidRPr="00402AEC">
        <w:rPr>
          <w:rFonts w:eastAsia="Times New Roman"/>
          <w:lang w:val="en-GB"/>
        </w:rPr>
        <w:t xml:space="preserve">treating the environment as a waste reservoir </w:t>
      </w:r>
      <w:r w:rsidR="0009657D" w:rsidRPr="009601F2">
        <w:rPr>
          <w:rFonts w:eastAsia="Times New Roman"/>
          <w:lang w:val="en-GB"/>
        </w:rPr>
        <w:fldChar w:fldCharType="begin" w:fldLock="1"/>
      </w:r>
      <w:r w:rsidR="003445CC">
        <w:rPr>
          <w:rFonts w:eastAsia="Times New Roman"/>
          <w:lang w:val="en-GB"/>
        </w:rPr>
        <w:instrText>ADDIN CSL_CITATION {"citationItems":[{"id":"ITEM-1","itemData":{"DOI":"10.1016/j.jclepro.2012.11.020","ISBN":"9789189301795","ISSN":"09596526","abstract":"Circular economy (CE) is a sustainable development strategy proposed by the central government of China, aiming to improve the efficiency of materials and energy use. This strategy, formally accepted in 2002, has been implemented and developed in a number of pilot areas in China. Scholars have produced rich studies in regard with the CE from its fundamental concept to its practical implementation. Successful enforcement of a CE can be seen as a way for China to tackle its urgent problem of environmental degradation and source scarcity. Given its importance, we provide a holistic literature review on the CE, aiming to provide a panorama of how this strategy has been developed and implemented. The review covers the concept, current practices, and assessment of the CE. To have a more numeric concept of how it has developed, we look at the performance of the CE in Dalian after its implementation of relevant policies and compare the changes with three other pilot cities, Beijing, Shanghai and Tianjin. Based on an examination of the statistical results, we identified the underlying problems and challenges for this national strategy. Finally, we offer a conclusion regarding CE's development as well as policy recommendations for future improvement. © 2012 Elsevier Ltd. All rights reserved.","author":[{"dropping-particle":"","family":"Su","given":"Biwei","non-dropping-particle":"","parse-names":false,"suffix":""},{"dropping-particle":"","family":"Heshmati","given":"Almas","non-dropping-particle":"","parse-names":false,"suffix":""},{"dropping-particle":"","family":"Geng","given":"Yong","non-dropping-particle":"","parse-names":false,"suffix":""},{"dropping-particle":"","family":"Yu","given":"Xiaoman","non-dropping-particle":"","parse-names":false,"suffix":""}],"container-title":"Journal of Cleaner Production","id":"ITEM-1","issued":{"date-parts":[["2013"]]},"page":"215-227","publisher":"Elsevier Ltd","title":"A review of the circular economy in China: Moving from rhetoric to implementation","type":"article-journal","volume":"42"},"uris":["http://www.mendeley.com/documents/?uuid=c56b5b3e-b865-44de-91d2-d02dc22ca517"]}],"mendeley":{"formattedCitation":"(Su et al., 2013)","plainTextFormattedCitation":"(Su et al., 2013)","previouslyFormattedCitation":"(Su et al., 2013)"},"properties":{"noteIndex":0},"schema":"https://github.com/citation-style-language/schema/raw/master/csl-citation.json"}</w:instrText>
      </w:r>
      <w:r w:rsidR="0009657D" w:rsidRPr="009601F2">
        <w:rPr>
          <w:rFonts w:eastAsia="Times New Roman"/>
          <w:lang w:val="en-GB"/>
        </w:rPr>
        <w:fldChar w:fldCharType="separate"/>
      </w:r>
      <w:r w:rsidR="0009657D" w:rsidRPr="00402AEC">
        <w:rPr>
          <w:rFonts w:eastAsia="Times New Roman"/>
          <w:noProof/>
          <w:lang w:val="en-GB"/>
        </w:rPr>
        <w:t>(Su et al., 2013)</w:t>
      </w:r>
      <w:r w:rsidR="0009657D" w:rsidRPr="009601F2">
        <w:rPr>
          <w:rFonts w:eastAsia="Times New Roman"/>
          <w:lang w:val="en-GB"/>
        </w:rPr>
        <w:fldChar w:fldCharType="end"/>
      </w:r>
      <w:r w:rsidR="0009657D" w:rsidRPr="00402AEC">
        <w:rPr>
          <w:rFonts w:eastAsia="Times New Roman"/>
          <w:lang w:val="en-GB"/>
        </w:rPr>
        <w:t xml:space="preserve">. </w:t>
      </w:r>
      <w:r w:rsidR="00BD7CE2" w:rsidRPr="00402AEC">
        <w:rPr>
          <w:rFonts w:eastAsia="Times New Roman"/>
          <w:lang w:val="en-GB"/>
        </w:rPr>
        <w:t>P</w:t>
      </w:r>
      <w:r w:rsidR="0009657D" w:rsidRPr="00402AEC">
        <w:rPr>
          <w:rFonts w:eastAsia="Times New Roman"/>
          <w:lang w:val="en-GB"/>
        </w:rPr>
        <w:t>roduct</w:t>
      </w:r>
      <w:r w:rsidR="00D67468" w:rsidRPr="00402AEC">
        <w:rPr>
          <w:rFonts w:eastAsia="Times New Roman"/>
          <w:lang w:val="en-GB"/>
        </w:rPr>
        <w:t>s</w:t>
      </w:r>
      <w:r w:rsidR="0009657D" w:rsidRPr="00402AEC">
        <w:rPr>
          <w:rFonts w:eastAsia="Times New Roman"/>
          <w:lang w:val="en-GB"/>
        </w:rPr>
        <w:t xml:space="preserve"> </w:t>
      </w:r>
      <w:r w:rsidR="000A71E7" w:rsidRPr="00402AEC">
        <w:rPr>
          <w:rFonts w:eastAsia="Times New Roman"/>
          <w:lang w:val="en-GB"/>
        </w:rPr>
        <w:t>followed</w:t>
      </w:r>
      <w:r w:rsidR="0009657D" w:rsidRPr="00402AEC">
        <w:rPr>
          <w:rFonts w:eastAsia="Times New Roman"/>
          <w:lang w:val="en-GB"/>
        </w:rPr>
        <w:t xml:space="preserve"> a linear lifecyc</w:t>
      </w:r>
      <w:r w:rsidR="00EC618F" w:rsidRPr="00402AEC">
        <w:rPr>
          <w:rFonts w:eastAsia="Times New Roman"/>
          <w:lang w:val="en-GB"/>
        </w:rPr>
        <w:t>le</w:t>
      </w:r>
      <w:r w:rsidR="0009657D" w:rsidRPr="00402AEC">
        <w:rPr>
          <w:rFonts w:eastAsia="Times New Roman"/>
          <w:lang w:val="en-GB"/>
        </w:rPr>
        <w:t xml:space="preserve"> </w:t>
      </w:r>
      <w:r w:rsidR="00BD7CE2" w:rsidRPr="00402AEC">
        <w:rPr>
          <w:rFonts w:eastAsia="Times New Roman"/>
          <w:lang w:val="en-GB"/>
        </w:rPr>
        <w:t xml:space="preserve">that, </w:t>
      </w:r>
      <w:r w:rsidR="0009657D" w:rsidRPr="00402AEC">
        <w:rPr>
          <w:rFonts w:eastAsia="Times New Roman"/>
          <w:lang w:val="en-GB"/>
        </w:rPr>
        <w:t xml:space="preserve">starting from conceptualization and design, </w:t>
      </w:r>
      <w:r w:rsidR="00096BC3" w:rsidRPr="00402AEC">
        <w:rPr>
          <w:rFonts w:eastAsia="Times New Roman"/>
          <w:lang w:val="en-GB"/>
        </w:rPr>
        <w:t>went</w:t>
      </w:r>
      <w:r w:rsidR="0009657D" w:rsidRPr="00402AEC">
        <w:rPr>
          <w:rFonts w:eastAsia="Times New Roman"/>
          <w:lang w:val="en-GB"/>
        </w:rPr>
        <w:t xml:space="preserve"> through development, in-service </w:t>
      </w:r>
      <w:r w:rsidR="00EC618F" w:rsidRPr="00402AEC">
        <w:rPr>
          <w:rFonts w:eastAsia="Times New Roman"/>
          <w:lang w:val="en-GB"/>
        </w:rPr>
        <w:t>and finish</w:t>
      </w:r>
      <w:r w:rsidR="00ED5155">
        <w:rPr>
          <w:rFonts w:eastAsia="Times New Roman"/>
          <w:lang w:val="en-GB"/>
        </w:rPr>
        <w:t>ed</w:t>
      </w:r>
      <w:r w:rsidR="0009657D" w:rsidRPr="00402AEC">
        <w:rPr>
          <w:rFonts w:eastAsia="Times New Roman"/>
          <w:lang w:val="en-GB"/>
        </w:rPr>
        <w:t xml:space="preserve"> </w:t>
      </w:r>
      <w:r w:rsidR="00096BC3" w:rsidRPr="00402AEC">
        <w:rPr>
          <w:rFonts w:eastAsia="Times New Roman"/>
          <w:lang w:val="en-GB"/>
        </w:rPr>
        <w:t>wit</w:t>
      </w:r>
      <w:r w:rsidR="000A71E7" w:rsidRPr="00402AEC">
        <w:rPr>
          <w:rFonts w:eastAsia="Times New Roman"/>
          <w:lang w:val="en-GB"/>
        </w:rPr>
        <w:t>h</w:t>
      </w:r>
      <w:r w:rsidR="0009657D" w:rsidRPr="00402AEC">
        <w:rPr>
          <w:rFonts w:eastAsia="Times New Roman"/>
          <w:lang w:val="en-GB"/>
        </w:rPr>
        <w:t xml:space="preserve"> disposal. </w:t>
      </w:r>
      <w:r w:rsidR="00E82FB8" w:rsidRPr="00402AEC">
        <w:rPr>
          <w:rFonts w:eastAsia="Times New Roman"/>
          <w:lang w:val="en-GB"/>
        </w:rPr>
        <w:t>Progressively, th</w:t>
      </w:r>
      <w:r w:rsidR="00096918" w:rsidRPr="00402AEC">
        <w:rPr>
          <w:rFonts w:eastAsia="Times New Roman"/>
          <w:lang w:val="en-GB"/>
        </w:rPr>
        <w:t>ese old production and consumption patterns</w:t>
      </w:r>
      <w:r w:rsidR="00E82FB8" w:rsidRPr="00402AEC">
        <w:rPr>
          <w:rFonts w:eastAsia="Times New Roman"/>
          <w:lang w:val="en-GB"/>
        </w:rPr>
        <w:t xml:space="preserve"> </w:t>
      </w:r>
      <w:r w:rsidR="00431986" w:rsidRPr="00402AEC">
        <w:rPr>
          <w:rFonts w:eastAsia="Times New Roman"/>
          <w:lang w:val="en-GB"/>
        </w:rPr>
        <w:t>have been</w:t>
      </w:r>
      <w:r w:rsidR="00096918" w:rsidRPr="00402AEC">
        <w:rPr>
          <w:rFonts w:eastAsia="Times New Roman"/>
          <w:lang w:val="en-GB"/>
        </w:rPr>
        <w:t xml:space="preserve"> substituted by closed-loop ones – </w:t>
      </w:r>
      <w:r w:rsidR="00F13725" w:rsidRPr="00402AEC">
        <w:rPr>
          <w:rFonts w:eastAsia="Times New Roman"/>
          <w:lang w:val="en-GB"/>
        </w:rPr>
        <w:t xml:space="preserve">completely </w:t>
      </w:r>
      <w:r w:rsidR="00096918" w:rsidRPr="00402AEC">
        <w:rPr>
          <w:rFonts w:eastAsia="Times New Roman"/>
          <w:lang w:val="en-GB"/>
        </w:rPr>
        <w:t>focused on resource efficiency and waste</w:t>
      </w:r>
      <w:r w:rsidR="00F13725" w:rsidRPr="00402AEC">
        <w:rPr>
          <w:rFonts w:eastAsia="Times New Roman"/>
          <w:lang w:val="en-GB"/>
        </w:rPr>
        <w:t xml:space="preserve"> reduction</w:t>
      </w:r>
      <w:r w:rsidR="00096918" w:rsidRPr="00402AEC">
        <w:rPr>
          <w:rFonts w:eastAsia="Times New Roman"/>
          <w:lang w:val="en-GB"/>
        </w:rPr>
        <w:t xml:space="preserve"> – able to better balance and harmonize economy, environment and societ</w:t>
      </w:r>
      <w:r w:rsidR="00431986" w:rsidRPr="00402AEC">
        <w:rPr>
          <w:rFonts w:eastAsia="Times New Roman"/>
          <w:lang w:val="en-GB"/>
        </w:rPr>
        <w:t>al</w:t>
      </w:r>
      <w:r w:rsidR="00096918" w:rsidRPr="00402AEC">
        <w:rPr>
          <w:rFonts w:eastAsia="Times New Roman"/>
          <w:lang w:val="en-GB"/>
        </w:rPr>
        <w:t xml:space="preserve"> needs.</w:t>
      </w:r>
      <w:r w:rsidR="006A30B9" w:rsidRPr="00402AEC">
        <w:rPr>
          <w:rFonts w:eastAsia="Times New Roman"/>
          <w:lang w:val="en-GB"/>
        </w:rPr>
        <w:t xml:space="preserve"> </w:t>
      </w:r>
      <w:r w:rsidR="00C507D7" w:rsidRPr="00402AEC">
        <w:rPr>
          <w:rFonts w:eastAsia="Times New Roman"/>
          <w:lang w:val="en-GB"/>
        </w:rPr>
        <w:t>However, this paradigm shift is not immune from</w:t>
      </w:r>
      <w:r w:rsidR="00FB5F4A" w:rsidRPr="00402AEC">
        <w:rPr>
          <w:rFonts w:eastAsia="Times New Roman"/>
          <w:lang w:val="en-GB"/>
        </w:rPr>
        <w:t xml:space="preserve"> </w:t>
      </w:r>
      <w:r w:rsidR="009A1D2B" w:rsidRPr="00402AEC">
        <w:rPr>
          <w:rFonts w:eastAsia="Times New Roman"/>
          <w:lang w:val="en-GB"/>
        </w:rPr>
        <w:t xml:space="preserve">criticalities </w:t>
      </w:r>
      <w:r w:rsidR="009A1D2B" w:rsidRPr="009601F2">
        <w:rPr>
          <w:rFonts w:eastAsia="Times New Roman"/>
          <w:lang w:val="en-GB"/>
        </w:rPr>
        <w:fldChar w:fldCharType="begin" w:fldLock="1"/>
      </w:r>
      <w:r w:rsidR="00BF2F60">
        <w:rPr>
          <w:rFonts w:eastAsia="Times New Roman"/>
          <w:lang w:val="en-GB"/>
        </w:rPr>
        <w:instrText>ADDIN CSL_CITATION {"citationItems":[{"id":"ITEM-1","itemData":{"DOI":"10.1007/s10551-015-2693-2","ISBN":"0167-4544\\r1573-0697","ISSN":"15730697","abstract":"There have long been calls from industry for guidance in implementing strategies for sustainable development. The Circular Economy represents the most recent attempt to conceptualize the integration of economic activity and environmental wellbeing in a sustainable way. This set of ideas has been adopted by China as the basis of their economic development (included in both the 11th and the 12th 'Five Year Plan'), escalating the concept in minds of western policymakers and NGOs. This paper traces the conceptualisations and origins of the Circular Economy, tracing its meanings, and exploring its antecedents in economics and ecology, and discusses how the Circular Economy has been operationalized in business and policy. The paper finds that while the Circular Economy places emphasis on the redesign of processes and cycling of materials, which may contribute to more sustainable business models, it also encapsulates tensions and limitations. These include an absence of the social dimension inherent in sustainable development that limits its ethical dimensions, and some unintended consequences. This leads us to propose a revised definition of the Circular Economy as 'an economic model wherein planning, resourcing, procurement, production and reprocessing are designed and managed, as both process and output, to maximize ecosystem functioning and human well-being'.","author":[{"dropping-particle":"","family":"Murray","given":"Alan","non-dropping-particle":"","parse-names":false,"suffix":""},{"dropping-particle":"","family":"Skene","given":"Keith","non-dropping-particle":"","parse-names":false,"suffix":""},{"dropping-particle":"","family":"Haynes","given":"Kathryn","non-dropping-particle":"","parse-names":false,"suffix":""}],"container-title":"Journal of Business Ethics","id":"ITEM-1","issued":{"date-parts":[["2017"]]},"page":"369-380","publisher":"Springer Netherlands","title":"The Circular Economy: An Interdisciplinary Exploration of the Concept and Application in a Global Context","type":"article-journal","volume":"140"},"uris":["http://www.mendeley.com/documents/?uuid=93119e3e-2213-49ee-8c5b-2c2d10c448b3","http://www.mendeley.com/documents/?uuid=d7ad4f33-50fe-455a-a080-c9f3a0727143"]}],"mendeley":{"formattedCitation":"(Murray et al., 2017)","plainTextFormattedCitation":"(Murray et al., 2017)","previouslyFormattedCitation":"(Murray et al., 2017)"},"properties":{"noteIndex":0},"schema":"https://github.com/citation-style-language/schema/raw/master/csl-citation.json"}</w:instrText>
      </w:r>
      <w:r w:rsidR="009A1D2B" w:rsidRPr="009601F2">
        <w:rPr>
          <w:rFonts w:eastAsia="Times New Roman"/>
          <w:lang w:val="en-GB"/>
        </w:rPr>
        <w:fldChar w:fldCharType="separate"/>
      </w:r>
      <w:r w:rsidR="009A1D2B" w:rsidRPr="00402AEC">
        <w:rPr>
          <w:rFonts w:eastAsia="Times New Roman"/>
          <w:noProof/>
          <w:lang w:val="en-GB"/>
        </w:rPr>
        <w:t>(Murray et al., 2017)</w:t>
      </w:r>
      <w:r w:rsidR="009A1D2B" w:rsidRPr="009601F2">
        <w:rPr>
          <w:rFonts w:eastAsia="Times New Roman"/>
          <w:lang w:val="en-GB"/>
        </w:rPr>
        <w:fldChar w:fldCharType="end"/>
      </w:r>
      <w:r w:rsidR="009A1D2B" w:rsidRPr="00402AEC">
        <w:rPr>
          <w:rFonts w:eastAsia="Times New Roman"/>
          <w:lang w:val="en-GB"/>
        </w:rPr>
        <w:t>.</w:t>
      </w:r>
      <w:r w:rsidR="00375A95" w:rsidRPr="00402AEC">
        <w:rPr>
          <w:rFonts w:eastAsia="Times New Roman"/>
          <w:lang w:val="en-GB"/>
        </w:rPr>
        <w:t xml:space="preserve"> CE is an active research area evolved primarily as research on waste generation, resource use and environmental impact</w:t>
      </w:r>
      <w:r w:rsidR="00DD0AD4" w:rsidRPr="00402AEC">
        <w:rPr>
          <w:rFonts w:eastAsia="Times New Roman"/>
          <w:lang w:val="en-GB"/>
        </w:rPr>
        <w:t>,</w:t>
      </w:r>
      <w:r w:rsidR="00375A95" w:rsidRPr="00402AEC">
        <w:rPr>
          <w:rFonts w:eastAsia="Times New Roman"/>
          <w:lang w:val="en-GB"/>
        </w:rPr>
        <w:t xml:space="preserve"> while neglecting business and economic perspectives</w:t>
      </w:r>
      <w:r w:rsidR="004F020E" w:rsidRPr="00402AEC">
        <w:rPr>
          <w:rFonts w:eastAsia="Times New Roman"/>
          <w:lang w:val="en-GB"/>
        </w:rPr>
        <w:t>.</w:t>
      </w:r>
      <w:r w:rsidR="00375A95" w:rsidRPr="00402AEC">
        <w:rPr>
          <w:rFonts w:eastAsia="Times New Roman"/>
          <w:lang w:val="en-GB"/>
        </w:rPr>
        <w:t xml:space="preserve"> </w:t>
      </w:r>
      <w:r w:rsidR="004F020E" w:rsidRPr="00402AEC">
        <w:rPr>
          <w:rFonts w:eastAsia="Times New Roman"/>
          <w:lang w:val="en-GB"/>
        </w:rPr>
        <w:t>T</w:t>
      </w:r>
      <w:r w:rsidR="00375A95" w:rsidRPr="00402AEC">
        <w:rPr>
          <w:rFonts w:eastAsia="Times New Roman"/>
          <w:lang w:val="en-GB"/>
        </w:rPr>
        <w:t xml:space="preserve">his </w:t>
      </w:r>
      <w:r w:rsidR="009646CC" w:rsidRPr="00402AEC">
        <w:rPr>
          <w:rFonts w:eastAsia="Times New Roman"/>
          <w:lang w:val="en-GB"/>
        </w:rPr>
        <w:t>way,</w:t>
      </w:r>
      <w:r w:rsidR="00375A95" w:rsidRPr="00402AEC">
        <w:rPr>
          <w:rFonts w:eastAsia="Times New Roman"/>
          <w:lang w:val="en-GB"/>
        </w:rPr>
        <w:t xml:space="preserve"> </w:t>
      </w:r>
      <w:r w:rsidR="009646CC" w:rsidRPr="00402AEC">
        <w:rPr>
          <w:rFonts w:eastAsia="Times New Roman"/>
          <w:lang w:val="en-GB"/>
        </w:rPr>
        <w:t xml:space="preserve">its implementation at industrial level </w:t>
      </w:r>
      <w:r w:rsidR="008619EB" w:rsidRPr="00402AEC">
        <w:rPr>
          <w:rFonts w:eastAsia="Times New Roman"/>
          <w:lang w:val="en-GB"/>
        </w:rPr>
        <w:t xml:space="preserve">has been </w:t>
      </w:r>
      <w:r w:rsidR="00375A95" w:rsidRPr="00402AEC">
        <w:rPr>
          <w:rFonts w:eastAsia="Times New Roman"/>
          <w:lang w:val="en-GB"/>
        </w:rPr>
        <w:t>inhibit</w:t>
      </w:r>
      <w:r w:rsidR="008619EB" w:rsidRPr="00402AEC">
        <w:rPr>
          <w:rFonts w:eastAsia="Times New Roman"/>
          <w:lang w:val="en-GB"/>
        </w:rPr>
        <w:t xml:space="preserve">ed, </w:t>
      </w:r>
      <w:r w:rsidR="00375A95" w:rsidRPr="00402AEC">
        <w:rPr>
          <w:rFonts w:eastAsia="Times New Roman"/>
          <w:lang w:val="en-GB"/>
        </w:rPr>
        <w:t>since advantages for industr</w:t>
      </w:r>
      <w:r w:rsidR="008619EB" w:rsidRPr="00402AEC">
        <w:rPr>
          <w:rFonts w:eastAsia="Times New Roman"/>
          <w:lang w:val="en-GB"/>
        </w:rPr>
        <w:t>ies</w:t>
      </w:r>
      <w:r w:rsidR="00375A95" w:rsidRPr="00402AEC">
        <w:rPr>
          <w:rFonts w:eastAsia="Times New Roman"/>
          <w:lang w:val="en-GB"/>
        </w:rPr>
        <w:t xml:space="preserve"> are still not explicit </w:t>
      </w:r>
      <w:r w:rsidR="00375A95" w:rsidRPr="009601F2">
        <w:rPr>
          <w:rFonts w:eastAsia="Times New Roman"/>
          <w:lang w:val="en-GB"/>
        </w:rPr>
        <w:fldChar w:fldCharType="begin" w:fldLock="1"/>
      </w:r>
      <w:r w:rsidR="00BF2F60">
        <w:rPr>
          <w:rFonts w:eastAsia="Times New Roman"/>
          <w:lang w:val="en-GB"/>
        </w:rPr>
        <w:instrText>ADDIN CSL_CITATION {"citationItems":[{"id":"ITEM-1","itemData":{"DOI":"10.1016/j.jclepro.2015.12.042","ISBN":"0959-6526","ISSN":"09596526","PMID":"97066607","abstract":"The concept of circular economy (CE) is to an increasing extent treated as a solution to series of challenges such as waste generation, resource scarcity and sustaining economic benefits. However the concept of circularity is not of novel as such. Specific circumstances and motivations have stimulated ideas relevant to circularity in the past through activities such as reuse, remanufacturing or recycling. Main objectives of this work are: to provide a comprehensive review of research efforts encompassing aspects of resources scarcity, waste generation and economic advantages; to explore the CE landscape in the context of these three aspects especially when they are considered simultaneously; based on an idea of a comprehensive CE framework, propose an implementation strategy using top-down and bottom-up approach in a concurrent manner. To fulfill this objective a comprehensive review of state-of-the-art research is carried out to understand different ideas relevant to CE, motivation for the research and context of their recurrence. Main contributions of this paper are a comprehensive CE framework and a practical implementation strategy for a regenerative economy and natural environment. The framework emphasizes on a combined view of three main aspects i.e. environment, resources and economic benefits. It also underlines that joint support of all stakeholders is necessary in order to successfully implement the CE concept at large scale. The proposed framework and implementation strategy also identify new avenues for future research and practice in the field of CE.","author":[{"dropping-particle":"","family":"Lieder","given":"Michael","non-dropping-particle":"","parse-names":false,"suffix":""},{"dropping-particle":"","family":"Rashid","given":"Amir","non-dropping-particle":"","parse-names":false,"suffix":""}],"container-title":"Journal of Cleaner Production","id":"ITEM-1","issued":{"date-parts":[["2016"]]},"page":"36-51","publisher":"Elsevier Ltd","title":"Towards circular economy implementation: A comprehensive review in context of manufacturing industry","type":"article-journal","volume":"115"},"uris":["http://www.mendeley.com/documents/?uuid=4d892736-8434-4bb7-8023-0fb4ff50373a","http://www.mendeley.com/documents/?uuid=0c1ec7c4-a725-42b7-99ec-ca7a28357033"]}],"mendeley":{"formattedCitation":"(Lieder and Rashid, 2016)","plainTextFormattedCitation":"(Lieder and Rashid, 2016)","previouslyFormattedCitation":"(Lieder and Rashid, 2016)"},"properties":{"noteIndex":0},"schema":"https://github.com/citation-style-language/schema/raw/master/csl-citation.json"}</w:instrText>
      </w:r>
      <w:r w:rsidR="00375A95" w:rsidRPr="009601F2">
        <w:rPr>
          <w:rFonts w:eastAsia="Times New Roman"/>
          <w:lang w:val="en-GB"/>
        </w:rPr>
        <w:fldChar w:fldCharType="separate"/>
      </w:r>
      <w:r w:rsidR="00375A95" w:rsidRPr="00402AEC">
        <w:rPr>
          <w:rFonts w:eastAsia="Times New Roman"/>
          <w:noProof/>
          <w:lang w:val="en-GB"/>
        </w:rPr>
        <w:t>(Lieder and Rashid, 2016)</w:t>
      </w:r>
      <w:r w:rsidR="00375A95" w:rsidRPr="009601F2">
        <w:rPr>
          <w:rFonts w:eastAsia="Times New Roman"/>
          <w:lang w:val="en-GB"/>
        </w:rPr>
        <w:fldChar w:fldCharType="end"/>
      </w:r>
      <w:r w:rsidR="00375A95" w:rsidRPr="00402AEC">
        <w:rPr>
          <w:rFonts w:eastAsia="Times New Roman"/>
          <w:lang w:val="en-GB"/>
        </w:rPr>
        <w:t>.</w:t>
      </w:r>
      <w:r w:rsidR="009A1D2B" w:rsidRPr="00402AEC">
        <w:rPr>
          <w:rFonts w:eastAsia="Times New Roman"/>
          <w:lang w:val="en-GB"/>
        </w:rPr>
        <w:t xml:space="preserve"> </w:t>
      </w:r>
      <w:r w:rsidR="003E4320">
        <w:rPr>
          <w:rFonts w:eastAsia="Times New Roman"/>
          <w:lang w:val="en-GB"/>
        </w:rPr>
        <w:t>To this aim, a</w:t>
      </w:r>
      <w:r w:rsidR="0043327A" w:rsidRPr="00402AEC">
        <w:rPr>
          <w:rFonts w:eastAsia="Times New Roman"/>
          <w:lang w:val="en-GB"/>
        </w:rPr>
        <w:t xml:space="preserve"> real transition </w:t>
      </w:r>
      <w:r w:rsidR="0009657D" w:rsidRPr="00402AEC">
        <w:rPr>
          <w:rFonts w:eastAsia="Times New Roman"/>
          <w:lang w:val="en-GB"/>
        </w:rPr>
        <w:t xml:space="preserve">towards CE requires </w:t>
      </w:r>
      <w:r w:rsidR="000B0434" w:rsidRPr="00402AEC">
        <w:rPr>
          <w:rFonts w:eastAsia="Times New Roman"/>
          <w:lang w:val="en-GB"/>
        </w:rPr>
        <w:t>relevant</w:t>
      </w:r>
      <w:r w:rsidR="00BE280C" w:rsidRPr="00402AEC">
        <w:rPr>
          <w:rFonts w:eastAsia="Times New Roman"/>
          <w:lang w:val="en-GB"/>
        </w:rPr>
        <w:t xml:space="preserve"> </w:t>
      </w:r>
      <w:r w:rsidR="0009657D" w:rsidRPr="00402AEC">
        <w:rPr>
          <w:rFonts w:eastAsia="Times New Roman"/>
          <w:lang w:val="en-GB"/>
        </w:rPr>
        <w:t>changes</w:t>
      </w:r>
      <w:r w:rsidR="00BE280C" w:rsidRPr="00402AEC">
        <w:rPr>
          <w:rFonts w:eastAsia="Times New Roman"/>
          <w:lang w:val="en-GB"/>
        </w:rPr>
        <w:t xml:space="preserve"> along</w:t>
      </w:r>
      <w:r w:rsidR="0009657D" w:rsidRPr="00402AEC">
        <w:rPr>
          <w:rFonts w:eastAsia="Times New Roman"/>
          <w:lang w:val="en-GB"/>
        </w:rPr>
        <w:t xml:space="preserve"> the value chain, also in the </w:t>
      </w:r>
      <w:r w:rsidR="000B0434" w:rsidRPr="00402AEC">
        <w:rPr>
          <w:rFonts w:eastAsia="Times New Roman"/>
          <w:lang w:val="en-GB"/>
        </w:rPr>
        <w:t xml:space="preserve">terms of adopted market </w:t>
      </w:r>
      <w:r w:rsidR="00D22BE6" w:rsidRPr="00402AEC">
        <w:rPr>
          <w:rFonts w:eastAsia="Times New Roman"/>
          <w:lang w:val="en-GB"/>
        </w:rPr>
        <w:t>strateg</w:t>
      </w:r>
      <w:r w:rsidR="00D22BE6">
        <w:rPr>
          <w:rFonts w:eastAsia="Times New Roman"/>
          <w:lang w:val="en-GB"/>
        </w:rPr>
        <w:t>ies</w:t>
      </w:r>
      <w:r w:rsidR="00D22BE6" w:rsidRPr="00402AEC">
        <w:rPr>
          <w:rFonts w:eastAsia="Times New Roman"/>
          <w:lang w:val="en-GB"/>
        </w:rPr>
        <w:t xml:space="preserve"> </w:t>
      </w:r>
      <w:r w:rsidR="000B0434" w:rsidRPr="00402AEC">
        <w:rPr>
          <w:rFonts w:eastAsia="Times New Roman"/>
          <w:lang w:val="en-GB"/>
        </w:rPr>
        <w:t xml:space="preserve">and </w:t>
      </w:r>
      <w:r w:rsidR="0009657D" w:rsidRPr="00402AEC">
        <w:rPr>
          <w:rFonts w:eastAsia="Times New Roman"/>
          <w:lang w:val="en-GB"/>
        </w:rPr>
        <w:t>BM</w:t>
      </w:r>
      <w:r w:rsidR="000B0434" w:rsidRPr="00402AEC">
        <w:rPr>
          <w:rFonts w:eastAsia="Times New Roman"/>
          <w:lang w:val="en-GB"/>
        </w:rPr>
        <w:t>s</w:t>
      </w:r>
      <w:r w:rsidR="0009657D" w:rsidRPr="00402AEC">
        <w:rPr>
          <w:rFonts w:eastAsia="Times New Roman"/>
          <w:lang w:val="en-GB"/>
        </w:rPr>
        <w:t>.</w:t>
      </w:r>
    </w:p>
    <w:p w14:paraId="408BA3F1" w14:textId="130E6B8A" w:rsidR="0009657D" w:rsidRPr="00402AEC" w:rsidRDefault="0009657D" w:rsidP="00026D10">
      <w:pPr>
        <w:spacing w:after="160" w:line="360" w:lineRule="auto"/>
        <w:rPr>
          <w:rFonts w:eastAsia="Times New Roman"/>
          <w:i/>
          <w:lang w:val="en-GB"/>
        </w:rPr>
      </w:pPr>
      <w:r w:rsidRPr="00402AEC">
        <w:rPr>
          <w:rFonts w:eastAsia="Times New Roman"/>
          <w:i/>
          <w:lang w:val="en-GB"/>
        </w:rPr>
        <w:t>2.2 Circular Business Models</w:t>
      </w:r>
    </w:p>
    <w:p w14:paraId="00E5A772" w14:textId="70A69A02" w:rsidR="00435C57" w:rsidRPr="00402AEC" w:rsidRDefault="0009657D" w:rsidP="00216241">
      <w:pPr>
        <w:spacing w:after="240" w:line="360" w:lineRule="auto"/>
        <w:jc w:val="both"/>
        <w:rPr>
          <w:rFonts w:eastAsia="Times New Roman"/>
          <w:lang w:val="en-GB"/>
        </w:rPr>
      </w:pPr>
      <w:r w:rsidRPr="00402AEC">
        <w:rPr>
          <w:rFonts w:eastAsia="Times New Roman"/>
          <w:lang w:val="en-GB"/>
        </w:rPr>
        <w:t>BM</w:t>
      </w:r>
      <w:r w:rsidR="00984E26" w:rsidRPr="00402AEC">
        <w:rPr>
          <w:rFonts w:eastAsia="Times New Roman"/>
          <w:lang w:val="en-GB"/>
        </w:rPr>
        <w:t>s</w:t>
      </w:r>
      <w:r w:rsidRPr="00402AEC">
        <w:rPr>
          <w:rFonts w:eastAsia="Times New Roman"/>
          <w:lang w:val="en-GB"/>
        </w:rPr>
        <w:t xml:space="preserve"> describe the rationale of how an organization creates, delivers, and captures value </w:t>
      </w:r>
      <w:r w:rsidRPr="00252DF0">
        <w:rPr>
          <w:rFonts w:eastAsia="Times New Roman"/>
          <w:lang w:val="en-GB"/>
        </w:rPr>
        <w:fldChar w:fldCharType="begin" w:fldLock="1"/>
      </w:r>
      <w:r w:rsidR="00BF2F60">
        <w:rPr>
          <w:rFonts w:eastAsia="Times New Roman"/>
          <w:lang w:val="en-GB"/>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sterwalder","given":"Alexander","non-dropping-particle":"","parse-names":false,"suffix":""},{"dropping-particle":"","family":"Pigneur","given":"Yves","non-dropping-particle":"","parse-names":false,"suffix":""}],"id":"ITEM-1","issue":"9","issued":{"date-parts":[["2010"]]},"number-of-pages":"288","publisher":"John Wiley &amp; Sons, Inc.","publisher-place":"Hoboken, New Jersey, USA","title":"Business Model Generation","type":"book","volume":"53"},"uris":["http://www.mendeley.com/documents/?uuid=7f327a01-bfb0-439d-80a7-b94ce1fd37d5","http://www.mendeley.com/documents/?uuid=37f35225-65c8-47f9-a956-8ef3e6e94bf0"]}],"mendeley":{"formattedCitation":"(Osterwalder and Pigneur, 2010)","plainTextFormattedCitation":"(Osterwalder and Pigneur, 2010)","previouslyFormattedCitation":"(Osterwalder and Pigneur, 2010)"},"properties":{"noteIndex":0},"schema":"https://github.com/citation-style-language/schema/raw/master/csl-citation.json"}</w:instrText>
      </w:r>
      <w:r w:rsidRPr="00252DF0">
        <w:rPr>
          <w:rFonts w:eastAsia="Times New Roman"/>
          <w:lang w:val="en-GB"/>
        </w:rPr>
        <w:fldChar w:fldCharType="separate"/>
      </w:r>
      <w:r w:rsidRPr="00402AEC">
        <w:rPr>
          <w:rFonts w:eastAsia="Times New Roman"/>
          <w:noProof/>
          <w:lang w:val="en-GB"/>
        </w:rPr>
        <w:t>(Osterwalder and Pigneur, 2010)</w:t>
      </w:r>
      <w:r w:rsidRPr="00252DF0">
        <w:rPr>
          <w:rFonts w:eastAsia="Times New Roman"/>
          <w:lang w:val="en-GB"/>
        </w:rPr>
        <w:fldChar w:fldCharType="end"/>
      </w:r>
      <w:r w:rsidRPr="00402AEC">
        <w:rPr>
          <w:rFonts w:eastAsia="Times New Roman"/>
          <w:lang w:val="en-GB"/>
        </w:rPr>
        <w:t xml:space="preserve">. </w:t>
      </w:r>
      <w:r w:rsidR="007D1B7A" w:rsidRPr="00402AEC">
        <w:rPr>
          <w:rFonts w:eastAsia="Times New Roman"/>
          <w:lang w:val="en-GB"/>
        </w:rPr>
        <w:t xml:space="preserve">The </w:t>
      </w:r>
      <w:r w:rsidRPr="00402AEC">
        <w:rPr>
          <w:rFonts w:eastAsia="Times New Roman"/>
          <w:lang w:val="en-GB"/>
        </w:rPr>
        <w:t xml:space="preserve">literature studied along the time their role as a mean </w:t>
      </w:r>
      <w:r w:rsidR="00245322">
        <w:rPr>
          <w:rFonts w:eastAsia="Times New Roman"/>
          <w:lang w:val="en-GB"/>
        </w:rPr>
        <w:t xml:space="preserve">for </w:t>
      </w:r>
      <w:r w:rsidR="005340CF" w:rsidRPr="00402AEC">
        <w:rPr>
          <w:rFonts w:eastAsia="Times New Roman"/>
          <w:lang w:val="en-GB"/>
        </w:rPr>
        <w:t>driv</w:t>
      </w:r>
      <w:r w:rsidR="00245322">
        <w:rPr>
          <w:rFonts w:eastAsia="Times New Roman"/>
          <w:lang w:val="en-GB"/>
        </w:rPr>
        <w:t>ing</w:t>
      </w:r>
      <w:r w:rsidR="005340CF" w:rsidRPr="00402AEC">
        <w:rPr>
          <w:rFonts w:eastAsia="Times New Roman"/>
          <w:lang w:val="en-GB"/>
        </w:rPr>
        <w:t xml:space="preserve"> competitiveness and </w:t>
      </w:r>
      <w:r w:rsidRPr="00402AEC">
        <w:rPr>
          <w:rFonts w:eastAsia="Times New Roman"/>
          <w:lang w:val="en-GB"/>
        </w:rPr>
        <w:t xml:space="preserve">set up </w:t>
      </w:r>
      <w:r w:rsidR="0044447A" w:rsidRPr="00402AEC">
        <w:rPr>
          <w:rFonts w:eastAsia="Times New Roman"/>
          <w:lang w:val="en-GB"/>
        </w:rPr>
        <w:t xml:space="preserve">a </w:t>
      </w:r>
      <w:r w:rsidRPr="00402AEC">
        <w:rPr>
          <w:rFonts w:eastAsia="Times New Roman"/>
          <w:lang w:val="en-GB"/>
        </w:rPr>
        <w:t>compan</w:t>
      </w:r>
      <w:r w:rsidR="0044447A" w:rsidRPr="00402AEC">
        <w:rPr>
          <w:rFonts w:eastAsia="Times New Roman"/>
          <w:lang w:val="en-GB"/>
        </w:rPr>
        <w:t>y</w:t>
      </w:r>
      <w:r w:rsidRPr="00402AEC">
        <w:rPr>
          <w:rFonts w:eastAsia="Times New Roman"/>
          <w:lang w:val="en-GB"/>
        </w:rPr>
        <w:t>’</w:t>
      </w:r>
      <w:r w:rsidR="0044447A" w:rsidRPr="00402AEC">
        <w:rPr>
          <w:rFonts w:eastAsia="Times New Roman"/>
          <w:lang w:val="en-GB"/>
        </w:rPr>
        <w:t>s</w:t>
      </w:r>
      <w:r w:rsidRPr="00402AEC">
        <w:rPr>
          <w:rFonts w:eastAsia="Times New Roman"/>
          <w:lang w:val="en-GB"/>
        </w:rPr>
        <w:t xml:space="preserve"> </w:t>
      </w:r>
      <w:r w:rsidR="0044447A" w:rsidRPr="00402AEC">
        <w:rPr>
          <w:rFonts w:eastAsia="Times New Roman"/>
          <w:lang w:val="en-GB"/>
        </w:rPr>
        <w:t xml:space="preserve">market </w:t>
      </w:r>
      <w:r w:rsidRPr="00402AEC">
        <w:rPr>
          <w:rFonts w:eastAsia="Times New Roman"/>
          <w:lang w:val="en-GB"/>
        </w:rPr>
        <w:t xml:space="preserve">strategy </w:t>
      </w:r>
      <w:r w:rsidRPr="009601F2">
        <w:rPr>
          <w:rFonts w:eastAsia="Times New Roman"/>
          <w:lang w:val="en-GB"/>
        </w:rPr>
        <w:fldChar w:fldCharType="begin" w:fldLock="1"/>
      </w:r>
      <w:r w:rsidR="003027D4">
        <w:rPr>
          <w:rFonts w:eastAsia="Times New Roman"/>
          <w:lang w:val="en-GB"/>
        </w:rPr>
        <w:instrText>ADDIN CSL_CITATION {"citationItems":[{"id":"ITEM-1","itemData":{"DOI":"10.1108/JSM-01-2015-0040","ISSN":"0887-6045","author":[{"dropping-particle":"V.","family":"Wünderlich","given":"Nancy","non-dropping-particle":"","parse-names":false,"suffix":""},{"dropping-particle":"","family":"Heinonen","given":"Kristina","non-dropping-particle":"","parse-names":false,"suffix":""},{"dropping-particle":"","family":"Ostrom","given":"Amy L.","non-dropping-particle":"","parse-names":false,"suffix":""},{"dropping-particle":"","family":"Patricio","given":"Lia","non-dropping-particle":"","parse-names":false,"suffix":""},{"dropping-particle":"","family":"Sousa","given":"Rui","non-dropping-particle":"","parse-names":false,"suffix":""},{"dropping-particle":"","family":"Voss","given":"Chris","non-dropping-particle":"","parse-names":false,"suffix":""},{"dropping-particle":"","family":"Lemmink","given":"Jos G.A.M.","non-dropping-particle":"","parse-names":false,"suffix":""}],"container-title":"Journal of Services Marketing","id":"ITEM-1","issue":"6/7","issued":{"date-parts":[["2015"]]},"page":"442-447","publisher":"Emerald","title":"\"Futurizing\" smart service: implications for service researchers and managers","type":"article-journal","volume":"29"},"uris":["http://www.mendeley.com/documents/?uuid=efbf85eb-6a2a-3f33-9c7a-566bf2e2f911","http://www.mendeley.com/documents/?uuid=ed1acbf6-b2c4-47bf-bc41-63f05490c805","http://www.mendeley.com/documents/?uuid=28074782-3154-4353-9823-29a66f59ab4f"]}],"mendeley":{"formattedCitation":"(Wünderlich et al., 2015)","plainTextFormattedCitation":"(Wünderlich et al., 2015)","previouslyFormattedCitation":"(Wünderlich et al., 2015)"},"properties":{"noteIndex":0},"schema":"https://github.com/citation-style-language/schema/raw/master/csl-citation.json"}</w:instrText>
      </w:r>
      <w:r w:rsidRPr="009601F2">
        <w:rPr>
          <w:rFonts w:eastAsia="Times New Roman"/>
          <w:lang w:val="en-GB"/>
        </w:rPr>
        <w:fldChar w:fldCharType="separate"/>
      </w:r>
      <w:r w:rsidR="003445CC" w:rsidRPr="003445CC">
        <w:rPr>
          <w:rFonts w:eastAsia="Times New Roman"/>
          <w:noProof/>
          <w:lang w:val="en-GB"/>
        </w:rPr>
        <w:t>(Wünderlich et al., 2015)</w:t>
      </w:r>
      <w:r w:rsidRPr="009601F2">
        <w:rPr>
          <w:rFonts w:eastAsia="Times New Roman"/>
          <w:lang w:val="en-GB"/>
        </w:rPr>
        <w:fldChar w:fldCharType="end"/>
      </w:r>
      <w:r w:rsidR="005340CF" w:rsidRPr="00402AEC">
        <w:rPr>
          <w:rFonts w:eastAsia="Times New Roman"/>
          <w:lang w:val="en-GB"/>
        </w:rPr>
        <w:t>.</w:t>
      </w:r>
      <w:r w:rsidR="00377C01" w:rsidRPr="00402AEC">
        <w:rPr>
          <w:rFonts w:eastAsia="Times New Roman"/>
          <w:lang w:val="en-GB"/>
        </w:rPr>
        <w:t xml:space="preserve"> </w:t>
      </w:r>
      <w:r w:rsidR="005F7A26" w:rsidRPr="00402AEC">
        <w:rPr>
          <w:rFonts w:eastAsia="Times New Roman"/>
          <w:lang w:val="en-GB"/>
        </w:rPr>
        <w:t xml:space="preserve">CBMs are a </w:t>
      </w:r>
      <w:r w:rsidR="0012627D" w:rsidRPr="00402AEC">
        <w:rPr>
          <w:rFonts w:eastAsia="Times New Roman"/>
          <w:lang w:val="en-GB"/>
        </w:rPr>
        <w:t xml:space="preserve">new </w:t>
      </w:r>
      <w:r w:rsidR="005F7A26" w:rsidRPr="00402AEC">
        <w:rPr>
          <w:rFonts w:eastAsia="Times New Roman"/>
          <w:lang w:val="en-GB"/>
        </w:rPr>
        <w:t>kind of BMs</w:t>
      </w:r>
      <w:r w:rsidR="002A6ED6" w:rsidRPr="00402AEC">
        <w:rPr>
          <w:rFonts w:eastAsia="Times New Roman"/>
          <w:lang w:val="en-GB"/>
        </w:rPr>
        <w:t>, where</w:t>
      </w:r>
      <w:r w:rsidR="005F7A26" w:rsidRPr="00402AEC">
        <w:rPr>
          <w:rFonts w:eastAsia="Times New Roman"/>
          <w:lang w:val="en-GB"/>
        </w:rPr>
        <w:t xml:space="preserve"> </w:t>
      </w:r>
      <w:r w:rsidR="002A6ED6" w:rsidRPr="00402AEC">
        <w:rPr>
          <w:lang w:val="en-GB"/>
        </w:rPr>
        <w:t xml:space="preserve">the value creation is grounded on </w:t>
      </w:r>
      <w:r w:rsidR="00FD259C" w:rsidRPr="00402AEC">
        <w:rPr>
          <w:lang w:val="en-GB"/>
        </w:rPr>
        <w:t xml:space="preserve">keeping the </w:t>
      </w:r>
      <w:r w:rsidR="002A6ED6" w:rsidRPr="00402AEC">
        <w:rPr>
          <w:lang w:val="en-GB"/>
        </w:rPr>
        <w:t xml:space="preserve">economic value </w:t>
      </w:r>
      <w:r w:rsidR="00FD259C" w:rsidRPr="00402AEC">
        <w:rPr>
          <w:lang w:val="en-GB"/>
        </w:rPr>
        <w:t>embedded</w:t>
      </w:r>
      <w:r w:rsidR="002A6ED6" w:rsidRPr="00402AEC">
        <w:rPr>
          <w:lang w:val="en-GB"/>
        </w:rPr>
        <w:t xml:space="preserve"> in</w:t>
      </w:r>
      <w:r w:rsidR="00FD259C" w:rsidRPr="00402AEC">
        <w:rPr>
          <w:lang w:val="en-GB"/>
        </w:rPr>
        <w:t>to</w:t>
      </w:r>
      <w:r w:rsidR="002A6ED6" w:rsidRPr="00402AEC">
        <w:rPr>
          <w:lang w:val="en-GB"/>
        </w:rPr>
        <w:t xml:space="preserve"> products after </w:t>
      </w:r>
      <w:r w:rsidR="00491851" w:rsidRPr="00402AEC">
        <w:rPr>
          <w:lang w:val="en-GB"/>
        </w:rPr>
        <w:t xml:space="preserve">their </w:t>
      </w:r>
      <w:r w:rsidR="002A6ED6" w:rsidRPr="00402AEC">
        <w:rPr>
          <w:lang w:val="en-GB"/>
        </w:rPr>
        <w:t xml:space="preserve">use </w:t>
      </w:r>
      <w:r w:rsidR="00491851" w:rsidRPr="00402AEC">
        <w:rPr>
          <w:lang w:val="en-GB"/>
        </w:rPr>
        <w:t xml:space="preserve">and exploit it </w:t>
      </w:r>
      <w:r w:rsidR="00892109" w:rsidRPr="00402AEC">
        <w:rPr>
          <w:lang w:val="en-GB"/>
        </w:rPr>
        <w:t>for</w:t>
      </w:r>
      <w:r w:rsidR="002A6ED6" w:rsidRPr="00402AEC">
        <w:rPr>
          <w:lang w:val="en-GB"/>
        </w:rPr>
        <w:t xml:space="preserve"> new </w:t>
      </w:r>
      <w:r w:rsidR="00892109" w:rsidRPr="00402AEC">
        <w:rPr>
          <w:lang w:val="en-GB"/>
        </w:rPr>
        <w:t xml:space="preserve">types of market </w:t>
      </w:r>
      <w:r w:rsidR="002A6ED6" w:rsidRPr="00402AEC">
        <w:rPr>
          <w:lang w:val="en-GB"/>
        </w:rPr>
        <w:t>offerings</w:t>
      </w:r>
      <w:r w:rsidR="009B36D0" w:rsidRPr="00402AEC">
        <w:rPr>
          <w:lang w:val="en-GB"/>
        </w:rPr>
        <w:t>.</w:t>
      </w:r>
      <w:r w:rsidR="00257232" w:rsidRPr="00402AEC">
        <w:rPr>
          <w:rFonts w:eastAsia="Times New Roman"/>
          <w:lang w:val="en-GB"/>
        </w:rPr>
        <w:t xml:space="preserve"> </w:t>
      </w:r>
      <w:r w:rsidR="009B36D0" w:rsidRPr="00402AEC">
        <w:rPr>
          <w:lang w:val="en-GB"/>
        </w:rPr>
        <w:t xml:space="preserve">This </w:t>
      </w:r>
      <w:r w:rsidR="00B36928">
        <w:rPr>
          <w:lang w:val="en-GB"/>
        </w:rPr>
        <w:t xml:space="preserve">action </w:t>
      </w:r>
      <w:r w:rsidR="009B36D0" w:rsidRPr="00402AEC">
        <w:rPr>
          <w:lang w:val="en-GB"/>
        </w:rPr>
        <w:t xml:space="preserve">requires </w:t>
      </w:r>
      <w:r w:rsidR="004F2065">
        <w:rPr>
          <w:lang w:val="en-GB"/>
        </w:rPr>
        <w:t xml:space="preserve">a set of </w:t>
      </w:r>
      <w:r w:rsidR="009B36D0" w:rsidRPr="00402AEC">
        <w:rPr>
          <w:lang w:val="en-GB"/>
        </w:rPr>
        <w:t>return flow</w:t>
      </w:r>
      <w:r w:rsidR="004F2065">
        <w:rPr>
          <w:lang w:val="en-GB"/>
        </w:rPr>
        <w:t>s</w:t>
      </w:r>
      <w:r w:rsidR="009B36D0" w:rsidRPr="00402AEC">
        <w:rPr>
          <w:lang w:val="en-GB"/>
        </w:rPr>
        <w:t xml:space="preserve"> </w:t>
      </w:r>
      <w:r w:rsidR="004F2065">
        <w:rPr>
          <w:lang w:val="en-GB"/>
        </w:rPr>
        <w:t>(</w:t>
      </w:r>
      <w:r w:rsidR="009B36D0" w:rsidRPr="00402AEC">
        <w:rPr>
          <w:lang w:val="en-GB"/>
        </w:rPr>
        <w:t xml:space="preserve">from </w:t>
      </w:r>
      <w:r w:rsidR="004F2065">
        <w:rPr>
          <w:lang w:val="en-GB"/>
        </w:rPr>
        <w:t xml:space="preserve">end </w:t>
      </w:r>
      <w:r w:rsidR="009B36D0" w:rsidRPr="00402AEC">
        <w:rPr>
          <w:lang w:val="en-GB"/>
        </w:rPr>
        <w:t>users</w:t>
      </w:r>
      <w:r w:rsidR="004F2065">
        <w:rPr>
          <w:lang w:val="en-GB"/>
        </w:rPr>
        <w:t xml:space="preserve"> to producers)</w:t>
      </w:r>
      <w:r w:rsidR="009B36D0" w:rsidRPr="00402AEC">
        <w:rPr>
          <w:lang w:val="en-GB"/>
        </w:rPr>
        <w:t>, eventually through intermediaries</w:t>
      </w:r>
      <w:r w:rsidR="009B36D0" w:rsidRPr="00402AEC">
        <w:rPr>
          <w:rFonts w:eastAsia="Times New Roman"/>
          <w:lang w:val="en-GB"/>
        </w:rPr>
        <w:t xml:space="preserve"> </w:t>
      </w:r>
      <w:r w:rsidR="00257232" w:rsidRPr="009601F2">
        <w:rPr>
          <w:lang w:val="en-GB"/>
        </w:rPr>
        <w:fldChar w:fldCharType="begin" w:fldLock="1"/>
      </w:r>
      <w:r w:rsidR="00BF2F60">
        <w:rPr>
          <w:lang w:val="en-GB"/>
        </w:rPr>
        <w:instrText>ADDIN CSL_CITATION {"citationItems":[{"id":"ITEM-1","itemData":{"DOI":"10.1002/bse.1906","ISBN":"1099-0836","ISSN":"10990836","abstract":"Circular business models based on remanufacturing and reuse promise significant cost savings as well as radical reductions in environmental impact. Variants of such business models have been suggested for decades, and there are notable success stories such as the Xerox product–service offering based on photocopiers that are remanufactured. Still, we are not seeing widespread adoption in industry. This paper examines causes for reluctance. Drawing on a hypothesis-testing framework of business model innovation, we show that circular business models imply significant challenges to proactive uncertainty reduction for the entrepreneur. Moreover, we show that many product–service system variants that facilitate return flow control in circular business models further aggravate the potential negative effects of failed uncertainty reduction because of increased capital commitments. Through a longitudinal action research study we also provide a counterexample to many of the challenges identified in previous studies, which could be overcome in the studied case. Copyright © 2015 John Wiley &amp; Sons, Ltd and ERP Environment","author":[{"dropping-particle":"","family":"Linder","given":"Marcus","non-dropping-particle":"","parse-names":false,"suffix":""},{"dropping-particle":"","family":"Williander","given":"Mats","non-dropping-particle":"","parse-names":false,"suffix":""}],"container-title":"Business Strategy and the Environment","id":"ITEM-1","issue":"2","issued":{"date-parts":[["2017"]]},"page":"182-196","title":"Circular Business Model Innovation: Inherent Uncertainties","type":"article-journal","volume":"26"},"uris":["http://www.mendeley.com/documents/?uuid=bdb7f87c-693a-4e41-94b6-7eaa593e7503","http://www.mendeley.com/documents/?uuid=9e6365fc-df0d-4d3b-b01d-b2d940eb9e5f"]}],"mendeley":{"formattedCitation":"(Linder and Williander, 2017)","plainTextFormattedCitation":"(Linder and Williander, 2017)","previouslyFormattedCitation":"(Linder and Williander, 2017)"},"properties":{"noteIndex":0},"schema":"https://github.com/citation-style-language/schema/raw/master/csl-citation.json"}</w:instrText>
      </w:r>
      <w:r w:rsidR="00257232" w:rsidRPr="009601F2">
        <w:rPr>
          <w:lang w:val="en-GB"/>
        </w:rPr>
        <w:fldChar w:fldCharType="separate"/>
      </w:r>
      <w:r w:rsidR="00257232" w:rsidRPr="00402AEC">
        <w:rPr>
          <w:noProof/>
          <w:lang w:val="en-GB"/>
        </w:rPr>
        <w:t>(Linder and Williander, 2017)</w:t>
      </w:r>
      <w:r w:rsidR="00257232" w:rsidRPr="009601F2">
        <w:rPr>
          <w:lang w:val="en-GB"/>
        </w:rPr>
        <w:fldChar w:fldCharType="end"/>
      </w:r>
      <w:r w:rsidR="00257232" w:rsidRPr="00402AEC">
        <w:rPr>
          <w:lang w:val="en-GB"/>
        </w:rPr>
        <w:t>.</w:t>
      </w:r>
      <w:r w:rsidR="00EB6FA6" w:rsidRPr="00402AEC">
        <w:rPr>
          <w:lang w:val="en-GB"/>
        </w:rPr>
        <w:t xml:space="preserve"> The economic value of a product can be maintained through a series of </w:t>
      </w:r>
      <w:r w:rsidR="005C7512" w:rsidRPr="00402AEC">
        <w:rPr>
          <w:lang w:val="en-GB"/>
        </w:rPr>
        <w:t xml:space="preserve">activities, like: </w:t>
      </w:r>
      <w:r w:rsidR="00833D47" w:rsidRPr="00402AEC">
        <w:rPr>
          <w:rFonts w:eastAsia="Times New Roman"/>
          <w:lang w:val="en-GB"/>
        </w:rPr>
        <w:t xml:space="preserve">i) </w:t>
      </w:r>
      <w:r w:rsidR="005C7512" w:rsidRPr="00402AEC">
        <w:rPr>
          <w:rFonts w:eastAsia="Times New Roman"/>
          <w:lang w:val="en-GB"/>
        </w:rPr>
        <w:t>lowering the</w:t>
      </w:r>
      <w:r w:rsidR="00833D47" w:rsidRPr="00402AEC">
        <w:rPr>
          <w:rFonts w:eastAsia="Times New Roman"/>
          <w:lang w:val="en-GB"/>
        </w:rPr>
        <w:t xml:space="preserve"> dependenc</w:t>
      </w:r>
      <w:r w:rsidR="005C7512" w:rsidRPr="00402AEC">
        <w:rPr>
          <w:rFonts w:eastAsia="Times New Roman"/>
          <w:lang w:val="en-GB"/>
        </w:rPr>
        <w:t>e</w:t>
      </w:r>
      <w:r w:rsidR="00833D47" w:rsidRPr="00402AEC">
        <w:rPr>
          <w:rFonts w:eastAsia="Times New Roman"/>
          <w:lang w:val="en-GB"/>
        </w:rPr>
        <w:t xml:space="preserve"> from virgin materials, </w:t>
      </w:r>
      <w:r w:rsidR="000F15FB" w:rsidRPr="00402AEC">
        <w:rPr>
          <w:rFonts w:eastAsia="Times New Roman"/>
          <w:lang w:val="en-GB"/>
        </w:rPr>
        <w:t xml:space="preserve">ii) shifting from non-renewable to renewable </w:t>
      </w:r>
      <w:r w:rsidR="00311C4C" w:rsidRPr="00402AEC">
        <w:rPr>
          <w:rFonts w:eastAsia="Times New Roman"/>
          <w:lang w:val="en-GB"/>
        </w:rPr>
        <w:t>energy systems</w:t>
      </w:r>
      <w:r w:rsidR="000F15FB" w:rsidRPr="00402AEC">
        <w:rPr>
          <w:rFonts w:eastAsia="Times New Roman"/>
          <w:lang w:val="en-GB"/>
        </w:rPr>
        <w:t xml:space="preserve">, </w:t>
      </w:r>
      <w:r w:rsidR="002A15C8" w:rsidRPr="00402AEC">
        <w:rPr>
          <w:rFonts w:eastAsia="Times New Roman"/>
          <w:lang w:val="en-GB"/>
        </w:rPr>
        <w:t xml:space="preserve">iii) </w:t>
      </w:r>
      <w:r w:rsidR="00311C4C" w:rsidRPr="00402AEC">
        <w:rPr>
          <w:rFonts w:eastAsia="Times New Roman"/>
          <w:lang w:val="en-GB"/>
        </w:rPr>
        <w:t>adopting</w:t>
      </w:r>
      <w:r w:rsidR="002A15C8" w:rsidRPr="00402AEC">
        <w:rPr>
          <w:rFonts w:eastAsia="Times New Roman"/>
          <w:lang w:val="en-GB"/>
        </w:rPr>
        <w:t xml:space="preserve"> </w:t>
      </w:r>
      <w:r w:rsidR="00311C4C" w:rsidRPr="00402AEC">
        <w:rPr>
          <w:rFonts w:eastAsia="Times New Roman"/>
          <w:lang w:val="en-GB"/>
        </w:rPr>
        <w:t>more</w:t>
      </w:r>
      <w:r w:rsidR="002A15C8" w:rsidRPr="00402AEC">
        <w:rPr>
          <w:rFonts w:eastAsia="Times New Roman"/>
          <w:lang w:val="en-GB"/>
        </w:rPr>
        <w:t xml:space="preserve"> sustainable production practices and iv) </w:t>
      </w:r>
      <w:r w:rsidR="006D4236" w:rsidRPr="00402AEC">
        <w:rPr>
          <w:rFonts w:eastAsia="Times New Roman"/>
          <w:lang w:val="en-GB"/>
        </w:rPr>
        <w:t>greening</w:t>
      </w:r>
      <w:r w:rsidR="002A15C8" w:rsidRPr="00402AEC">
        <w:rPr>
          <w:rFonts w:eastAsia="Times New Roman"/>
          <w:lang w:val="en-GB"/>
        </w:rPr>
        <w:t xml:space="preserve"> </w:t>
      </w:r>
      <w:r w:rsidR="006D4236" w:rsidRPr="00402AEC">
        <w:rPr>
          <w:rFonts w:eastAsia="Times New Roman"/>
          <w:lang w:val="en-GB"/>
        </w:rPr>
        <w:t xml:space="preserve">the entire </w:t>
      </w:r>
      <w:r w:rsidR="002A15C8" w:rsidRPr="00402AEC">
        <w:rPr>
          <w:rFonts w:eastAsia="Times New Roman"/>
          <w:lang w:val="en-GB"/>
        </w:rPr>
        <w:t>value chain.</w:t>
      </w:r>
      <w:r w:rsidR="001B6333" w:rsidRPr="00402AEC">
        <w:rPr>
          <w:rFonts w:eastAsia="Times New Roman"/>
          <w:lang w:val="en-GB"/>
        </w:rPr>
        <w:t xml:space="preserve"> </w:t>
      </w:r>
      <w:r w:rsidRPr="00402AEC">
        <w:rPr>
          <w:rFonts w:eastAsia="Times New Roman"/>
          <w:lang w:val="en-GB"/>
        </w:rPr>
        <w:t xml:space="preserve">Depending on the </w:t>
      </w:r>
      <w:r w:rsidR="00AD003C">
        <w:rPr>
          <w:rFonts w:eastAsia="Times New Roman"/>
          <w:lang w:val="en-GB"/>
        </w:rPr>
        <w:t>reference</w:t>
      </w:r>
      <w:r w:rsidRPr="00402AEC">
        <w:rPr>
          <w:rFonts w:eastAsia="Times New Roman"/>
          <w:lang w:val="en-GB"/>
        </w:rPr>
        <w:t xml:space="preserve"> literature, CBMs (</w:t>
      </w:r>
      <w:r w:rsidR="00AD003C">
        <w:rPr>
          <w:rFonts w:eastAsia="Times New Roman"/>
          <w:lang w:val="en-GB"/>
        </w:rPr>
        <w:t>also named</w:t>
      </w:r>
      <w:r w:rsidRPr="00402AEC">
        <w:rPr>
          <w:rFonts w:eastAsia="Times New Roman"/>
          <w:lang w:val="en-GB"/>
        </w:rPr>
        <w:t xml:space="preserve"> Circular Economy Business Models – </w:t>
      </w:r>
      <w:r w:rsidRPr="00402AEC">
        <w:rPr>
          <w:rFonts w:eastAsia="Times New Roman"/>
          <w:lang w:val="en-GB"/>
        </w:rPr>
        <w:lastRenderedPageBreak/>
        <w:t xml:space="preserve">CEBMs) </w:t>
      </w:r>
      <w:r w:rsidR="004A764C" w:rsidRPr="00402AEC">
        <w:rPr>
          <w:rFonts w:eastAsia="Times New Roman"/>
          <w:lang w:val="en-GB"/>
        </w:rPr>
        <w:t>can be grouped under the wider umbrella of either Green Business Models (GBMs) and/or Sustainable Business Models (SBMs).</w:t>
      </w:r>
      <w:r w:rsidR="00801C7B" w:rsidRPr="00402AEC">
        <w:rPr>
          <w:rFonts w:eastAsia="Times New Roman"/>
          <w:lang w:val="en-GB"/>
        </w:rPr>
        <w:t xml:space="preserve"> Among the several types of CBMs available in literature,</w:t>
      </w:r>
      <w:r w:rsidR="00182951">
        <w:rPr>
          <w:rFonts w:eastAsia="Times New Roman"/>
          <w:lang w:val="en-GB"/>
        </w:rPr>
        <w:t xml:space="preserve"> </w:t>
      </w:r>
      <w:r w:rsidR="00E2641B" w:rsidRPr="00402AEC">
        <w:rPr>
          <w:rFonts w:eastAsia="Times New Roman"/>
          <w:lang w:val="en-GB"/>
        </w:rPr>
        <w:t>Product-Service System (PSS)-based CBMs</w:t>
      </w:r>
      <w:r w:rsidR="00182951">
        <w:rPr>
          <w:rFonts w:eastAsia="Times New Roman"/>
          <w:lang w:val="en-GB"/>
        </w:rPr>
        <w:t xml:space="preserve"> are</w:t>
      </w:r>
      <w:r w:rsidR="00FA37A1" w:rsidRPr="00402AEC">
        <w:rPr>
          <w:rFonts w:eastAsia="Times New Roman"/>
          <w:lang w:val="en-GB"/>
        </w:rPr>
        <w:t xml:space="preserve"> considered by several authors as </w:t>
      </w:r>
      <w:r w:rsidR="003B61BB" w:rsidRPr="00402AEC">
        <w:rPr>
          <w:rFonts w:eastAsia="Times New Roman"/>
          <w:lang w:val="en-GB"/>
        </w:rPr>
        <w:t>one of the most simple innovation strategy</w:t>
      </w:r>
      <w:r w:rsidR="00FA37A1" w:rsidRPr="00402AEC">
        <w:rPr>
          <w:rFonts w:eastAsia="Times New Roman"/>
          <w:lang w:val="en-GB"/>
        </w:rPr>
        <w:t xml:space="preserve"> </w:t>
      </w:r>
      <w:r w:rsidR="00B94501" w:rsidRPr="00402AEC">
        <w:rPr>
          <w:rFonts w:eastAsia="Times New Roman"/>
          <w:lang w:val="en-GB"/>
        </w:rPr>
        <w:t xml:space="preserve">towards CE </w:t>
      </w:r>
      <w:r w:rsidR="000B2D6F" w:rsidRPr="009601F2">
        <w:rPr>
          <w:rFonts w:eastAsia="Times New Roman"/>
          <w:lang w:val="en-GB"/>
        </w:rPr>
        <w:fldChar w:fldCharType="begin" w:fldLock="1"/>
      </w:r>
      <w:r w:rsidR="003445CC">
        <w:rPr>
          <w:rFonts w:eastAsia="Times New Roman"/>
          <w:lang w:val="en-GB"/>
        </w:rPr>
        <w:instrText>ADDIN CSL_CITATION {"citationItems":[{"id":"ITEM-1","itemData":{"DOI":"10.1016/S0959-6526(02)00153-1","ISSN":"09596526","author":[{"dropping-particle":"","family":"Manzini","given":"Ezio","non-dropping-particle":"","parse-names":false,"suffix":""},{"dropping-particle":"","family":"Vezzoli","given":"Carlo","non-dropping-particle":"","parse-names":false,"suffix":""}],"container-title":"Journal of Cleaner Production","id":"ITEM-1","issue":"8","issued":{"date-parts":[["2003"]]},"page":"851-857","title":"A strategic design approach to develop sustainable product service systems: examples taken from the ‘environmentally friendly innovation’ Italian prize","type":"article-journal","volume":"11"},"uris":["http://www.mendeley.com/documents/?uuid=f6045260-5c41-4cdb-b05b-fe23c9d3c8d1","http://www.mendeley.com/documents/?uuid=d03835fe-1f47-46d0-adf1-be0cdee29080","http://www.mendeley.com/documents/?uuid=286b71b2-0e59-4c81-ae75-d7381cbbeb03"]},{"id":"ITEM-2","itemData":{"author":[{"dropping-particle":"","family":"Wong","given":"M.","non-dropping-particle":"","parse-names":false,"suffix":""}],"id":"ITEM-2","issued":{"date-parts":[["2004"]]},"title":"Implementation of innovative product service-systems in the consumer goods industry","type":"thesis"},"uris":["http://www.mendeley.com/documents/?uuid=dd5df48e-9fe0-4acd-b80a-7455bd3e8c00","http://www.mendeley.com/documents/?uuid=368e8b0a-f46d-4d93-ad5c-60c8c5ffbff2","http://www.mendeley.com/documents/?uuid=054fb2f4-1d69-4aa0-ab55-a932c70180db","http://www.mendeley.com/documents/?uuid=1b09b8a7-21d7-4116-bffd-89349e0c38e3"]},{"id":"ITEM-3","itemData":{"DOI":"10.1016/j.jclepro.2006.01.022","ISSN":"09596526","author":[{"dropping-particle":"","family":"Tukker","given":"Arnold","non-dropping-particle":"","parse-names":false,"suffix":""},{"dropping-particle":"","family":"Tischner","given":"Ursula","non-dropping-particle":"","parse-names":false,"suffix":""}],"container-title":"Journal of Cleaner Production","id":"ITEM-3","issue":"17","issued":{"date-parts":[["2006","1"]]},"page":"1552-1556","title":"Product-services as a research field: past, present and future. Reflections from a decade of research","type":"article-journal","volume":"14"},"uris":["http://www.mendeley.com/documents/?uuid=2c8d7b3e-8ec0-4027-b5c7-fd0b31e7dc8b","http://www.mendeley.com/documents/?uuid=6a357058-c987-47a1-8321-81ed68239fab","http://www.mendeley.com/documents/?uuid=b279dabf-6ab5-4039-b8a8-1302711c9cc0"]}],"mendeley":{"formattedCitation":"(Manzini and Vezzoli, 2003; Tukker and Tischner, 2006; Wong, 2004)","plainTextFormattedCitation":"(Manzini and Vezzoli, 2003; Tukker and Tischner, 2006; Wong, 2004)","previouslyFormattedCitation":"(Manzini and Vezzoli, 2003; Tukker and Tischner, 2006; Wong, 2004)"},"properties":{"noteIndex":0},"schema":"https://github.com/citation-style-language/schema/raw/master/csl-citation.json"}</w:instrText>
      </w:r>
      <w:r w:rsidR="000B2D6F" w:rsidRPr="009601F2">
        <w:rPr>
          <w:rFonts w:eastAsia="Times New Roman"/>
          <w:lang w:val="en-GB"/>
        </w:rPr>
        <w:fldChar w:fldCharType="separate"/>
      </w:r>
      <w:r w:rsidR="000B2D6F" w:rsidRPr="00402AEC">
        <w:rPr>
          <w:rFonts w:eastAsia="Times New Roman"/>
          <w:noProof/>
          <w:lang w:val="en-GB"/>
        </w:rPr>
        <w:t>(Manzini and Vezzoli, 2003; Tukker and Tischner, 2006; Wong, 2004)</w:t>
      </w:r>
      <w:r w:rsidR="000B2D6F" w:rsidRPr="009601F2">
        <w:rPr>
          <w:rFonts w:eastAsia="Times New Roman"/>
          <w:lang w:val="en-GB"/>
        </w:rPr>
        <w:fldChar w:fldCharType="end"/>
      </w:r>
      <w:r w:rsidR="00B94501" w:rsidRPr="00402AEC">
        <w:rPr>
          <w:rFonts w:eastAsia="Times New Roman"/>
          <w:lang w:val="en-GB"/>
        </w:rPr>
        <w:t>.</w:t>
      </w:r>
      <w:r w:rsidR="00435C57" w:rsidRPr="00402AEC">
        <w:rPr>
          <w:rFonts w:eastAsia="Times New Roman"/>
          <w:lang w:val="en-GB"/>
        </w:rPr>
        <w:t xml:space="preserve"> </w:t>
      </w:r>
      <w:r w:rsidR="00E2641B" w:rsidRPr="00402AEC">
        <w:rPr>
          <w:rFonts w:eastAsia="Times New Roman"/>
          <w:lang w:val="en-GB"/>
        </w:rPr>
        <w:t>They are declined in three main categories (product-, use- and result-oriented</w:t>
      </w:r>
      <w:r w:rsidR="005E320F" w:rsidRPr="00402AEC">
        <w:rPr>
          <w:rFonts w:eastAsia="Times New Roman"/>
          <w:lang w:val="en-GB"/>
        </w:rPr>
        <w:t xml:space="preserve"> PSSs</w:t>
      </w:r>
      <w:r w:rsidR="00E2641B" w:rsidRPr="00402AEC">
        <w:rPr>
          <w:rFonts w:eastAsia="Times New Roman"/>
          <w:lang w:val="en-GB"/>
        </w:rPr>
        <w:t>)</w:t>
      </w:r>
      <w:r w:rsidR="005E320F" w:rsidRPr="00402AEC">
        <w:rPr>
          <w:rFonts w:eastAsia="Times New Roman"/>
          <w:lang w:val="en-GB"/>
        </w:rPr>
        <w:t xml:space="preserve"> and differentiated in eight archetypes </w:t>
      </w:r>
      <w:r w:rsidR="005E320F" w:rsidRPr="009601F2">
        <w:rPr>
          <w:rFonts w:eastAsia="Times New Roman"/>
          <w:lang w:val="en-GB"/>
        </w:rPr>
        <w:fldChar w:fldCharType="begin" w:fldLock="1"/>
      </w:r>
      <w:r w:rsidR="003445CC">
        <w:rPr>
          <w:rFonts w:eastAsia="Times New Roman"/>
          <w:lang w:val="en-GB"/>
        </w:rPr>
        <w:instrText>ADDIN CSL_CITATION {"citationItems":[{"id":"ITEM-1","itemData":{"DOI":"10.1002/bse.414","ISSN":"09644733","abstract":"Function-oriented business models or product-service systems (PSSs) are often seen as an excellent means for achieving 'factor 4'. SusProNet, an EU network on PSSs, showed a more complicated reality. At least eight different types of PSS exist, with quite diverging economic and environmental characteristics. The economic potential of each type was evaluated in terms of (i) tangible and intangible value for the user, (ii) tangible costs and risk premium for the provider, (iii) capital/investment needs and (iv) issues such as the providers' position in the value chain and client relations. The environmental potential was evaluated by checking the relevance of certain impact reduction mechanisms (e.g. more intensive use of capital goods, inherent incentives for sustainable user and provider behaviour etc.). Most PSS types will result in marginal environmental improvements at best. The exception is the PSS type known as functional results, but here liability and risk premium issues, amongst others, need a solution. © 2004 John Wiley and Sons, Ltd and ERP Environment.","author":[{"dropping-particle":"","family":"Tukker","given":"Arnold","non-dropping-particle":"","parse-names":false,"suffix":""}],"container-title":"Business Strategy and the Environment","id":"ITEM-1","issue":"4","issued":{"date-parts":[["2004"]]},"page":"246-260","title":"Eight types of product-service system: Eight ways to sustainability? Experiences from suspronet","type":"article-journal","volume":"13"},"uris":["http://www.mendeley.com/documents/?uuid=5ba688cc-0e22-4ef9-8e4d-383e9f4c3acd"]}],"mendeley":{"formattedCitation":"(Tukker, 2004)","plainTextFormattedCitation":"(Tukker, 2004)","previouslyFormattedCitation":"(Tukker, 2004)"},"properties":{"noteIndex":0},"schema":"https://github.com/citation-style-language/schema/raw/master/csl-citation.json"}</w:instrText>
      </w:r>
      <w:r w:rsidR="005E320F" w:rsidRPr="009601F2">
        <w:rPr>
          <w:rFonts w:eastAsia="Times New Roman"/>
          <w:lang w:val="en-GB"/>
        </w:rPr>
        <w:fldChar w:fldCharType="separate"/>
      </w:r>
      <w:r w:rsidR="005E320F" w:rsidRPr="00402AEC">
        <w:rPr>
          <w:rFonts w:eastAsia="Times New Roman"/>
          <w:noProof/>
          <w:lang w:val="en-GB"/>
        </w:rPr>
        <w:t>(Tukker, 2004)</w:t>
      </w:r>
      <w:r w:rsidR="005E320F" w:rsidRPr="009601F2">
        <w:rPr>
          <w:rFonts w:eastAsia="Times New Roman"/>
          <w:lang w:val="en-GB"/>
        </w:rPr>
        <w:fldChar w:fldCharType="end"/>
      </w:r>
      <w:r w:rsidR="005E320F" w:rsidRPr="00402AEC">
        <w:rPr>
          <w:rFonts w:eastAsia="Times New Roman"/>
          <w:lang w:val="en-GB"/>
        </w:rPr>
        <w:t>.</w:t>
      </w:r>
    </w:p>
    <w:p w14:paraId="4090AE75" w14:textId="2F6B6D1F" w:rsidR="00E523AE" w:rsidRPr="00402AEC" w:rsidRDefault="009C521A" w:rsidP="000C2B2F">
      <w:pPr>
        <w:spacing w:before="240" w:after="240" w:line="360" w:lineRule="auto"/>
        <w:rPr>
          <w:b/>
          <w:lang w:val="en-GB"/>
        </w:rPr>
      </w:pPr>
      <w:r w:rsidRPr="00402AEC">
        <w:rPr>
          <w:b/>
          <w:lang w:val="en-GB"/>
        </w:rPr>
        <w:t xml:space="preserve">3. </w:t>
      </w:r>
      <w:r w:rsidR="00462F8E" w:rsidRPr="00402AEC">
        <w:rPr>
          <w:b/>
          <w:lang w:val="en-GB"/>
        </w:rPr>
        <w:t>Research m</w:t>
      </w:r>
      <w:r w:rsidRPr="00402AEC">
        <w:rPr>
          <w:b/>
          <w:lang w:val="en-GB"/>
        </w:rPr>
        <w:t>ethodology</w:t>
      </w:r>
    </w:p>
    <w:p w14:paraId="6937B16C" w14:textId="49459A24" w:rsidR="00547ADC" w:rsidRPr="00402AEC" w:rsidRDefault="0096310B" w:rsidP="00481E6B">
      <w:pPr>
        <w:tabs>
          <w:tab w:val="left" w:pos="1728"/>
        </w:tabs>
        <w:spacing w:line="360" w:lineRule="auto"/>
        <w:jc w:val="both"/>
        <w:rPr>
          <w:lang w:val="en-GB"/>
        </w:rPr>
      </w:pPr>
      <w:r w:rsidRPr="00402AEC">
        <w:rPr>
          <w:lang w:val="en-GB"/>
        </w:rPr>
        <w:t>A</w:t>
      </w:r>
      <w:r w:rsidR="004906BB" w:rsidRPr="00402AEC">
        <w:rPr>
          <w:lang w:val="en-GB"/>
        </w:rPr>
        <w:t xml:space="preserve"> systematic literature review </w:t>
      </w:r>
      <w:r w:rsidR="00EF5EC0" w:rsidRPr="00402AEC">
        <w:rPr>
          <w:lang w:val="en-GB"/>
        </w:rPr>
        <w:t xml:space="preserve">has been </w:t>
      </w:r>
      <w:r w:rsidR="004906BB" w:rsidRPr="00402AEC">
        <w:rPr>
          <w:lang w:val="en-GB"/>
        </w:rPr>
        <w:t xml:space="preserve">conducted </w:t>
      </w:r>
      <w:r w:rsidRPr="00402AEC">
        <w:rPr>
          <w:lang w:val="en-GB"/>
        </w:rPr>
        <w:t xml:space="preserve">by following the </w:t>
      </w:r>
      <w:r w:rsidR="000C2664" w:rsidRPr="00402AEC">
        <w:rPr>
          <w:lang w:val="en-GB"/>
        </w:rPr>
        <w:t>five steps defined by</w:t>
      </w:r>
      <w:r w:rsidR="003445CC">
        <w:rPr>
          <w:lang w:val="en-GB"/>
        </w:rPr>
        <w:t xml:space="preserve"> </w:t>
      </w:r>
      <w:r w:rsidR="003445CC">
        <w:rPr>
          <w:lang w:val="en-GB"/>
        </w:rPr>
        <w:fldChar w:fldCharType="begin" w:fldLock="1"/>
      </w:r>
      <w:r w:rsidR="003027D4">
        <w:rPr>
          <w:lang w:val="en-GB"/>
        </w:rPr>
        <w:instrText>ADDIN CSL_CITATION {"citationItems":[{"id":"ITEM-1","itemData":{"author":[{"dropping-particle":"","family":"Denyer","given":"D.","non-dropping-particle":"","parse-names":false,"suffix":""},{"dropping-particle":"","family":"Tranfield","given":"D.","non-dropping-particle":"","parse-names":false,"suffix":""}],"container-title":"The SAGE Handbook of Organizational Research Methods","editor":[{"dropping-particle":"","family":"Buchanan","given":"D. A.","non-dropping-particle":"","parse-names":false,"suffix":""},{"dropping-particle":"","family":"Bryman","given":"A.","non-dropping-particle":"","parse-names":false,"suffix":""}],"id":"ITEM-1","issued":{"date-parts":[["2009"]]},"page":"671-689","publisher":"SAGE London","title":"Producing a Systematic Review","type":"chapter"},"uris":["http://www.mendeley.com/documents/?uuid=442a771a-472a-4815-80f2-b58d24cdbb52"]}],"mendeley":{"formattedCitation":"(Denyer and Tranfield, 2009)","manualFormatting":"Denyer and Tranfield (2009)","plainTextFormattedCitation":"(Denyer and Tranfield, 2009)","previouslyFormattedCitation":"(Denyer and Tranfield, 2009)"},"properties":{"noteIndex":0},"schema":"https://github.com/citation-style-language/schema/raw/master/csl-citation.json"}</w:instrText>
      </w:r>
      <w:r w:rsidR="003445CC">
        <w:rPr>
          <w:lang w:val="en-GB"/>
        </w:rPr>
        <w:fldChar w:fldCharType="separate"/>
      </w:r>
      <w:r w:rsidR="003445CC" w:rsidRPr="003445CC">
        <w:rPr>
          <w:noProof/>
          <w:lang w:val="en-GB"/>
        </w:rPr>
        <w:t xml:space="preserve">Denyer and Tranfield </w:t>
      </w:r>
      <w:r w:rsidR="006400D7">
        <w:rPr>
          <w:noProof/>
          <w:lang w:val="en-GB"/>
        </w:rPr>
        <w:t>(</w:t>
      </w:r>
      <w:r w:rsidR="003445CC" w:rsidRPr="003445CC">
        <w:rPr>
          <w:noProof/>
          <w:lang w:val="en-GB"/>
        </w:rPr>
        <w:t>2009)</w:t>
      </w:r>
      <w:r w:rsidR="003445CC">
        <w:rPr>
          <w:lang w:val="en-GB"/>
        </w:rPr>
        <w:fldChar w:fldCharType="end"/>
      </w:r>
      <w:r w:rsidR="000C2664" w:rsidRPr="00402AEC">
        <w:rPr>
          <w:lang w:val="en-GB"/>
        </w:rPr>
        <w:t>.</w:t>
      </w:r>
      <w:r w:rsidR="00547ADC" w:rsidRPr="00402AEC">
        <w:rPr>
          <w:lang w:val="en-GB"/>
        </w:rPr>
        <w:t xml:space="preserve"> </w:t>
      </w:r>
      <w:r w:rsidR="00097FAD" w:rsidRPr="00402AEC">
        <w:rPr>
          <w:lang w:val="en-GB"/>
        </w:rPr>
        <w:t>Firstly,</w:t>
      </w:r>
      <w:r w:rsidR="00481E6B" w:rsidRPr="00402AEC">
        <w:rPr>
          <w:lang w:val="en-GB"/>
        </w:rPr>
        <w:t xml:space="preserve"> </w:t>
      </w:r>
      <w:r w:rsidR="00097FAD" w:rsidRPr="00402AEC">
        <w:rPr>
          <w:lang w:val="en-GB"/>
        </w:rPr>
        <w:t>the research scope was defined</w:t>
      </w:r>
      <w:r w:rsidR="00023175" w:rsidRPr="00402AEC">
        <w:rPr>
          <w:lang w:val="en-GB"/>
        </w:rPr>
        <w:t xml:space="preserve">, </w:t>
      </w:r>
      <w:r w:rsidR="00481E6B" w:rsidRPr="00402AEC">
        <w:rPr>
          <w:lang w:val="en-GB"/>
        </w:rPr>
        <w:t xml:space="preserve">grabbing valuable knowledge from papers related to </w:t>
      </w:r>
      <w:r w:rsidR="00C909B4" w:rsidRPr="00402AEC">
        <w:rPr>
          <w:lang w:val="en-GB"/>
        </w:rPr>
        <w:t xml:space="preserve">both </w:t>
      </w:r>
      <w:r w:rsidR="00481E6B" w:rsidRPr="00402AEC">
        <w:rPr>
          <w:lang w:val="en-GB"/>
        </w:rPr>
        <w:t>the effects of C</w:t>
      </w:r>
      <w:r w:rsidR="00023175" w:rsidRPr="00402AEC">
        <w:rPr>
          <w:lang w:val="en-GB"/>
        </w:rPr>
        <w:t>E</w:t>
      </w:r>
      <w:r w:rsidR="00481E6B" w:rsidRPr="00402AEC">
        <w:rPr>
          <w:lang w:val="en-GB"/>
        </w:rPr>
        <w:t xml:space="preserve"> on traditional </w:t>
      </w:r>
      <w:r w:rsidR="00C909B4" w:rsidRPr="00402AEC">
        <w:rPr>
          <w:lang w:val="en-GB"/>
        </w:rPr>
        <w:t>BMs</w:t>
      </w:r>
      <w:r w:rsidR="00481E6B" w:rsidRPr="00402AEC">
        <w:rPr>
          <w:lang w:val="en-GB"/>
        </w:rPr>
        <w:t xml:space="preserve"> and methods </w:t>
      </w:r>
      <w:r w:rsidR="00C909B4" w:rsidRPr="00402AEC">
        <w:rPr>
          <w:lang w:val="en-GB"/>
        </w:rPr>
        <w:t>to classify</w:t>
      </w:r>
      <w:r w:rsidR="00481E6B" w:rsidRPr="00402AEC">
        <w:rPr>
          <w:lang w:val="en-GB"/>
        </w:rPr>
        <w:t xml:space="preserve"> CBMs. This </w:t>
      </w:r>
      <w:r w:rsidR="00C42EDC" w:rsidRPr="00402AEC">
        <w:rPr>
          <w:lang w:val="en-GB"/>
        </w:rPr>
        <w:t xml:space="preserve">approach </w:t>
      </w:r>
      <w:r w:rsidR="00481E6B" w:rsidRPr="00402AEC">
        <w:rPr>
          <w:lang w:val="en-GB"/>
        </w:rPr>
        <w:t>led to the following re</w:t>
      </w:r>
      <w:r w:rsidR="00C42EDC" w:rsidRPr="00402AEC">
        <w:rPr>
          <w:lang w:val="en-GB"/>
        </w:rPr>
        <w:t>search</w:t>
      </w:r>
      <w:r w:rsidR="00481E6B" w:rsidRPr="00402AEC">
        <w:rPr>
          <w:lang w:val="en-GB"/>
        </w:rPr>
        <w:t xml:space="preserve"> questions: </w:t>
      </w:r>
    </w:p>
    <w:p w14:paraId="5E809640" w14:textId="0F0C3BCC" w:rsidR="00547ADC" w:rsidRPr="00402AEC" w:rsidRDefault="00547ADC" w:rsidP="00547ADC">
      <w:pPr>
        <w:pStyle w:val="Paragrafoelenco"/>
        <w:numPr>
          <w:ilvl w:val="0"/>
          <w:numId w:val="39"/>
        </w:numPr>
        <w:tabs>
          <w:tab w:val="left" w:pos="1728"/>
        </w:tabs>
        <w:spacing w:line="360" w:lineRule="auto"/>
        <w:rPr>
          <w:rFonts w:ascii="Times New Roman" w:hAnsi="Times New Roman" w:cs="Times New Roman"/>
          <w:sz w:val="24"/>
          <w:lang w:val="en-GB"/>
        </w:rPr>
      </w:pPr>
      <w:r w:rsidRPr="00402AEC">
        <w:rPr>
          <w:rFonts w:ascii="Times New Roman" w:hAnsi="Times New Roman" w:cs="Times New Roman"/>
          <w:sz w:val="24"/>
          <w:lang w:val="en-GB"/>
        </w:rPr>
        <w:t xml:space="preserve">RQ1: </w:t>
      </w:r>
      <w:r w:rsidR="00481E6B" w:rsidRPr="00402AEC">
        <w:rPr>
          <w:rFonts w:ascii="Times New Roman" w:hAnsi="Times New Roman" w:cs="Times New Roman"/>
          <w:sz w:val="24"/>
          <w:lang w:val="en-GB"/>
        </w:rPr>
        <w:t xml:space="preserve">Which </w:t>
      </w:r>
      <w:r w:rsidR="00415399" w:rsidRPr="00402AEC">
        <w:rPr>
          <w:rFonts w:ascii="Times New Roman" w:hAnsi="Times New Roman" w:cs="Times New Roman"/>
          <w:sz w:val="24"/>
          <w:lang w:val="en-GB"/>
        </w:rPr>
        <w:t>existing</w:t>
      </w:r>
      <w:r w:rsidR="00481E6B" w:rsidRPr="00402AEC">
        <w:rPr>
          <w:rFonts w:ascii="Times New Roman" w:hAnsi="Times New Roman" w:cs="Times New Roman"/>
          <w:sz w:val="24"/>
          <w:lang w:val="en-GB"/>
        </w:rPr>
        <w:t xml:space="preserve"> B</w:t>
      </w:r>
      <w:r w:rsidR="00415399" w:rsidRPr="00402AEC">
        <w:rPr>
          <w:rFonts w:ascii="Times New Roman" w:hAnsi="Times New Roman" w:cs="Times New Roman"/>
          <w:sz w:val="24"/>
          <w:lang w:val="en-GB"/>
        </w:rPr>
        <w:t>Ms</w:t>
      </w:r>
      <w:r w:rsidR="00481E6B" w:rsidRPr="00402AEC">
        <w:rPr>
          <w:rFonts w:ascii="Times New Roman" w:hAnsi="Times New Roman" w:cs="Times New Roman"/>
          <w:sz w:val="24"/>
          <w:lang w:val="en-GB"/>
        </w:rPr>
        <w:t xml:space="preserve"> can be </w:t>
      </w:r>
      <w:r w:rsidR="00F609B9" w:rsidRPr="00402AEC">
        <w:rPr>
          <w:rFonts w:ascii="Times New Roman" w:hAnsi="Times New Roman" w:cs="Times New Roman"/>
          <w:sz w:val="24"/>
          <w:lang w:val="en-GB"/>
        </w:rPr>
        <w:t>identified</w:t>
      </w:r>
      <w:r w:rsidR="00481E6B" w:rsidRPr="00402AEC">
        <w:rPr>
          <w:rFonts w:ascii="Times New Roman" w:hAnsi="Times New Roman" w:cs="Times New Roman"/>
          <w:sz w:val="24"/>
          <w:lang w:val="en-GB"/>
        </w:rPr>
        <w:t xml:space="preserve"> </w:t>
      </w:r>
      <w:r w:rsidR="008230E4" w:rsidRPr="00402AEC">
        <w:rPr>
          <w:rFonts w:ascii="Times New Roman" w:hAnsi="Times New Roman" w:cs="Times New Roman"/>
          <w:sz w:val="24"/>
          <w:lang w:val="en-GB"/>
        </w:rPr>
        <w:t xml:space="preserve">as </w:t>
      </w:r>
      <w:r w:rsidR="00481E6B" w:rsidRPr="00402AEC">
        <w:rPr>
          <w:rFonts w:ascii="Times New Roman" w:hAnsi="Times New Roman" w:cs="Times New Roman"/>
          <w:sz w:val="24"/>
          <w:lang w:val="en-GB"/>
        </w:rPr>
        <w:t>C</w:t>
      </w:r>
      <w:r w:rsidR="00F609B9" w:rsidRPr="00402AEC">
        <w:rPr>
          <w:rFonts w:ascii="Times New Roman" w:hAnsi="Times New Roman" w:cs="Times New Roman"/>
          <w:sz w:val="24"/>
          <w:lang w:val="en-GB"/>
        </w:rPr>
        <w:t>BMs</w:t>
      </w:r>
      <w:r w:rsidR="00481E6B" w:rsidRPr="00402AEC">
        <w:rPr>
          <w:rFonts w:ascii="Times New Roman" w:hAnsi="Times New Roman" w:cs="Times New Roman"/>
          <w:sz w:val="24"/>
          <w:lang w:val="en-GB"/>
        </w:rPr>
        <w:t>?</w:t>
      </w:r>
    </w:p>
    <w:p w14:paraId="1E049DEC" w14:textId="54BCA36A" w:rsidR="00481E6B" w:rsidRPr="00402AEC" w:rsidRDefault="00547ADC" w:rsidP="000C2B2F">
      <w:pPr>
        <w:pStyle w:val="Paragrafoelenco"/>
        <w:numPr>
          <w:ilvl w:val="0"/>
          <w:numId w:val="39"/>
        </w:numPr>
        <w:tabs>
          <w:tab w:val="left" w:pos="1728"/>
        </w:tabs>
        <w:spacing w:line="360" w:lineRule="auto"/>
        <w:rPr>
          <w:lang w:val="en-GB"/>
        </w:rPr>
      </w:pPr>
      <w:r w:rsidRPr="00402AEC">
        <w:rPr>
          <w:rFonts w:ascii="Times New Roman" w:hAnsi="Times New Roman" w:cs="Times New Roman"/>
          <w:sz w:val="24"/>
          <w:lang w:val="en-GB"/>
        </w:rPr>
        <w:t xml:space="preserve">RQ2: </w:t>
      </w:r>
      <w:r w:rsidR="00481E6B" w:rsidRPr="00402AEC">
        <w:rPr>
          <w:rFonts w:ascii="Times New Roman" w:hAnsi="Times New Roman" w:cs="Times New Roman"/>
          <w:sz w:val="24"/>
          <w:lang w:val="en-GB"/>
        </w:rPr>
        <w:t>Wh</w:t>
      </w:r>
      <w:r w:rsidR="00F90D9F">
        <w:rPr>
          <w:rFonts w:ascii="Times New Roman" w:hAnsi="Times New Roman" w:cs="Times New Roman"/>
          <w:sz w:val="24"/>
          <w:lang w:val="en-GB"/>
        </w:rPr>
        <w:t>at</w:t>
      </w:r>
      <w:r w:rsidR="00481E6B" w:rsidRPr="00402AEC">
        <w:rPr>
          <w:rFonts w:ascii="Times New Roman" w:hAnsi="Times New Roman" w:cs="Times New Roman"/>
          <w:sz w:val="24"/>
          <w:lang w:val="en-GB"/>
        </w:rPr>
        <w:t xml:space="preserve"> </w:t>
      </w:r>
      <w:r w:rsidR="00C00939">
        <w:rPr>
          <w:rFonts w:ascii="Times New Roman" w:hAnsi="Times New Roman" w:cs="Times New Roman"/>
          <w:sz w:val="24"/>
          <w:lang w:val="en-GB"/>
        </w:rPr>
        <w:t xml:space="preserve">is the </w:t>
      </w:r>
      <w:r w:rsidR="007013D9">
        <w:rPr>
          <w:rFonts w:ascii="Times New Roman" w:hAnsi="Times New Roman" w:cs="Times New Roman"/>
          <w:sz w:val="24"/>
          <w:lang w:val="en-GB"/>
        </w:rPr>
        <w:t xml:space="preserve">most common </w:t>
      </w:r>
      <w:r w:rsidR="00481E6B" w:rsidRPr="00402AEC">
        <w:rPr>
          <w:rFonts w:ascii="Times New Roman" w:hAnsi="Times New Roman" w:cs="Times New Roman"/>
          <w:sz w:val="24"/>
          <w:lang w:val="en-GB"/>
        </w:rPr>
        <w:t xml:space="preserve">framework </w:t>
      </w:r>
      <w:r w:rsidR="004E1991">
        <w:rPr>
          <w:rFonts w:ascii="Times New Roman" w:hAnsi="Times New Roman" w:cs="Times New Roman"/>
          <w:sz w:val="24"/>
          <w:lang w:val="en-GB"/>
        </w:rPr>
        <w:t>for</w:t>
      </w:r>
      <w:r w:rsidR="00481E6B" w:rsidRPr="00402AEC">
        <w:rPr>
          <w:rFonts w:ascii="Times New Roman" w:hAnsi="Times New Roman" w:cs="Times New Roman"/>
          <w:sz w:val="24"/>
          <w:lang w:val="en-GB"/>
        </w:rPr>
        <w:t xml:space="preserve"> classify</w:t>
      </w:r>
      <w:r w:rsidR="004E1991">
        <w:rPr>
          <w:rFonts w:ascii="Times New Roman" w:hAnsi="Times New Roman" w:cs="Times New Roman"/>
          <w:sz w:val="24"/>
          <w:lang w:val="en-GB"/>
        </w:rPr>
        <w:t>ing</w:t>
      </w:r>
      <w:r w:rsidR="00481E6B" w:rsidRPr="00402AEC">
        <w:rPr>
          <w:rFonts w:ascii="Times New Roman" w:hAnsi="Times New Roman" w:cs="Times New Roman"/>
          <w:sz w:val="24"/>
          <w:lang w:val="en-GB"/>
        </w:rPr>
        <w:t xml:space="preserve"> C</w:t>
      </w:r>
      <w:r w:rsidR="00E010EA" w:rsidRPr="00402AEC">
        <w:rPr>
          <w:rFonts w:ascii="Times New Roman" w:hAnsi="Times New Roman" w:cs="Times New Roman"/>
          <w:sz w:val="24"/>
          <w:lang w:val="en-GB"/>
        </w:rPr>
        <w:t>BM</w:t>
      </w:r>
      <w:r w:rsidR="00481E6B" w:rsidRPr="00402AEC">
        <w:rPr>
          <w:rFonts w:ascii="Times New Roman" w:hAnsi="Times New Roman" w:cs="Times New Roman"/>
          <w:sz w:val="24"/>
          <w:lang w:val="en-GB"/>
        </w:rPr>
        <w:t>s?</w:t>
      </w:r>
    </w:p>
    <w:p w14:paraId="63BB4241" w14:textId="27104BB5" w:rsidR="002F2233" w:rsidRPr="00402AEC" w:rsidRDefault="00033D14" w:rsidP="00216241">
      <w:pPr>
        <w:spacing w:after="240" w:line="360" w:lineRule="auto"/>
        <w:jc w:val="both"/>
        <w:rPr>
          <w:lang w:val="en-GB"/>
        </w:rPr>
      </w:pPr>
      <w:r w:rsidRPr="00402AEC">
        <w:rPr>
          <w:lang w:val="en-GB"/>
        </w:rPr>
        <w:t>Trying to improve the searching efficiency,</w:t>
      </w:r>
      <w:r w:rsidR="00633243" w:rsidRPr="00402AEC">
        <w:rPr>
          <w:lang w:val="en-GB"/>
        </w:rPr>
        <w:t xml:space="preserve"> </w:t>
      </w:r>
      <w:r w:rsidR="00481E6B" w:rsidRPr="00402AEC">
        <w:rPr>
          <w:lang w:val="en-GB"/>
        </w:rPr>
        <w:t>s</w:t>
      </w:r>
      <w:r w:rsidR="0038455E" w:rsidRPr="00402AEC">
        <w:rPr>
          <w:lang w:val="en-GB"/>
        </w:rPr>
        <w:t>cientific articles published from 2000 up to the first quarter of 2018</w:t>
      </w:r>
      <w:r w:rsidR="00633243" w:rsidRPr="00402AEC">
        <w:rPr>
          <w:lang w:val="en-GB"/>
        </w:rPr>
        <w:t xml:space="preserve"> and</w:t>
      </w:r>
      <w:r w:rsidR="0038455E" w:rsidRPr="00402AEC">
        <w:rPr>
          <w:lang w:val="en-GB"/>
        </w:rPr>
        <w:t xml:space="preserve"> </w:t>
      </w:r>
      <w:r w:rsidR="008C70B8" w:rsidRPr="00402AEC">
        <w:rPr>
          <w:lang w:val="en-GB"/>
        </w:rPr>
        <w:t>gathered from</w:t>
      </w:r>
      <w:r w:rsidR="0038455E" w:rsidRPr="00402AEC">
        <w:rPr>
          <w:lang w:val="en-GB"/>
        </w:rPr>
        <w:t xml:space="preserve"> the most popular academic search engines (</w:t>
      </w:r>
      <w:r w:rsidR="00EC5850" w:rsidRPr="00402AEC">
        <w:rPr>
          <w:lang w:val="en-GB"/>
        </w:rPr>
        <w:t xml:space="preserve">i.e. </w:t>
      </w:r>
      <w:r w:rsidR="002D1D10" w:rsidRPr="00402AEC">
        <w:rPr>
          <w:lang w:val="en-GB"/>
        </w:rPr>
        <w:t>Scopus</w:t>
      </w:r>
      <w:r w:rsidR="00747CAC" w:rsidRPr="00402AEC">
        <w:rPr>
          <w:lang w:val="en-GB"/>
        </w:rPr>
        <w:t xml:space="preserve"> and</w:t>
      </w:r>
      <w:r w:rsidR="0038455E" w:rsidRPr="00402AEC">
        <w:rPr>
          <w:lang w:val="en-GB"/>
        </w:rPr>
        <w:t xml:space="preserve"> Science Direct) has been </w:t>
      </w:r>
      <w:r w:rsidR="00EF29D0" w:rsidRPr="00402AEC">
        <w:rPr>
          <w:lang w:val="en-GB"/>
        </w:rPr>
        <w:t>assessed</w:t>
      </w:r>
      <w:r w:rsidR="0038455E" w:rsidRPr="00402AEC">
        <w:rPr>
          <w:lang w:val="en-GB"/>
        </w:rPr>
        <w:t>.</w:t>
      </w:r>
      <w:r w:rsidR="0038455E" w:rsidRPr="00402AEC">
        <w:rPr>
          <w:rFonts w:eastAsia="Times New Roman"/>
          <w:i/>
          <w:lang w:val="en-GB"/>
        </w:rPr>
        <w:t xml:space="preserve"> </w:t>
      </w:r>
      <w:r w:rsidR="0038455E" w:rsidRPr="00402AEC">
        <w:rPr>
          <w:lang w:val="en-GB"/>
        </w:rPr>
        <w:t xml:space="preserve">Without considering any document type and field content limitation, a total </w:t>
      </w:r>
      <w:r w:rsidR="002F3925">
        <w:rPr>
          <w:lang w:val="en-GB"/>
        </w:rPr>
        <w:t xml:space="preserve">amount </w:t>
      </w:r>
      <w:r w:rsidR="0038455E" w:rsidRPr="00402AEC">
        <w:rPr>
          <w:lang w:val="en-GB"/>
        </w:rPr>
        <w:t xml:space="preserve">of </w:t>
      </w:r>
      <w:r w:rsidR="00EC5850" w:rsidRPr="00402AEC">
        <w:rPr>
          <w:lang w:val="en-GB"/>
        </w:rPr>
        <w:t>three</w:t>
      </w:r>
      <w:r w:rsidR="0038455E" w:rsidRPr="00402AEC">
        <w:rPr>
          <w:lang w:val="en-GB"/>
        </w:rPr>
        <w:t xml:space="preserve"> searches have been performed. </w:t>
      </w:r>
      <w:r w:rsidR="004742BB" w:rsidRPr="00402AEC">
        <w:rPr>
          <w:lang w:val="en-GB"/>
        </w:rPr>
        <w:t>The set of q</w:t>
      </w:r>
      <w:r w:rsidR="0038455E" w:rsidRPr="00402AEC">
        <w:rPr>
          <w:lang w:val="en-GB"/>
        </w:rPr>
        <w:t xml:space="preserve">ueries </w:t>
      </w:r>
      <w:r w:rsidR="001F5A47" w:rsidRPr="00402AEC">
        <w:rPr>
          <w:lang w:val="en-GB"/>
        </w:rPr>
        <w:t xml:space="preserve">selected </w:t>
      </w:r>
      <w:r w:rsidR="006F3DA7" w:rsidRPr="00402AEC">
        <w:rPr>
          <w:lang w:val="en-GB"/>
        </w:rPr>
        <w:t xml:space="preserve">for </w:t>
      </w:r>
      <w:r w:rsidR="001F5A47" w:rsidRPr="00402AEC">
        <w:rPr>
          <w:lang w:val="en-GB"/>
        </w:rPr>
        <w:t>conduct</w:t>
      </w:r>
      <w:r w:rsidR="006F3DA7" w:rsidRPr="00402AEC">
        <w:rPr>
          <w:lang w:val="en-GB"/>
        </w:rPr>
        <w:t>ing</w:t>
      </w:r>
      <w:r w:rsidR="001F5A47" w:rsidRPr="00402AEC">
        <w:rPr>
          <w:lang w:val="en-GB"/>
        </w:rPr>
        <w:t xml:space="preserve"> the </w:t>
      </w:r>
      <w:r w:rsidR="00C42012" w:rsidRPr="00402AEC">
        <w:rPr>
          <w:lang w:val="en-GB"/>
        </w:rPr>
        <w:t>search</w:t>
      </w:r>
      <w:r w:rsidR="004742BB" w:rsidRPr="00402AEC">
        <w:rPr>
          <w:lang w:val="en-GB"/>
        </w:rPr>
        <w:t>ing</w:t>
      </w:r>
      <w:r w:rsidR="00942845" w:rsidRPr="00402AEC">
        <w:rPr>
          <w:lang w:val="en-GB"/>
        </w:rPr>
        <w:t xml:space="preserve"> process</w:t>
      </w:r>
      <w:r w:rsidR="003E5EB7" w:rsidRPr="00402AEC">
        <w:rPr>
          <w:lang w:val="en-GB"/>
        </w:rPr>
        <w:t xml:space="preserve"> on title, abstract and keywords</w:t>
      </w:r>
      <w:r w:rsidR="00C42012" w:rsidRPr="00402AEC">
        <w:rPr>
          <w:lang w:val="en-GB"/>
        </w:rPr>
        <w:t xml:space="preserve"> </w:t>
      </w:r>
      <w:r w:rsidR="00942845" w:rsidRPr="00402AEC">
        <w:rPr>
          <w:lang w:val="en-GB"/>
        </w:rPr>
        <w:t>ha</w:t>
      </w:r>
      <w:r w:rsidR="00DD4A30" w:rsidRPr="00402AEC">
        <w:rPr>
          <w:lang w:val="en-GB"/>
        </w:rPr>
        <w:t>s</w:t>
      </w:r>
      <w:r w:rsidR="00942845" w:rsidRPr="00402AEC">
        <w:rPr>
          <w:lang w:val="en-GB"/>
        </w:rPr>
        <w:t xml:space="preserve"> been</w:t>
      </w:r>
      <w:r w:rsidR="001F5A47" w:rsidRPr="00402AEC">
        <w:rPr>
          <w:lang w:val="en-GB"/>
        </w:rPr>
        <w:t xml:space="preserve"> </w:t>
      </w:r>
      <w:r w:rsidR="0038455E" w:rsidRPr="00402AEC">
        <w:rPr>
          <w:lang w:val="en-GB"/>
        </w:rPr>
        <w:t xml:space="preserve">reported in </w:t>
      </w:r>
      <w:r w:rsidR="00942845" w:rsidRPr="00402AEC">
        <w:rPr>
          <w:lang w:val="en-GB"/>
        </w:rPr>
        <w:t xml:space="preserve">the following </w:t>
      </w:r>
      <w:r w:rsidR="0038455E" w:rsidRPr="00402AEC">
        <w:rPr>
          <w:lang w:val="en-GB"/>
        </w:rPr>
        <w:t xml:space="preserve">Table </w:t>
      </w:r>
      <w:r w:rsidR="00761076">
        <w:rPr>
          <w:lang w:val="en-GB"/>
        </w:rPr>
        <w:t>1</w:t>
      </w:r>
      <w:r w:rsidR="003E5EB7" w:rsidRPr="00402AEC">
        <w:rPr>
          <w:lang w:val="en-GB"/>
        </w:rPr>
        <w:t>, leading to 1703 results</w:t>
      </w:r>
      <w:r w:rsidR="001F5A47" w:rsidRPr="00402AEC">
        <w:rPr>
          <w:lang w:val="en-GB"/>
        </w:rPr>
        <w:t>.</w:t>
      </w:r>
    </w:p>
    <w:p w14:paraId="7BC00593" w14:textId="6B0D7915" w:rsidR="0038455E" w:rsidRPr="00402AEC" w:rsidRDefault="00AE33BA" w:rsidP="00216241">
      <w:pPr>
        <w:pStyle w:val="Didascalia"/>
        <w:keepNext/>
        <w:spacing w:after="240" w:line="360" w:lineRule="auto"/>
        <w:jc w:val="center"/>
        <w:rPr>
          <w:b w:val="0"/>
          <w:sz w:val="24"/>
          <w:szCs w:val="24"/>
          <w:lang w:val="en-GB"/>
        </w:rPr>
      </w:pPr>
      <w:r w:rsidRPr="00402AEC">
        <w:rPr>
          <w:caps w:val="0"/>
          <w:sz w:val="24"/>
          <w:szCs w:val="24"/>
          <w:lang w:val="en-GB"/>
        </w:rPr>
        <w:t xml:space="preserve">Table </w:t>
      </w:r>
      <w:r w:rsidR="0038455E" w:rsidRPr="009601F2">
        <w:rPr>
          <w:sz w:val="24"/>
          <w:szCs w:val="24"/>
          <w:lang w:val="en-GB"/>
        </w:rPr>
        <w:fldChar w:fldCharType="begin"/>
      </w:r>
      <w:r w:rsidR="0038455E" w:rsidRPr="00402AEC">
        <w:rPr>
          <w:sz w:val="24"/>
          <w:szCs w:val="24"/>
          <w:lang w:val="en-GB"/>
        </w:rPr>
        <w:instrText xml:space="preserve"> SEQ Table \* ARABIC </w:instrText>
      </w:r>
      <w:r w:rsidR="0038455E" w:rsidRPr="009601F2">
        <w:rPr>
          <w:sz w:val="24"/>
          <w:szCs w:val="24"/>
          <w:lang w:val="en-GB"/>
        </w:rPr>
        <w:fldChar w:fldCharType="separate"/>
      </w:r>
      <w:r w:rsidR="008F7F15">
        <w:rPr>
          <w:noProof/>
          <w:sz w:val="24"/>
          <w:szCs w:val="24"/>
          <w:lang w:val="en-GB"/>
        </w:rPr>
        <w:t>1</w:t>
      </w:r>
      <w:r w:rsidR="0038455E" w:rsidRPr="009601F2">
        <w:rPr>
          <w:sz w:val="24"/>
          <w:szCs w:val="24"/>
          <w:lang w:val="en-GB"/>
        </w:rPr>
        <w:fldChar w:fldCharType="end"/>
      </w:r>
      <w:r w:rsidRPr="00402AEC">
        <w:rPr>
          <w:b w:val="0"/>
          <w:caps w:val="0"/>
          <w:sz w:val="24"/>
          <w:szCs w:val="24"/>
          <w:lang w:val="en-GB"/>
        </w:rPr>
        <w:t>. Searches by keywords</w:t>
      </w:r>
    </w:p>
    <w:tbl>
      <w:tblPr>
        <w:tblStyle w:val="Grigliatabella"/>
        <w:tblW w:w="5000" w:type="pct"/>
        <w:jc w:val="center"/>
        <w:tblLayout w:type="fixed"/>
        <w:tblLook w:val="0420" w:firstRow="1" w:lastRow="0" w:firstColumn="0" w:lastColumn="0" w:noHBand="0" w:noVBand="1"/>
      </w:tblPr>
      <w:tblGrid>
        <w:gridCol w:w="5718"/>
        <w:gridCol w:w="2080"/>
        <w:gridCol w:w="1824"/>
      </w:tblGrid>
      <w:tr w:rsidR="00F73A1A" w:rsidRPr="00402AEC" w14:paraId="0E59EB47" w14:textId="77777777" w:rsidTr="00746DB3">
        <w:trPr>
          <w:trHeight w:val="317"/>
          <w:jc w:val="center"/>
        </w:trPr>
        <w:tc>
          <w:tcPr>
            <w:tcW w:w="2971" w:type="pct"/>
            <w:vMerge w:val="restart"/>
            <w:vAlign w:val="center"/>
          </w:tcPr>
          <w:p w14:paraId="10A2CA26" w14:textId="72F3AAD4" w:rsidR="00F73A1A" w:rsidRPr="00402AEC" w:rsidRDefault="00F73A1A" w:rsidP="00026D10">
            <w:pPr>
              <w:spacing w:line="360" w:lineRule="auto"/>
              <w:rPr>
                <w:b/>
                <w:bCs/>
                <w:sz w:val="22"/>
                <w:lang w:val="en-GB"/>
              </w:rPr>
            </w:pPr>
            <w:r w:rsidRPr="00402AEC">
              <w:rPr>
                <w:b/>
                <w:bCs/>
                <w:sz w:val="22"/>
                <w:lang w:val="en-GB"/>
              </w:rPr>
              <w:t>Queries</w:t>
            </w:r>
          </w:p>
        </w:tc>
        <w:tc>
          <w:tcPr>
            <w:tcW w:w="2029" w:type="pct"/>
            <w:gridSpan w:val="2"/>
            <w:vAlign w:val="center"/>
          </w:tcPr>
          <w:p w14:paraId="1F2FF86B" w14:textId="07383F27" w:rsidR="00F73A1A" w:rsidRPr="00402AEC" w:rsidRDefault="00F73A1A">
            <w:pPr>
              <w:spacing w:line="360" w:lineRule="auto"/>
              <w:jc w:val="center"/>
              <w:rPr>
                <w:b/>
                <w:bCs/>
                <w:sz w:val="22"/>
                <w:lang w:val="en-GB"/>
              </w:rPr>
            </w:pPr>
            <w:r w:rsidRPr="00402AEC">
              <w:rPr>
                <w:b/>
                <w:bCs/>
                <w:sz w:val="22"/>
                <w:lang w:val="en-GB"/>
              </w:rPr>
              <w:t>Search engine</w:t>
            </w:r>
          </w:p>
        </w:tc>
      </w:tr>
      <w:tr w:rsidR="00F73A1A" w:rsidRPr="00402AEC" w14:paraId="545C0BF0" w14:textId="77777777" w:rsidTr="00746DB3">
        <w:trPr>
          <w:trHeight w:val="479"/>
          <w:jc w:val="center"/>
        </w:trPr>
        <w:tc>
          <w:tcPr>
            <w:tcW w:w="2971" w:type="pct"/>
            <w:vMerge/>
            <w:tcBorders>
              <w:bottom w:val="single" w:sz="4" w:space="0" w:color="auto"/>
            </w:tcBorders>
            <w:hideMark/>
          </w:tcPr>
          <w:p w14:paraId="2AA3C46F" w14:textId="77777777" w:rsidR="00F73A1A" w:rsidRPr="00402AEC" w:rsidRDefault="00F73A1A" w:rsidP="00026D10">
            <w:pPr>
              <w:spacing w:line="360" w:lineRule="auto"/>
              <w:rPr>
                <w:sz w:val="22"/>
                <w:lang w:val="en-GB"/>
              </w:rPr>
            </w:pPr>
          </w:p>
        </w:tc>
        <w:tc>
          <w:tcPr>
            <w:tcW w:w="1081" w:type="pct"/>
            <w:tcBorders>
              <w:bottom w:val="single" w:sz="4" w:space="0" w:color="auto"/>
            </w:tcBorders>
            <w:vAlign w:val="center"/>
            <w:hideMark/>
          </w:tcPr>
          <w:p w14:paraId="1630E0D9" w14:textId="384FD53D" w:rsidR="00F73A1A" w:rsidRPr="00402AEC" w:rsidRDefault="00F73A1A">
            <w:pPr>
              <w:spacing w:line="360" w:lineRule="auto"/>
              <w:jc w:val="center"/>
              <w:rPr>
                <w:sz w:val="22"/>
                <w:lang w:val="en-GB"/>
              </w:rPr>
            </w:pPr>
            <w:r w:rsidRPr="00402AEC">
              <w:rPr>
                <w:b/>
                <w:bCs/>
                <w:sz w:val="22"/>
                <w:lang w:val="en-GB"/>
              </w:rPr>
              <w:t>Scopus</w:t>
            </w:r>
          </w:p>
        </w:tc>
        <w:tc>
          <w:tcPr>
            <w:tcW w:w="948" w:type="pct"/>
            <w:tcBorders>
              <w:bottom w:val="single" w:sz="4" w:space="0" w:color="auto"/>
            </w:tcBorders>
            <w:vAlign w:val="center"/>
          </w:tcPr>
          <w:p w14:paraId="6C2EA425" w14:textId="77777777" w:rsidR="00F73A1A" w:rsidRPr="00402AEC" w:rsidRDefault="00F73A1A" w:rsidP="00026D10">
            <w:pPr>
              <w:spacing w:line="360" w:lineRule="auto"/>
              <w:jc w:val="center"/>
              <w:rPr>
                <w:b/>
                <w:bCs/>
                <w:sz w:val="22"/>
                <w:lang w:val="en-GB"/>
              </w:rPr>
            </w:pPr>
            <w:r w:rsidRPr="00402AEC">
              <w:rPr>
                <w:b/>
                <w:bCs/>
                <w:sz w:val="22"/>
                <w:lang w:val="en-GB"/>
              </w:rPr>
              <w:t>Science Direct</w:t>
            </w:r>
          </w:p>
        </w:tc>
      </w:tr>
      <w:tr w:rsidR="00F73A1A" w:rsidRPr="00402AEC" w14:paraId="55A8188D" w14:textId="77777777" w:rsidTr="00746DB3">
        <w:trPr>
          <w:trHeight w:val="264"/>
          <w:jc w:val="center"/>
        </w:trPr>
        <w:tc>
          <w:tcPr>
            <w:tcW w:w="2971" w:type="pct"/>
            <w:tcBorders>
              <w:top w:val="single" w:sz="4" w:space="0" w:color="auto"/>
              <w:left w:val="single" w:sz="4" w:space="0" w:color="auto"/>
              <w:bottom w:val="nil"/>
              <w:right w:val="single" w:sz="4" w:space="0" w:color="auto"/>
            </w:tcBorders>
            <w:vAlign w:val="center"/>
            <w:hideMark/>
          </w:tcPr>
          <w:p w14:paraId="6A42D0A0" w14:textId="3D1C3FAA" w:rsidR="00F73A1A" w:rsidRPr="00402AEC" w:rsidRDefault="00F73A1A" w:rsidP="00026D10">
            <w:pPr>
              <w:spacing w:line="360" w:lineRule="auto"/>
              <w:rPr>
                <w:sz w:val="22"/>
                <w:lang w:val="en-GB"/>
              </w:rPr>
            </w:pPr>
            <w:r w:rsidRPr="00402AEC">
              <w:rPr>
                <w:sz w:val="22"/>
                <w:lang w:val="en-GB"/>
              </w:rPr>
              <w:t>“Circular Economy” AND “Business Model”</w:t>
            </w:r>
          </w:p>
        </w:tc>
        <w:tc>
          <w:tcPr>
            <w:tcW w:w="1081" w:type="pct"/>
            <w:tcBorders>
              <w:top w:val="single" w:sz="4" w:space="0" w:color="auto"/>
              <w:left w:val="single" w:sz="4" w:space="0" w:color="auto"/>
              <w:bottom w:val="nil"/>
              <w:right w:val="single" w:sz="4" w:space="0" w:color="auto"/>
            </w:tcBorders>
            <w:vAlign w:val="center"/>
            <w:hideMark/>
          </w:tcPr>
          <w:p w14:paraId="23F9B05E" w14:textId="29543950" w:rsidR="00F73A1A" w:rsidRPr="00402AEC" w:rsidRDefault="00F73A1A">
            <w:pPr>
              <w:spacing w:line="360" w:lineRule="auto"/>
              <w:jc w:val="center"/>
              <w:rPr>
                <w:sz w:val="22"/>
                <w:lang w:val="en-GB"/>
              </w:rPr>
            </w:pPr>
            <w:r w:rsidRPr="00402AEC">
              <w:rPr>
                <w:sz w:val="22"/>
                <w:lang w:val="en-GB"/>
              </w:rPr>
              <w:t>728</w:t>
            </w:r>
          </w:p>
        </w:tc>
        <w:tc>
          <w:tcPr>
            <w:tcW w:w="948" w:type="pct"/>
            <w:tcBorders>
              <w:top w:val="single" w:sz="4" w:space="0" w:color="auto"/>
              <w:left w:val="single" w:sz="4" w:space="0" w:color="auto"/>
              <w:bottom w:val="nil"/>
              <w:right w:val="single" w:sz="4" w:space="0" w:color="auto"/>
            </w:tcBorders>
            <w:vAlign w:val="center"/>
          </w:tcPr>
          <w:p w14:paraId="3CEFC6BD" w14:textId="77777777" w:rsidR="00F73A1A" w:rsidRPr="00402AEC" w:rsidRDefault="00F73A1A" w:rsidP="00026D10">
            <w:pPr>
              <w:spacing w:line="360" w:lineRule="auto"/>
              <w:jc w:val="center"/>
              <w:rPr>
                <w:sz w:val="22"/>
                <w:lang w:val="en-GB"/>
              </w:rPr>
            </w:pPr>
            <w:r w:rsidRPr="00402AEC">
              <w:rPr>
                <w:sz w:val="22"/>
                <w:lang w:val="en-GB"/>
              </w:rPr>
              <w:t>661</w:t>
            </w:r>
          </w:p>
        </w:tc>
      </w:tr>
      <w:tr w:rsidR="00F73A1A" w:rsidRPr="00402AEC" w14:paraId="615049E7" w14:textId="77777777" w:rsidTr="00746DB3">
        <w:trPr>
          <w:trHeight w:val="264"/>
          <w:jc w:val="center"/>
        </w:trPr>
        <w:tc>
          <w:tcPr>
            <w:tcW w:w="2971" w:type="pct"/>
            <w:tcBorders>
              <w:top w:val="nil"/>
              <w:left w:val="single" w:sz="4" w:space="0" w:color="auto"/>
              <w:bottom w:val="nil"/>
              <w:right w:val="single" w:sz="4" w:space="0" w:color="auto"/>
            </w:tcBorders>
            <w:vAlign w:val="center"/>
            <w:hideMark/>
          </w:tcPr>
          <w:p w14:paraId="2CC2B589" w14:textId="2101DD91" w:rsidR="00F73A1A" w:rsidRPr="00402AEC" w:rsidRDefault="00F73A1A" w:rsidP="00026D10">
            <w:pPr>
              <w:spacing w:line="360" w:lineRule="auto"/>
              <w:rPr>
                <w:sz w:val="22"/>
                <w:lang w:val="en-GB"/>
              </w:rPr>
            </w:pPr>
            <w:r w:rsidRPr="00402AEC">
              <w:rPr>
                <w:sz w:val="22"/>
                <w:lang w:val="en-GB"/>
              </w:rPr>
              <w:t>“Circular Business Model”</w:t>
            </w:r>
          </w:p>
        </w:tc>
        <w:tc>
          <w:tcPr>
            <w:tcW w:w="1081" w:type="pct"/>
            <w:tcBorders>
              <w:top w:val="nil"/>
              <w:left w:val="single" w:sz="4" w:space="0" w:color="auto"/>
              <w:bottom w:val="nil"/>
              <w:right w:val="single" w:sz="4" w:space="0" w:color="auto"/>
            </w:tcBorders>
            <w:vAlign w:val="center"/>
            <w:hideMark/>
          </w:tcPr>
          <w:p w14:paraId="460FB1F0" w14:textId="77ADF2B8" w:rsidR="00F73A1A" w:rsidRPr="00402AEC" w:rsidRDefault="00F73A1A">
            <w:pPr>
              <w:spacing w:line="360" w:lineRule="auto"/>
              <w:jc w:val="center"/>
              <w:rPr>
                <w:sz w:val="22"/>
                <w:lang w:val="en-GB"/>
              </w:rPr>
            </w:pPr>
            <w:r w:rsidRPr="00402AEC">
              <w:rPr>
                <w:sz w:val="22"/>
                <w:lang w:val="en-GB"/>
              </w:rPr>
              <w:t>125</w:t>
            </w:r>
          </w:p>
        </w:tc>
        <w:tc>
          <w:tcPr>
            <w:tcW w:w="948" w:type="pct"/>
            <w:tcBorders>
              <w:top w:val="nil"/>
              <w:left w:val="single" w:sz="4" w:space="0" w:color="auto"/>
              <w:bottom w:val="nil"/>
              <w:right w:val="single" w:sz="4" w:space="0" w:color="auto"/>
            </w:tcBorders>
            <w:vAlign w:val="center"/>
          </w:tcPr>
          <w:p w14:paraId="632A1ABA" w14:textId="77777777" w:rsidR="00F73A1A" w:rsidRPr="00402AEC" w:rsidRDefault="00F73A1A" w:rsidP="00026D10">
            <w:pPr>
              <w:spacing w:line="360" w:lineRule="auto"/>
              <w:jc w:val="center"/>
              <w:rPr>
                <w:sz w:val="22"/>
                <w:lang w:val="en-GB"/>
              </w:rPr>
            </w:pPr>
            <w:r w:rsidRPr="00402AEC">
              <w:rPr>
                <w:sz w:val="22"/>
                <w:lang w:val="en-GB"/>
              </w:rPr>
              <w:t>95</w:t>
            </w:r>
          </w:p>
        </w:tc>
      </w:tr>
      <w:tr w:rsidR="00F73A1A" w:rsidRPr="00402AEC" w14:paraId="6E550FB8" w14:textId="77777777" w:rsidTr="00746DB3">
        <w:trPr>
          <w:trHeight w:val="44"/>
          <w:jc w:val="center"/>
        </w:trPr>
        <w:tc>
          <w:tcPr>
            <w:tcW w:w="2971" w:type="pct"/>
            <w:tcBorders>
              <w:top w:val="nil"/>
              <w:left w:val="single" w:sz="4" w:space="0" w:color="auto"/>
              <w:bottom w:val="single" w:sz="4" w:space="0" w:color="auto"/>
              <w:right w:val="single" w:sz="4" w:space="0" w:color="auto"/>
            </w:tcBorders>
            <w:vAlign w:val="center"/>
            <w:hideMark/>
          </w:tcPr>
          <w:p w14:paraId="6030182E" w14:textId="08AF26F9" w:rsidR="00F73A1A" w:rsidRPr="00402AEC" w:rsidRDefault="00F73A1A" w:rsidP="00026D10">
            <w:pPr>
              <w:spacing w:line="360" w:lineRule="auto"/>
              <w:rPr>
                <w:sz w:val="22"/>
                <w:lang w:val="en-GB"/>
              </w:rPr>
            </w:pPr>
            <w:r w:rsidRPr="00402AEC">
              <w:rPr>
                <w:sz w:val="22"/>
                <w:lang w:val="en-GB"/>
              </w:rPr>
              <w:t>“Circular Economy Business Model”</w:t>
            </w:r>
          </w:p>
        </w:tc>
        <w:tc>
          <w:tcPr>
            <w:tcW w:w="1081" w:type="pct"/>
            <w:tcBorders>
              <w:top w:val="nil"/>
              <w:left w:val="single" w:sz="4" w:space="0" w:color="auto"/>
              <w:bottom w:val="single" w:sz="4" w:space="0" w:color="auto"/>
              <w:right w:val="single" w:sz="4" w:space="0" w:color="auto"/>
            </w:tcBorders>
            <w:vAlign w:val="center"/>
            <w:hideMark/>
          </w:tcPr>
          <w:p w14:paraId="1967A023" w14:textId="7252D465" w:rsidR="00F73A1A" w:rsidRPr="00402AEC" w:rsidRDefault="00F73A1A">
            <w:pPr>
              <w:spacing w:line="360" w:lineRule="auto"/>
              <w:jc w:val="center"/>
              <w:rPr>
                <w:sz w:val="22"/>
                <w:lang w:val="en-GB"/>
              </w:rPr>
            </w:pPr>
            <w:r w:rsidRPr="00402AEC">
              <w:rPr>
                <w:sz w:val="22"/>
                <w:lang w:val="en-GB"/>
              </w:rPr>
              <w:t>59</w:t>
            </w:r>
          </w:p>
        </w:tc>
        <w:tc>
          <w:tcPr>
            <w:tcW w:w="948" w:type="pct"/>
            <w:tcBorders>
              <w:top w:val="nil"/>
              <w:left w:val="single" w:sz="4" w:space="0" w:color="auto"/>
              <w:bottom w:val="single" w:sz="4" w:space="0" w:color="auto"/>
              <w:right w:val="single" w:sz="4" w:space="0" w:color="auto"/>
            </w:tcBorders>
            <w:vAlign w:val="center"/>
          </w:tcPr>
          <w:p w14:paraId="3777145D" w14:textId="77777777" w:rsidR="00F73A1A" w:rsidRPr="00402AEC" w:rsidRDefault="00F73A1A" w:rsidP="00026D10">
            <w:pPr>
              <w:spacing w:line="360" w:lineRule="auto"/>
              <w:jc w:val="center"/>
              <w:rPr>
                <w:sz w:val="22"/>
                <w:lang w:val="en-GB"/>
              </w:rPr>
            </w:pPr>
            <w:r w:rsidRPr="00402AEC">
              <w:rPr>
                <w:sz w:val="22"/>
                <w:lang w:val="en-GB"/>
              </w:rPr>
              <w:t>35</w:t>
            </w:r>
          </w:p>
        </w:tc>
      </w:tr>
      <w:tr w:rsidR="00EC5850" w:rsidRPr="00402AEC" w14:paraId="4AA4C7E5" w14:textId="77777777" w:rsidTr="00746DB3">
        <w:trPr>
          <w:trHeight w:val="44"/>
          <w:jc w:val="center"/>
        </w:trPr>
        <w:tc>
          <w:tcPr>
            <w:tcW w:w="2971" w:type="pct"/>
            <w:tcBorders>
              <w:top w:val="nil"/>
              <w:left w:val="single" w:sz="4" w:space="0" w:color="auto"/>
              <w:bottom w:val="single" w:sz="4" w:space="0" w:color="auto"/>
              <w:right w:val="single" w:sz="4" w:space="0" w:color="auto"/>
            </w:tcBorders>
          </w:tcPr>
          <w:p w14:paraId="51708032" w14:textId="6ADD07B7" w:rsidR="00EC5850" w:rsidRPr="00402AEC" w:rsidRDefault="00EC5850" w:rsidP="00EC5850">
            <w:pPr>
              <w:spacing w:line="360" w:lineRule="auto"/>
              <w:rPr>
                <w:sz w:val="22"/>
                <w:lang w:val="en-GB"/>
              </w:rPr>
            </w:pPr>
            <w:r w:rsidRPr="00402AEC">
              <w:rPr>
                <w:b/>
                <w:sz w:val="22"/>
                <w:lang w:val="en-GB"/>
              </w:rPr>
              <w:t>Total</w:t>
            </w:r>
          </w:p>
        </w:tc>
        <w:tc>
          <w:tcPr>
            <w:tcW w:w="1081" w:type="pct"/>
            <w:tcBorders>
              <w:top w:val="nil"/>
              <w:left w:val="single" w:sz="4" w:space="0" w:color="auto"/>
              <w:bottom w:val="single" w:sz="4" w:space="0" w:color="auto"/>
              <w:right w:val="single" w:sz="4" w:space="0" w:color="auto"/>
            </w:tcBorders>
          </w:tcPr>
          <w:p w14:paraId="63F2D887" w14:textId="3C7DDD89" w:rsidR="00EC5850" w:rsidRPr="00402AEC" w:rsidDel="00F73A1A" w:rsidRDefault="00EC5850" w:rsidP="00EC5850">
            <w:pPr>
              <w:spacing w:line="360" w:lineRule="auto"/>
              <w:jc w:val="center"/>
              <w:rPr>
                <w:sz w:val="22"/>
                <w:lang w:val="en-GB"/>
              </w:rPr>
            </w:pPr>
            <w:r w:rsidRPr="00402AEC">
              <w:rPr>
                <w:b/>
                <w:sz w:val="22"/>
                <w:lang w:val="en-GB"/>
              </w:rPr>
              <w:t>912</w:t>
            </w:r>
          </w:p>
        </w:tc>
        <w:tc>
          <w:tcPr>
            <w:tcW w:w="948" w:type="pct"/>
            <w:tcBorders>
              <w:top w:val="nil"/>
              <w:left w:val="single" w:sz="4" w:space="0" w:color="auto"/>
              <w:bottom w:val="single" w:sz="4" w:space="0" w:color="auto"/>
              <w:right w:val="single" w:sz="4" w:space="0" w:color="auto"/>
            </w:tcBorders>
          </w:tcPr>
          <w:p w14:paraId="76698F20" w14:textId="43A89388" w:rsidR="00EC5850" w:rsidRPr="00402AEC" w:rsidRDefault="00EC5850" w:rsidP="00EC5850">
            <w:pPr>
              <w:spacing w:line="360" w:lineRule="auto"/>
              <w:jc w:val="center"/>
              <w:rPr>
                <w:sz w:val="22"/>
                <w:lang w:val="en-GB"/>
              </w:rPr>
            </w:pPr>
            <w:r w:rsidRPr="00402AEC">
              <w:rPr>
                <w:b/>
                <w:sz w:val="22"/>
                <w:lang w:val="en-GB"/>
              </w:rPr>
              <w:t>791</w:t>
            </w:r>
          </w:p>
        </w:tc>
      </w:tr>
    </w:tbl>
    <w:p w14:paraId="72644BDB" w14:textId="409FC4AF" w:rsidR="00040E2A" w:rsidRPr="00402AEC" w:rsidRDefault="00040E2A" w:rsidP="000C2B2F">
      <w:pPr>
        <w:tabs>
          <w:tab w:val="left" w:pos="1728"/>
        </w:tabs>
        <w:spacing w:line="360" w:lineRule="auto"/>
        <w:rPr>
          <w:lang w:val="en-GB"/>
        </w:rPr>
      </w:pPr>
    </w:p>
    <w:p w14:paraId="28D1CAA2" w14:textId="3AF5EC9D" w:rsidR="0089094C" w:rsidRPr="00402AEC" w:rsidRDefault="001057B5" w:rsidP="0006738C">
      <w:pPr>
        <w:spacing w:line="360" w:lineRule="auto"/>
        <w:jc w:val="both"/>
        <w:rPr>
          <w:lang w:val="en-GB"/>
        </w:rPr>
      </w:pPr>
      <w:r w:rsidRPr="00402AEC">
        <w:rPr>
          <w:lang w:val="en-GB"/>
        </w:rPr>
        <w:t xml:space="preserve">Figure </w:t>
      </w:r>
      <w:r w:rsidR="00761076">
        <w:rPr>
          <w:lang w:val="en-GB"/>
        </w:rPr>
        <w:t>1</w:t>
      </w:r>
      <w:r w:rsidR="00863359" w:rsidRPr="00402AEC">
        <w:rPr>
          <w:lang w:val="en-GB"/>
        </w:rPr>
        <w:t xml:space="preserve"> </w:t>
      </w:r>
      <w:r w:rsidR="0089094C" w:rsidRPr="00402AEC">
        <w:rPr>
          <w:lang w:val="en-GB"/>
        </w:rPr>
        <w:t xml:space="preserve">shows the </w:t>
      </w:r>
      <w:r w:rsidR="00402B60" w:rsidRPr="00402AEC">
        <w:rPr>
          <w:lang w:val="en-GB"/>
        </w:rPr>
        <w:t xml:space="preserve">adopted </w:t>
      </w:r>
      <w:r w:rsidR="0089094C" w:rsidRPr="00402AEC">
        <w:rPr>
          <w:lang w:val="en-GB"/>
        </w:rPr>
        <w:t>research strategy</w:t>
      </w:r>
      <w:r w:rsidR="00402B60" w:rsidRPr="00402AEC">
        <w:rPr>
          <w:lang w:val="en-GB"/>
        </w:rPr>
        <w:t>.</w:t>
      </w:r>
      <w:r w:rsidR="0089094C" w:rsidRPr="00402AEC">
        <w:rPr>
          <w:lang w:val="en-GB"/>
        </w:rPr>
        <w:t xml:space="preserve"> </w:t>
      </w:r>
      <w:r w:rsidR="0006738C" w:rsidRPr="00402AEC">
        <w:rPr>
          <w:lang w:val="en-GB"/>
        </w:rPr>
        <w:t xml:space="preserve">The </w:t>
      </w:r>
      <w:r w:rsidR="005549B7" w:rsidRPr="00402AEC">
        <w:rPr>
          <w:lang w:val="en-GB"/>
        </w:rPr>
        <w:t xml:space="preserve">initial set of </w:t>
      </w:r>
      <w:r w:rsidR="0006738C" w:rsidRPr="00402AEC">
        <w:rPr>
          <w:lang w:val="en-GB"/>
        </w:rPr>
        <w:t>1703 articles</w:t>
      </w:r>
      <w:r w:rsidR="005549B7" w:rsidRPr="00402AEC">
        <w:rPr>
          <w:lang w:val="en-GB"/>
        </w:rPr>
        <w:t xml:space="preserve"> has been </w:t>
      </w:r>
      <w:r w:rsidR="00F351FD" w:rsidRPr="00402AEC">
        <w:rPr>
          <w:lang w:val="en-GB"/>
        </w:rPr>
        <w:t>improved with</w:t>
      </w:r>
      <w:r w:rsidR="0006738C" w:rsidRPr="00402AEC">
        <w:rPr>
          <w:lang w:val="en-GB"/>
        </w:rPr>
        <w:t xml:space="preserve"> </w:t>
      </w:r>
      <w:r w:rsidR="00116E54" w:rsidRPr="00402AEC">
        <w:rPr>
          <w:lang w:val="en-GB"/>
        </w:rPr>
        <w:t xml:space="preserve">58 </w:t>
      </w:r>
      <w:r w:rsidR="0089094C" w:rsidRPr="00402AEC">
        <w:rPr>
          <w:lang w:val="en-GB"/>
        </w:rPr>
        <w:t>documents added through cross-referencing</w:t>
      </w:r>
      <w:r w:rsidR="000F0479" w:rsidRPr="00402AEC">
        <w:rPr>
          <w:lang w:val="en-GB"/>
        </w:rPr>
        <w:t>,</w:t>
      </w:r>
      <w:r w:rsidR="0089094C" w:rsidRPr="00402AEC">
        <w:rPr>
          <w:lang w:val="en-GB"/>
        </w:rPr>
        <w:t xml:space="preserve"> </w:t>
      </w:r>
      <w:r w:rsidR="00116E54" w:rsidRPr="00402AEC">
        <w:rPr>
          <w:lang w:val="en-GB"/>
        </w:rPr>
        <w:t>8</w:t>
      </w:r>
      <w:r w:rsidR="0089094C" w:rsidRPr="00402AEC">
        <w:rPr>
          <w:lang w:val="en-GB"/>
        </w:rPr>
        <w:t xml:space="preserve"> through hand</w:t>
      </w:r>
      <w:r w:rsidR="001B7BC5" w:rsidRPr="00402AEC">
        <w:rPr>
          <w:lang w:val="en-GB"/>
        </w:rPr>
        <w:t>-</w:t>
      </w:r>
      <w:r w:rsidR="0089094C" w:rsidRPr="00402AEC">
        <w:rPr>
          <w:lang w:val="en-GB"/>
        </w:rPr>
        <w:t>search</w:t>
      </w:r>
      <w:r w:rsidR="001B7BC5" w:rsidRPr="00402AEC">
        <w:rPr>
          <w:lang w:val="en-GB"/>
        </w:rPr>
        <w:t>ing</w:t>
      </w:r>
      <w:r w:rsidR="000F0479" w:rsidRPr="00402AEC">
        <w:rPr>
          <w:lang w:val="en-GB"/>
        </w:rPr>
        <w:t xml:space="preserve"> and</w:t>
      </w:r>
      <w:r w:rsidR="004B28A5" w:rsidRPr="00402AEC">
        <w:rPr>
          <w:lang w:val="en-GB"/>
        </w:rPr>
        <w:t xml:space="preserve"> 23</w:t>
      </w:r>
      <w:r w:rsidR="00F351FD" w:rsidRPr="00402AEC">
        <w:rPr>
          <w:lang w:val="en-GB"/>
        </w:rPr>
        <w:t xml:space="preserve"> </w:t>
      </w:r>
      <w:r w:rsidR="004B28A5" w:rsidRPr="00402AEC">
        <w:rPr>
          <w:lang w:val="en-GB"/>
        </w:rPr>
        <w:t xml:space="preserve">recommended by </w:t>
      </w:r>
      <w:r w:rsidR="000F0479" w:rsidRPr="00402AEC">
        <w:rPr>
          <w:lang w:val="en-GB"/>
        </w:rPr>
        <w:lastRenderedPageBreak/>
        <w:t xml:space="preserve">the </w:t>
      </w:r>
      <w:r w:rsidR="004B28A5" w:rsidRPr="00402AEC">
        <w:rPr>
          <w:lang w:val="en-GB"/>
        </w:rPr>
        <w:t>expert</w:t>
      </w:r>
      <w:r w:rsidR="000F0479" w:rsidRPr="00402AEC">
        <w:rPr>
          <w:lang w:val="en-GB"/>
        </w:rPr>
        <w:t>s</w:t>
      </w:r>
      <w:r w:rsidR="004B28A5" w:rsidRPr="00402AEC">
        <w:rPr>
          <w:lang w:val="en-GB"/>
        </w:rPr>
        <w:t>.</w:t>
      </w:r>
      <w:r w:rsidR="0006738C" w:rsidRPr="00402AEC">
        <w:rPr>
          <w:lang w:val="en-GB"/>
        </w:rPr>
        <w:t xml:space="preserve"> After </w:t>
      </w:r>
      <w:r w:rsidR="003C7FBD">
        <w:rPr>
          <w:lang w:val="en-GB"/>
        </w:rPr>
        <w:t xml:space="preserve">having </w:t>
      </w:r>
      <w:r w:rsidR="0006738C" w:rsidRPr="00402AEC">
        <w:rPr>
          <w:lang w:val="en-GB"/>
        </w:rPr>
        <w:t>detect</w:t>
      </w:r>
      <w:r w:rsidR="003C7FBD">
        <w:rPr>
          <w:lang w:val="en-GB"/>
        </w:rPr>
        <w:t>ed</w:t>
      </w:r>
      <w:r w:rsidR="0006738C" w:rsidRPr="00402AEC">
        <w:rPr>
          <w:lang w:val="en-GB"/>
        </w:rPr>
        <w:t xml:space="preserve"> and remov</w:t>
      </w:r>
      <w:r w:rsidR="003C7FBD">
        <w:rPr>
          <w:lang w:val="en-GB"/>
        </w:rPr>
        <w:t>ed</w:t>
      </w:r>
      <w:r w:rsidR="0006738C" w:rsidRPr="00402AEC">
        <w:rPr>
          <w:lang w:val="en-GB"/>
        </w:rPr>
        <w:t xml:space="preserve"> redundancies among documents, a first selection by title, abstract and keywords was performed. A second screening was done by assessing </w:t>
      </w:r>
      <w:r w:rsidR="00E31DCC">
        <w:rPr>
          <w:lang w:val="en-GB"/>
        </w:rPr>
        <w:t>full text</w:t>
      </w:r>
      <w:r w:rsidR="0006738C" w:rsidRPr="00402AEC">
        <w:rPr>
          <w:lang w:val="en-GB"/>
        </w:rPr>
        <w:t>.</w:t>
      </w:r>
    </w:p>
    <w:p w14:paraId="47DDB695" w14:textId="07830FB1" w:rsidR="00116E54" w:rsidRPr="00402AEC" w:rsidRDefault="00761076" w:rsidP="000C2B2F">
      <w:pPr>
        <w:keepNext/>
        <w:tabs>
          <w:tab w:val="left" w:pos="1728"/>
        </w:tabs>
        <w:spacing w:line="360" w:lineRule="auto"/>
        <w:rPr>
          <w:lang w:val="en-GB"/>
        </w:rPr>
      </w:pPr>
      <w:r w:rsidRPr="00BF2F60">
        <w:rPr>
          <w:noProof/>
        </w:rPr>
        <w:drawing>
          <wp:anchor distT="0" distB="0" distL="114300" distR="114300" simplePos="0" relativeHeight="251661312" behindDoc="1" locked="0" layoutInCell="1" allowOverlap="1" wp14:anchorId="7205D179" wp14:editId="3C2E97AB">
            <wp:simplePos x="0" y="0"/>
            <wp:positionH relativeFrom="margin">
              <wp:align>center</wp:align>
            </wp:positionH>
            <wp:positionV relativeFrom="margin">
              <wp:posOffset>697119</wp:posOffset>
            </wp:positionV>
            <wp:extent cx="5759450" cy="3572510"/>
            <wp:effectExtent l="0" t="0" r="0" b="8890"/>
            <wp:wrapTopAndBottom/>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5759450" cy="3572510"/>
                    </a:xfrm>
                    <a:prstGeom prst="rect">
                      <a:avLst/>
                    </a:prstGeom>
                    <a:noFill/>
                  </pic:spPr>
                </pic:pic>
              </a:graphicData>
            </a:graphic>
            <wp14:sizeRelH relativeFrom="margin">
              <wp14:pctWidth>0</wp14:pctWidth>
            </wp14:sizeRelH>
            <wp14:sizeRelV relativeFrom="margin">
              <wp14:pctHeight>0</wp14:pctHeight>
            </wp14:sizeRelV>
          </wp:anchor>
        </w:drawing>
      </w:r>
    </w:p>
    <w:p w14:paraId="101A11C5" w14:textId="1D79803C" w:rsidR="00116E54" w:rsidRPr="00402AEC" w:rsidRDefault="00AE516B" w:rsidP="00AE516B">
      <w:pPr>
        <w:pStyle w:val="Didascalia"/>
        <w:jc w:val="center"/>
        <w:rPr>
          <w:highlight w:val="yellow"/>
          <w:lang w:val="en-GB"/>
        </w:rPr>
      </w:pPr>
      <w:bookmarkStart w:id="0" w:name="_Ref1982226"/>
      <w:r w:rsidRPr="00746DB3">
        <w:rPr>
          <w:caps w:val="0"/>
          <w:sz w:val="24"/>
          <w:lang w:val="en-GB"/>
        </w:rPr>
        <w:t xml:space="preserve">Figure </w:t>
      </w:r>
      <w:r w:rsidRPr="00746DB3">
        <w:rPr>
          <w:sz w:val="24"/>
          <w:lang w:val="en-GB"/>
        </w:rPr>
        <w:fldChar w:fldCharType="begin"/>
      </w:r>
      <w:r w:rsidRPr="00746DB3">
        <w:rPr>
          <w:sz w:val="24"/>
          <w:lang w:val="en-GB"/>
        </w:rPr>
        <w:instrText xml:space="preserve"> SEQ Figure \* ARABIC </w:instrText>
      </w:r>
      <w:r w:rsidRPr="00746DB3">
        <w:rPr>
          <w:sz w:val="24"/>
          <w:lang w:val="en-GB"/>
        </w:rPr>
        <w:fldChar w:fldCharType="separate"/>
      </w:r>
      <w:r w:rsidR="008F7F15">
        <w:rPr>
          <w:noProof/>
          <w:sz w:val="24"/>
          <w:lang w:val="en-GB"/>
        </w:rPr>
        <w:t>1</w:t>
      </w:r>
      <w:r w:rsidRPr="00746DB3">
        <w:rPr>
          <w:sz w:val="24"/>
          <w:lang w:val="en-GB"/>
        </w:rPr>
        <w:fldChar w:fldCharType="end"/>
      </w:r>
      <w:bookmarkEnd w:id="0"/>
      <w:r w:rsidRPr="00746DB3">
        <w:rPr>
          <w:caps w:val="0"/>
          <w:sz w:val="24"/>
          <w:lang w:val="en-GB"/>
        </w:rPr>
        <w:t xml:space="preserve">. </w:t>
      </w:r>
      <w:r w:rsidR="000D43FA" w:rsidRPr="00402AEC">
        <w:rPr>
          <w:b w:val="0"/>
          <w:caps w:val="0"/>
          <w:sz w:val="24"/>
          <w:szCs w:val="24"/>
          <w:lang w:val="en-GB"/>
        </w:rPr>
        <w:t>S</w:t>
      </w:r>
      <w:r w:rsidR="001A753F">
        <w:rPr>
          <w:b w:val="0"/>
          <w:caps w:val="0"/>
          <w:sz w:val="24"/>
          <w:szCs w:val="24"/>
          <w:lang w:val="en-GB"/>
        </w:rPr>
        <w:t>ystematic review approach</w:t>
      </w:r>
      <w:r w:rsidR="00C7734B" w:rsidRPr="00402AEC">
        <w:rPr>
          <w:b w:val="0"/>
          <w:caps w:val="0"/>
          <w:sz w:val="24"/>
          <w:szCs w:val="24"/>
          <w:lang w:val="en-GB"/>
        </w:rPr>
        <w:t xml:space="preserve"> adapted by </w:t>
      </w:r>
      <w:r w:rsidR="00C7734B" w:rsidRPr="009601F2">
        <w:rPr>
          <w:b w:val="0"/>
          <w:caps w:val="0"/>
          <w:sz w:val="24"/>
          <w:szCs w:val="24"/>
          <w:lang w:val="en-GB"/>
        </w:rPr>
        <w:fldChar w:fldCharType="begin" w:fldLock="1"/>
      </w:r>
      <w:r w:rsidR="003445CC">
        <w:rPr>
          <w:b w:val="0"/>
          <w:caps w:val="0"/>
          <w:sz w:val="24"/>
          <w:szCs w:val="24"/>
          <w:lang w:val="en-GB"/>
        </w:rPr>
        <w:instrText>ADDIN CSL_CITATION {"citationItems":[{"id":"ITEM-1","itemData":{"abstract":"The purpose of this paper is to progress operations management theory and practice by organising contributions to knowledge production, in industrial sustainability, from disparate researcher communities. It addresses the principal question “What scholarly dialogues can be explicated in the emerging research field of industrial sustainability?” and sub-questions: what are the descriptive characteristics of the evidence base? and what thematic lines of scientific inquiry underpin the body of knowledge?","author":[{"dropping-particle":"","family":"Smart","given":"Palie","non-dropping-particle":"","parse-names":false,"suffix":""},{"dropping-particle":"","family":"Hemel","given":"Stefan","non-dropping-particle":"","parse-names":false,"suffix":""},{"dropping-particle":"","family":"Lettice","given":"Fiona","non-dropping-particle":"","parse-names":false,"suffix":""},{"dropping-particle":"","family":"Adams","given":"Richard","non-dropping-particle":"","parse-names":false,"suffix":""},{"dropping-particle":"","family":"Evans","given":"Stephen","non-dropping-particle":"","parse-names":false,"suffix":""}],"container-title":"International Journal of Operations &amp; Production Management","id":"ITEM-1","issue":"10","issued":{"date-parts":[["2017"]]},"page":"1425-1450","title":"Pre-paradigmatic status of industrial sustainability: a systematic review","type":"article-journal","volume":"37"},"uris":["http://www.mendeley.com/documents/?uuid=d571f61f-08c5-4831-9bd3-47a0e8563220"]}],"mendeley":{"formattedCitation":"(Smart et al., 2017)","plainTextFormattedCitation":"(Smart et al., 2017)","previouslyFormattedCitation":"(Smart et al., 2017)"},"properties":{"noteIndex":0},"schema":"https://github.com/citation-style-language/schema/raw/master/csl-citation.json"}</w:instrText>
      </w:r>
      <w:r w:rsidR="00C7734B" w:rsidRPr="009601F2">
        <w:rPr>
          <w:b w:val="0"/>
          <w:caps w:val="0"/>
          <w:sz w:val="24"/>
          <w:szCs w:val="24"/>
          <w:lang w:val="en-GB"/>
        </w:rPr>
        <w:fldChar w:fldCharType="separate"/>
      </w:r>
      <w:r w:rsidR="00C7734B" w:rsidRPr="00402AEC">
        <w:rPr>
          <w:b w:val="0"/>
          <w:caps w:val="0"/>
          <w:noProof/>
          <w:sz w:val="24"/>
          <w:szCs w:val="24"/>
          <w:lang w:val="en-GB"/>
        </w:rPr>
        <w:t>(Smart et al., 2017)</w:t>
      </w:r>
      <w:r w:rsidR="00C7734B" w:rsidRPr="009601F2">
        <w:rPr>
          <w:b w:val="0"/>
          <w:caps w:val="0"/>
          <w:sz w:val="24"/>
          <w:szCs w:val="24"/>
          <w:lang w:val="en-GB"/>
        </w:rPr>
        <w:fldChar w:fldCharType="end"/>
      </w:r>
    </w:p>
    <w:p w14:paraId="038DC318" w14:textId="355A1914" w:rsidR="000B79D9" w:rsidRPr="00402AEC" w:rsidRDefault="000B79D9" w:rsidP="000C2B2F">
      <w:pPr>
        <w:tabs>
          <w:tab w:val="left" w:pos="1728"/>
        </w:tabs>
        <w:spacing w:line="360" w:lineRule="auto"/>
        <w:rPr>
          <w:lang w:val="en-GB"/>
        </w:rPr>
      </w:pPr>
    </w:p>
    <w:p w14:paraId="680BCFAB" w14:textId="669F7913" w:rsidR="0006738C" w:rsidRPr="00402AEC" w:rsidRDefault="00D06E28" w:rsidP="000C2B2F">
      <w:pPr>
        <w:spacing w:after="160" w:line="360" w:lineRule="auto"/>
        <w:jc w:val="both"/>
        <w:rPr>
          <w:lang w:val="en-GB"/>
        </w:rPr>
      </w:pPr>
      <w:r w:rsidRPr="00402AEC">
        <w:rPr>
          <w:lang w:val="en-GB"/>
        </w:rPr>
        <w:t>B</w:t>
      </w:r>
      <w:r w:rsidR="00383E29" w:rsidRPr="00402AEC">
        <w:rPr>
          <w:lang w:val="en-GB"/>
        </w:rPr>
        <w:t xml:space="preserve">y applying some </w:t>
      </w:r>
      <w:r w:rsidRPr="00402AEC">
        <w:rPr>
          <w:lang w:val="en-GB"/>
        </w:rPr>
        <w:t>refining criteria</w:t>
      </w:r>
      <w:r w:rsidR="0006738C" w:rsidRPr="00402AEC">
        <w:rPr>
          <w:lang w:val="en-GB"/>
        </w:rPr>
        <w:t>, a</w:t>
      </w:r>
      <w:r w:rsidR="00D2678A" w:rsidRPr="00402AEC">
        <w:rPr>
          <w:lang w:val="en-GB"/>
        </w:rPr>
        <w:t xml:space="preserve"> final amount of 283 </w:t>
      </w:r>
      <w:r w:rsidR="00CA46A1" w:rsidRPr="00402AEC">
        <w:rPr>
          <w:lang w:val="en-GB"/>
        </w:rPr>
        <w:t xml:space="preserve">documents was considered </w:t>
      </w:r>
      <w:r w:rsidR="00D82B3B" w:rsidRPr="00402AEC">
        <w:rPr>
          <w:lang w:val="en-GB"/>
        </w:rPr>
        <w:t xml:space="preserve">as reference literature </w:t>
      </w:r>
      <w:r w:rsidR="0006738C" w:rsidRPr="00402AEC">
        <w:rPr>
          <w:lang w:val="en-GB"/>
        </w:rPr>
        <w:t xml:space="preserve">and </w:t>
      </w:r>
      <w:r w:rsidR="000077A8" w:rsidRPr="00402AEC">
        <w:rPr>
          <w:lang w:val="en-GB"/>
        </w:rPr>
        <w:t xml:space="preserve">assessed into detail </w:t>
      </w:r>
      <w:r w:rsidR="00CA073B" w:rsidRPr="00402AEC">
        <w:rPr>
          <w:lang w:val="en-GB"/>
        </w:rPr>
        <w:t>(see S</w:t>
      </w:r>
      <w:r w:rsidR="000077A8" w:rsidRPr="00402AEC">
        <w:rPr>
          <w:lang w:val="en-GB"/>
        </w:rPr>
        <w:t>ection 4</w:t>
      </w:r>
      <w:r w:rsidR="00CA073B" w:rsidRPr="00402AEC">
        <w:rPr>
          <w:lang w:val="en-GB"/>
        </w:rPr>
        <w:t>)</w:t>
      </w:r>
      <w:r w:rsidR="0024627D" w:rsidRPr="00402AEC">
        <w:rPr>
          <w:lang w:val="en-GB"/>
        </w:rPr>
        <w:t>.</w:t>
      </w:r>
      <w:r w:rsidR="0006738C" w:rsidRPr="00402AEC">
        <w:rPr>
          <w:lang w:val="en-GB"/>
        </w:rPr>
        <w:t xml:space="preserve"> </w:t>
      </w:r>
      <w:r w:rsidR="00656053" w:rsidRPr="00402AEC">
        <w:rPr>
          <w:lang w:val="en-GB"/>
        </w:rPr>
        <w:t>Two experts analysed the documents to avoid biases and obtaining a full interpretation of the assessed contributions.</w:t>
      </w:r>
      <w:r w:rsidR="0006738C" w:rsidRPr="00402AEC">
        <w:rPr>
          <w:lang w:val="en-GB"/>
        </w:rPr>
        <w:t xml:space="preserve"> </w:t>
      </w:r>
      <w:r w:rsidR="00FC170C" w:rsidRPr="00402AEC">
        <w:rPr>
          <w:lang w:val="en-GB"/>
        </w:rPr>
        <w:t>R</w:t>
      </w:r>
      <w:r w:rsidR="0006738C" w:rsidRPr="00402AEC">
        <w:rPr>
          <w:lang w:val="en-GB"/>
        </w:rPr>
        <w:t>esults were compared and</w:t>
      </w:r>
      <w:r w:rsidR="00FC170C" w:rsidRPr="00402AEC">
        <w:rPr>
          <w:lang w:val="en-GB"/>
        </w:rPr>
        <w:t>,</w:t>
      </w:r>
      <w:r w:rsidR="0006738C" w:rsidRPr="00402AEC">
        <w:rPr>
          <w:lang w:val="en-GB"/>
        </w:rPr>
        <w:t xml:space="preserve"> then</w:t>
      </w:r>
      <w:r w:rsidR="00FC170C" w:rsidRPr="00402AEC">
        <w:rPr>
          <w:lang w:val="en-GB"/>
        </w:rPr>
        <w:t>,</w:t>
      </w:r>
      <w:r w:rsidR="0006738C" w:rsidRPr="00402AEC">
        <w:rPr>
          <w:lang w:val="en-GB"/>
        </w:rPr>
        <w:t xml:space="preserve"> made consistent to each other.</w:t>
      </w:r>
      <w:r w:rsidR="002302A6" w:rsidRPr="00402AEC">
        <w:rPr>
          <w:lang w:val="en-GB"/>
        </w:rPr>
        <w:t xml:space="preserve"> </w:t>
      </w:r>
      <w:r w:rsidR="00D86280" w:rsidRPr="00402AEC">
        <w:rPr>
          <w:lang w:val="en-GB"/>
        </w:rPr>
        <w:t>D</w:t>
      </w:r>
      <w:r w:rsidR="002302A6" w:rsidRPr="00402AEC">
        <w:rPr>
          <w:lang w:val="en-GB"/>
        </w:rPr>
        <w:t>ocuments</w:t>
      </w:r>
      <w:r w:rsidR="00040E2A" w:rsidRPr="00402AEC">
        <w:rPr>
          <w:lang w:val="en-GB"/>
        </w:rPr>
        <w:t xml:space="preserve"> have been classified </w:t>
      </w:r>
      <w:r w:rsidR="002302A6" w:rsidRPr="00402AEC">
        <w:rPr>
          <w:lang w:val="en-GB"/>
        </w:rPr>
        <w:t>by</w:t>
      </w:r>
      <w:r w:rsidR="00040E2A" w:rsidRPr="00402AEC">
        <w:rPr>
          <w:lang w:val="en-GB"/>
        </w:rPr>
        <w:t xml:space="preserve"> year, type of </w:t>
      </w:r>
      <w:r w:rsidR="002302A6" w:rsidRPr="00402AEC">
        <w:rPr>
          <w:lang w:val="en-GB"/>
        </w:rPr>
        <w:t>publication</w:t>
      </w:r>
      <w:r w:rsidR="00040E2A" w:rsidRPr="00402AEC">
        <w:rPr>
          <w:lang w:val="en-GB"/>
        </w:rPr>
        <w:t xml:space="preserve">, nationality of the first author and type of research. Furthermore, </w:t>
      </w:r>
      <w:r w:rsidR="00FB7AD9" w:rsidRPr="00402AEC">
        <w:rPr>
          <w:lang w:val="en-GB"/>
        </w:rPr>
        <w:t>documents</w:t>
      </w:r>
      <w:r w:rsidR="00040E2A" w:rsidRPr="00402AEC">
        <w:rPr>
          <w:lang w:val="en-GB"/>
        </w:rPr>
        <w:t xml:space="preserve"> have been clustered in</w:t>
      </w:r>
      <w:r w:rsidR="00D86280" w:rsidRPr="00402AEC">
        <w:rPr>
          <w:lang w:val="en-GB"/>
        </w:rPr>
        <w:t>to</w:t>
      </w:r>
      <w:r w:rsidR="00040E2A" w:rsidRPr="00402AEC">
        <w:rPr>
          <w:lang w:val="en-GB"/>
        </w:rPr>
        <w:t xml:space="preserve"> 8 macro topics (</w:t>
      </w:r>
      <w:r w:rsidR="00FB7AD9" w:rsidRPr="00402AEC">
        <w:rPr>
          <w:lang w:val="en-GB"/>
        </w:rPr>
        <w:t xml:space="preserve">e.g. </w:t>
      </w:r>
      <w:r w:rsidR="00040E2A" w:rsidRPr="00402AEC">
        <w:rPr>
          <w:lang w:val="en-GB"/>
        </w:rPr>
        <w:t>CBM design, industrial strategies, governmental policies, environmental impact, circular design, theoretical analysis, societal impact, new technologies)</w:t>
      </w:r>
      <w:r w:rsidR="00403625" w:rsidRPr="00402AEC">
        <w:rPr>
          <w:lang w:val="en-GB"/>
        </w:rPr>
        <w:t xml:space="preserve"> </w:t>
      </w:r>
      <w:r w:rsidR="00040E2A" w:rsidRPr="00402AEC">
        <w:rPr>
          <w:lang w:val="en-GB"/>
        </w:rPr>
        <w:t>detected through a keywords analysis</w:t>
      </w:r>
      <w:r w:rsidR="004531D5" w:rsidRPr="00402AEC">
        <w:rPr>
          <w:lang w:val="en-GB"/>
        </w:rPr>
        <w:t xml:space="preserve"> (i.e. progressively gathering and grouping articles by keywords)</w:t>
      </w:r>
      <w:r w:rsidR="00403625" w:rsidRPr="00402AEC">
        <w:rPr>
          <w:lang w:val="en-GB"/>
        </w:rPr>
        <w:t xml:space="preserve"> </w:t>
      </w:r>
      <w:r w:rsidR="008530D4" w:rsidRPr="00402AEC">
        <w:rPr>
          <w:lang w:val="en-GB"/>
        </w:rPr>
        <w:t>and</w:t>
      </w:r>
      <w:r w:rsidR="00040E2A" w:rsidRPr="00402AEC">
        <w:rPr>
          <w:lang w:val="en-GB"/>
        </w:rPr>
        <w:t xml:space="preserve"> further</w:t>
      </w:r>
      <w:r w:rsidR="00403625" w:rsidRPr="00402AEC">
        <w:rPr>
          <w:lang w:val="en-GB"/>
        </w:rPr>
        <w:t>ly</w:t>
      </w:r>
      <w:r w:rsidR="00040E2A" w:rsidRPr="00402AEC">
        <w:rPr>
          <w:lang w:val="en-GB"/>
        </w:rPr>
        <w:t xml:space="preserve"> declined in 35 detailed topics. </w:t>
      </w:r>
    </w:p>
    <w:p w14:paraId="33DE9DDE" w14:textId="72E2CA6B" w:rsidR="00DF4A5F" w:rsidRPr="00402AEC" w:rsidRDefault="00737CCB" w:rsidP="00DF4A5F">
      <w:pPr>
        <w:spacing w:after="160" w:line="360" w:lineRule="auto"/>
        <w:rPr>
          <w:rFonts w:eastAsia="Times New Roman"/>
          <w:i/>
          <w:lang w:val="en-GB"/>
        </w:rPr>
      </w:pPr>
      <w:r w:rsidRPr="00402AEC">
        <w:rPr>
          <w:rFonts w:eastAsia="Times New Roman"/>
          <w:i/>
          <w:lang w:val="en-GB"/>
        </w:rPr>
        <w:t>3</w:t>
      </w:r>
      <w:r w:rsidR="00DF4A5F" w:rsidRPr="00402AEC">
        <w:rPr>
          <w:rFonts w:eastAsia="Times New Roman"/>
          <w:i/>
          <w:lang w:val="en-GB"/>
        </w:rPr>
        <w:t>.1 Descriptive characterization of the sample</w:t>
      </w:r>
    </w:p>
    <w:p w14:paraId="27B9FAB1" w14:textId="47AE7F2D" w:rsidR="0049249F" w:rsidRPr="00402AEC" w:rsidRDefault="00DF4A5F" w:rsidP="00DF4A5F">
      <w:pPr>
        <w:spacing w:after="240" w:line="360" w:lineRule="auto"/>
        <w:jc w:val="both"/>
        <w:rPr>
          <w:lang w:val="en-GB"/>
        </w:rPr>
      </w:pPr>
      <w:r w:rsidRPr="00402AEC">
        <w:rPr>
          <w:lang w:val="en-GB"/>
        </w:rPr>
        <w:t xml:space="preserve">Results reported in Table 1 </w:t>
      </w:r>
      <w:r w:rsidRPr="00402AEC">
        <w:rPr>
          <w:lang w:val="en-GB" w:bidi="en-US"/>
        </w:rPr>
        <w:t>unveiled that the attractiveness of CBMs increased from 2015</w:t>
      </w:r>
      <w:r w:rsidR="001E6871" w:rsidRPr="00402AEC">
        <w:rPr>
          <w:lang w:val="en-GB" w:bidi="en-US"/>
        </w:rPr>
        <w:t xml:space="preserve"> onwards</w:t>
      </w:r>
      <w:r w:rsidRPr="00402AEC">
        <w:rPr>
          <w:lang w:val="en-GB" w:bidi="en-US"/>
        </w:rPr>
        <w:t xml:space="preserve">. </w:t>
      </w:r>
      <w:r w:rsidRPr="00402AEC">
        <w:rPr>
          <w:lang w:val="en-GB"/>
        </w:rPr>
        <w:t>The first round included "Circular Economy" AND "Business Model"</w:t>
      </w:r>
      <w:r w:rsidR="00682DA3" w:rsidRPr="00402AEC">
        <w:rPr>
          <w:lang w:val="en-GB"/>
        </w:rPr>
        <w:t xml:space="preserve">, </w:t>
      </w:r>
      <w:r w:rsidRPr="00402AEC">
        <w:rPr>
          <w:lang w:val="en-GB"/>
        </w:rPr>
        <w:t>providing 661 results constantly growing along the period (</w:t>
      </w:r>
      <w:r w:rsidR="00786CAD" w:rsidRPr="00402AEC">
        <w:rPr>
          <w:lang w:val="en-GB"/>
        </w:rPr>
        <w:t>see Figure 2</w:t>
      </w:r>
      <w:r w:rsidRPr="00402AEC">
        <w:rPr>
          <w:lang w:val="en-GB"/>
        </w:rPr>
        <w:t xml:space="preserve">). This highlights the relevance of the topic in </w:t>
      </w:r>
      <w:r w:rsidRPr="00402AEC">
        <w:rPr>
          <w:lang w:val="en-GB"/>
        </w:rPr>
        <w:lastRenderedPageBreak/>
        <w:t>literature. Due to the high number of contributions, a second search</w:t>
      </w:r>
      <w:r w:rsidR="00C33D60" w:rsidRPr="00C33D60">
        <w:rPr>
          <w:lang w:val="en-GB"/>
        </w:rPr>
        <w:t xml:space="preserve"> </w:t>
      </w:r>
      <w:r w:rsidR="00C33D60" w:rsidRPr="00402AEC">
        <w:rPr>
          <w:lang w:val="en-GB"/>
        </w:rPr>
        <w:t>has been conducted</w:t>
      </w:r>
      <w:r w:rsidRPr="00402AEC">
        <w:rPr>
          <w:lang w:val="en-GB"/>
        </w:rPr>
        <w:t xml:space="preserve">, using "Circular Business Model” </w:t>
      </w:r>
      <w:r w:rsidR="00485241" w:rsidRPr="00402AEC">
        <w:rPr>
          <w:lang w:val="en-GB"/>
        </w:rPr>
        <w:t>as keyword</w:t>
      </w:r>
      <w:r w:rsidR="00485241">
        <w:rPr>
          <w:lang w:val="en-GB"/>
        </w:rPr>
        <w:t>,</w:t>
      </w:r>
      <w:r w:rsidR="00DC23D3" w:rsidRPr="00402AEC">
        <w:rPr>
          <w:lang w:val="en-GB"/>
        </w:rPr>
        <w:t xml:space="preserve"> </w:t>
      </w:r>
      <w:r w:rsidRPr="00402AEC">
        <w:rPr>
          <w:lang w:val="en-GB"/>
        </w:rPr>
        <w:t xml:space="preserve">providing 95 results. A further search was </w:t>
      </w:r>
      <w:r w:rsidR="005818DE">
        <w:rPr>
          <w:lang w:val="en-GB"/>
        </w:rPr>
        <w:t>implemented</w:t>
      </w:r>
      <w:r w:rsidR="00DC23D3" w:rsidRPr="00402AEC">
        <w:rPr>
          <w:lang w:val="en-GB"/>
        </w:rPr>
        <w:t xml:space="preserve"> </w:t>
      </w:r>
      <w:r w:rsidRPr="00402AEC">
        <w:rPr>
          <w:lang w:val="en-GB"/>
        </w:rPr>
        <w:t>inserting “Circular Economy Business Model”</w:t>
      </w:r>
      <w:r w:rsidR="0032748E">
        <w:rPr>
          <w:lang w:val="en-GB"/>
        </w:rPr>
        <w:t xml:space="preserve"> </w:t>
      </w:r>
      <w:r w:rsidR="0032748E" w:rsidRPr="00402AEC">
        <w:rPr>
          <w:lang w:val="en-GB"/>
        </w:rPr>
        <w:t>as keyword</w:t>
      </w:r>
      <w:r w:rsidRPr="00402AEC">
        <w:rPr>
          <w:lang w:val="en-GB"/>
        </w:rPr>
        <w:t xml:space="preserve">, </w:t>
      </w:r>
      <w:r w:rsidR="006C4D5B" w:rsidRPr="00402AEC">
        <w:rPr>
          <w:lang w:val="en-GB"/>
        </w:rPr>
        <w:t>but</w:t>
      </w:r>
      <w:r w:rsidRPr="00402AEC">
        <w:rPr>
          <w:lang w:val="en-GB"/>
        </w:rPr>
        <w:t xml:space="preserve"> </w:t>
      </w:r>
      <w:r w:rsidR="0032748E">
        <w:rPr>
          <w:lang w:val="en-GB"/>
        </w:rPr>
        <w:t xml:space="preserve">very </w:t>
      </w:r>
      <w:r w:rsidR="00490DD6" w:rsidRPr="00402AEC">
        <w:rPr>
          <w:lang w:val="en-GB"/>
        </w:rPr>
        <w:t>few</w:t>
      </w:r>
      <w:r w:rsidRPr="00402AEC">
        <w:rPr>
          <w:lang w:val="en-GB"/>
        </w:rPr>
        <w:t xml:space="preserve"> contributions</w:t>
      </w:r>
      <w:r w:rsidR="008819C8">
        <w:rPr>
          <w:lang w:val="en-GB"/>
        </w:rPr>
        <w:t xml:space="preserve"> were gathered from it</w:t>
      </w:r>
      <w:r w:rsidRPr="00402AEC">
        <w:rPr>
          <w:lang w:val="en-GB"/>
        </w:rPr>
        <w:t xml:space="preserve">. These numbers reveal </w:t>
      </w:r>
      <w:r w:rsidR="00FC136E">
        <w:rPr>
          <w:lang w:val="en-GB"/>
        </w:rPr>
        <w:t xml:space="preserve">not only </w:t>
      </w:r>
      <w:r w:rsidR="00A12F70" w:rsidRPr="00402AEC">
        <w:rPr>
          <w:lang w:val="en-GB"/>
        </w:rPr>
        <w:t>the</w:t>
      </w:r>
      <w:r w:rsidRPr="00402AEC">
        <w:rPr>
          <w:lang w:val="en-GB"/>
        </w:rPr>
        <w:t xml:space="preserve"> interest raised by academics in this research context</w:t>
      </w:r>
      <w:r w:rsidR="00A12F70" w:rsidRPr="00402AEC">
        <w:rPr>
          <w:lang w:val="en-GB"/>
        </w:rPr>
        <w:t>,</w:t>
      </w:r>
      <w:r w:rsidRPr="00402AEC">
        <w:rPr>
          <w:lang w:val="en-GB"/>
        </w:rPr>
        <w:t xml:space="preserve"> but also t</w:t>
      </w:r>
      <w:r w:rsidR="00E00A7F" w:rsidRPr="00402AEC">
        <w:rPr>
          <w:lang w:val="en-GB"/>
        </w:rPr>
        <w:t>he need</w:t>
      </w:r>
      <w:r w:rsidRPr="00402AEC">
        <w:rPr>
          <w:lang w:val="en-GB"/>
        </w:rPr>
        <w:t xml:space="preserve"> </w:t>
      </w:r>
      <w:r w:rsidR="00E00A7F" w:rsidRPr="00402AEC">
        <w:rPr>
          <w:lang w:val="en-GB"/>
        </w:rPr>
        <w:t xml:space="preserve">for </w:t>
      </w:r>
      <w:r w:rsidRPr="00402AEC">
        <w:rPr>
          <w:lang w:val="en-GB"/>
        </w:rPr>
        <w:t>further investigat</w:t>
      </w:r>
      <w:r w:rsidR="00E00A7F" w:rsidRPr="00402AEC">
        <w:rPr>
          <w:lang w:val="en-GB"/>
        </w:rPr>
        <w:t>ion</w:t>
      </w:r>
      <w:r w:rsidRPr="00402AEC">
        <w:rPr>
          <w:lang w:val="en-GB"/>
        </w:rPr>
        <w:t xml:space="preserve"> </w:t>
      </w:r>
      <w:r w:rsidR="00E00A7F" w:rsidRPr="00402AEC">
        <w:rPr>
          <w:lang w:val="en-GB"/>
        </w:rPr>
        <w:t xml:space="preserve">on </w:t>
      </w:r>
      <w:r w:rsidRPr="00402AEC">
        <w:rPr>
          <w:lang w:val="en-GB"/>
        </w:rPr>
        <w:t>the</w:t>
      </w:r>
      <w:r w:rsidR="00F0122D" w:rsidRPr="00402AEC">
        <w:rPr>
          <w:lang w:val="en-GB"/>
        </w:rPr>
        <w:t>se</w:t>
      </w:r>
      <w:r w:rsidRPr="00402AEC">
        <w:rPr>
          <w:lang w:val="en-GB"/>
        </w:rPr>
        <w:t xml:space="preserve"> topic</w:t>
      </w:r>
      <w:r w:rsidR="00F0122D" w:rsidRPr="00402AEC">
        <w:rPr>
          <w:lang w:val="en-GB"/>
        </w:rPr>
        <w:t>s</w:t>
      </w:r>
      <w:r w:rsidRPr="00402AEC">
        <w:rPr>
          <w:lang w:val="en-GB"/>
        </w:rPr>
        <w:t xml:space="preserve">. </w:t>
      </w:r>
      <w:r w:rsidR="0049249F" w:rsidRPr="00402AEC">
        <w:rPr>
          <w:lang w:val="en-GB"/>
        </w:rPr>
        <w:t xml:space="preserve">Furthermore, </w:t>
      </w:r>
      <w:r w:rsidR="00A477F9" w:rsidRPr="00402AEC">
        <w:rPr>
          <w:lang w:val="en-GB"/>
        </w:rPr>
        <w:t xml:space="preserve">the same trends can be found through word searches conducted </w:t>
      </w:r>
      <w:r w:rsidR="00961301">
        <w:rPr>
          <w:lang w:val="en-GB"/>
        </w:rPr>
        <w:t>with</w:t>
      </w:r>
      <w:r w:rsidR="00A477F9" w:rsidRPr="00402AEC">
        <w:rPr>
          <w:lang w:val="en-GB"/>
        </w:rPr>
        <w:t xml:space="preserve"> other search engines.</w:t>
      </w:r>
    </w:p>
    <w:p w14:paraId="7E5B2456" w14:textId="7DCC6C0D" w:rsidR="00DF4A5F" w:rsidRPr="00402AEC" w:rsidRDefault="001057B5" w:rsidP="00DF4A5F">
      <w:pPr>
        <w:spacing w:after="240" w:line="360" w:lineRule="auto"/>
        <w:jc w:val="both"/>
        <w:rPr>
          <w:lang w:val="en-GB" w:bidi="en-US"/>
        </w:rPr>
      </w:pPr>
      <w:r w:rsidRPr="00402AEC">
        <w:rPr>
          <w:lang w:val="en-GB" w:bidi="en-US"/>
        </w:rPr>
        <w:t xml:space="preserve">Figure </w:t>
      </w:r>
      <w:r w:rsidR="00761076">
        <w:rPr>
          <w:lang w:val="en-GB" w:bidi="en-US"/>
        </w:rPr>
        <w:t>2</w:t>
      </w:r>
      <w:r w:rsidR="006D5811" w:rsidRPr="00402AEC">
        <w:rPr>
          <w:lang w:val="en-GB" w:bidi="en-US"/>
        </w:rPr>
        <w:t xml:space="preserve"> </w:t>
      </w:r>
      <w:r w:rsidR="00DF4A5F" w:rsidRPr="00402AEC">
        <w:rPr>
          <w:lang w:val="en-GB" w:bidi="en-US"/>
        </w:rPr>
        <w:t>displays results of the search</w:t>
      </w:r>
      <w:r w:rsidR="00E925BD" w:rsidRPr="00402AEC">
        <w:rPr>
          <w:lang w:val="en-GB" w:bidi="en-US"/>
        </w:rPr>
        <w:t>ing</w:t>
      </w:r>
      <w:r w:rsidR="00DF4A5F" w:rsidRPr="00402AEC">
        <w:rPr>
          <w:lang w:val="en-GB" w:bidi="en-US"/>
        </w:rPr>
        <w:t xml:space="preserve"> process, in terms of number of articles per year and publications trend. The total amount of </w:t>
      </w:r>
      <w:r w:rsidR="00D8735F" w:rsidRPr="00402AEC">
        <w:rPr>
          <w:lang w:val="en-GB" w:bidi="en-US"/>
        </w:rPr>
        <w:t xml:space="preserve">283 </w:t>
      </w:r>
      <w:r w:rsidR="00DF4A5F" w:rsidRPr="00402AEC">
        <w:rPr>
          <w:lang w:val="en-GB" w:bidi="en-US"/>
        </w:rPr>
        <w:t>articles reveals the relevant attention devoted to this topic (from 2000 up to 2018-first quarter) by the experts, especially in 2016 and 2017</w:t>
      </w:r>
      <w:r w:rsidR="00A655C0" w:rsidRPr="00402AEC">
        <w:rPr>
          <w:lang w:val="en-GB" w:bidi="en-US"/>
        </w:rPr>
        <w:t>.</w:t>
      </w:r>
      <w:r w:rsidR="00DF4A5F" w:rsidRPr="00402AEC">
        <w:rPr>
          <w:lang w:val="en-GB" w:bidi="en-US"/>
        </w:rPr>
        <w:t xml:space="preserve"> </w:t>
      </w:r>
      <w:r w:rsidR="00A655C0" w:rsidRPr="00402AEC">
        <w:rPr>
          <w:lang w:val="en-GB" w:bidi="en-US"/>
        </w:rPr>
        <w:t>A</w:t>
      </w:r>
      <w:r w:rsidR="00DF4A5F" w:rsidRPr="00402AEC">
        <w:rPr>
          <w:lang w:val="en-GB"/>
        </w:rPr>
        <w:t>n inflection point occurs around 2015, after which annual publication rates accelerate.</w:t>
      </w:r>
      <w:r w:rsidR="00DF4A5F" w:rsidRPr="00402AEC">
        <w:rPr>
          <w:lang w:val="en-GB" w:bidi="en-US"/>
        </w:rPr>
        <w:t xml:space="preserve"> A total of 158 articles were published in scientific journals with impact factor, 26 in scientific journals without impact factor, 64 in proceedings of scientific conferences, 24 scientific reports, 8 book chapters and 2 industrial reports.</w:t>
      </w:r>
    </w:p>
    <w:p w14:paraId="098DFD84" w14:textId="4556EEDE" w:rsidR="00DF4A5F" w:rsidRPr="00402AEC" w:rsidRDefault="00317C36" w:rsidP="00DF4A5F">
      <w:pPr>
        <w:spacing w:line="360" w:lineRule="auto"/>
        <w:rPr>
          <w:lang w:val="en-GB" w:bidi="en-US"/>
        </w:rPr>
      </w:pPr>
      <w:r w:rsidRPr="00BF2F60">
        <w:rPr>
          <w:noProof/>
        </w:rPr>
        <w:drawing>
          <wp:anchor distT="0" distB="0" distL="114300" distR="114300" simplePos="0" relativeHeight="251663360" behindDoc="0" locked="0" layoutInCell="1" allowOverlap="1" wp14:anchorId="75257B38" wp14:editId="303AFC05">
            <wp:simplePos x="0" y="0"/>
            <wp:positionH relativeFrom="margin">
              <wp:align>center</wp:align>
            </wp:positionH>
            <wp:positionV relativeFrom="paragraph">
              <wp:posOffset>189230</wp:posOffset>
            </wp:positionV>
            <wp:extent cx="5760000" cy="3370782"/>
            <wp:effectExtent l="0" t="0" r="0" b="1270"/>
            <wp:wrapSquare wrapText="bothSides"/>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000" cy="3370782"/>
                    </a:xfrm>
                    <a:prstGeom prst="rect">
                      <a:avLst/>
                    </a:prstGeom>
                    <a:noFill/>
                  </pic:spPr>
                </pic:pic>
              </a:graphicData>
            </a:graphic>
            <wp14:sizeRelH relativeFrom="margin">
              <wp14:pctWidth>0</wp14:pctWidth>
            </wp14:sizeRelH>
            <wp14:sizeRelV relativeFrom="margin">
              <wp14:pctHeight>0</wp14:pctHeight>
            </wp14:sizeRelV>
          </wp:anchor>
        </w:drawing>
      </w:r>
    </w:p>
    <w:p w14:paraId="2743779D" w14:textId="7CE0CBFF" w:rsidR="00DF4A5F" w:rsidRPr="00402AEC" w:rsidRDefault="00AE516B" w:rsidP="000C2B2F">
      <w:pPr>
        <w:spacing w:line="360" w:lineRule="auto"/>
        <w:jc w:val="center"/>
        <w:rPr>
          <w:lang w:val="en-GB" w:bidi="en-US"/>
        </w:rPr>
      </w:pPr>
      <w:bookmarkStart w:id="1" w:name="_Ref1982163"/>
      <w:r w:rsidRPr="00402AEC">
        <w:rPr>
          <w:b/>
          <w:lang w:val="en-GB"/>
        </w:rPr>
        <w:t xml:space="preserve">Figure </w:t>
      </w:r>
      <w:r w:rsidRPr="00746DB3">
        <w:rPr>
          <w:b/>
          <w:lang w:val="en-GB"/>
        </w:rPr>
        <w:fldChar w:fldCharType="begin"/>
      </w:r>
      <w:r w:rsidRPr="00402AEC">
        <w:rPr>
          <w:b/>
          <w:lang w:val="en-GB"/>
        </w:rPr>
        <w:instrText xml:space="preserve"> SEQ Figure \* ARABIC </w:instrText>
      </w:r>
      <w:r w:rsidRPr="00746DB3">
        <w:rPr>
          <w:b/>
          <w:lang w:val="en-GB"/>
        </w:rPr>
        <w:fldChar w:fldCharType="separate"/>
      </w:r>
      <w:r w:rsidR="008F7F15">
        <w:rPr>
          <w:b/>
          <w:noProof/>
          <w:lang w:val="en-GB"/>
        </w:rPr>
        <w:t>2</w:t>
      </w:r>
      <w:r w:rsidRPr="00746DB3">
        <w:rPr>
          <w:b/>
          <w:lang w:val="en-GB"/>
        </w:rPr>
        <w:fldChar w:fldCharType="end"/>
      </w:r>
      <w:bookmarkEnd w:id="1"/>
      <w:r w:rsidRPr="00402AEC">
        <w:rPr>
          <w:b/>
          <w:lang w:val="en-GB"/>
        </w:rPr>
        <w:t>.</w:t>
      </w:r>
      <w:r w:rsidRPr="00402AEC">
        <w:rPr>
          <w:lang w:val="en-GB"/>
        </w:rPr>
        <w:t xml:space="preserve"> </w:t>
      </w:r>
      <w:r w:rsidR="009E5C98" w:rsidRPr="00402AEC">
        <w:rPr>
          <w:lang w:val="en-GB"/>
        </w:rPr>
        <w:t>Historical series of published articles</w:t>
      </w:r>
      <w:r w:rsidR="00DF4A5F" w:rsidRPr="00402AEC">
        <w:rPr>
          <w:lang w:val="en-GB" w:bidi="en-US"/>
        </w:rPr>
        <w:br w:type="textWrapping" w:clear="all"/>
      </w:r>
    </w:p>
    <w:p w14:paraId="62508086" w14:textId="070B2C6E" w:rsidR="00DF4A5F" w:rsidRPr="00402AEC" w:rsidRDefault="00DF4A5F" w:rsidP="00DF4A5F">
      <w:pPr>
        <w:spacing w:after="240" w:line="360" w:lineRule="auto"/>
        <w:jc w:val="both"/>
        <w:rPr>
          <w:lang w:val="en-GB" w:bidi="en-US"/>
        </w:rPr>
      </w:pPr>
      <w:r w:rsidRPr="00402AEC">
        <w:rPr>
          <w:lang w:val="en-GB" w:bidi="en-US"/>
        </w:rPr>
        <w:t xml:space="preserve">As shown in </w:t>
      </w:r>
      <w:r w:rsidR="001057B5" w:rsidRPr="00402AEC">
        <w:rPr>
          <w:lang w:val="en-GB" w:bidi="en-US"/>
        </w:rPr>
        <w:t>Figure 3</w:t>
      </w:r>
      <w:r w:rsidRPr="00402AEC">
        <w:rPr>
          <w:lang w:val="en-GB" w:bidi="en-US"/>
        </w:rPr>
        <w:t xml:space="preserve">, 32,5% of the articles (92 </w:t>
      </w:r>
      <w:r w:rsidR="006F6EB3" w:rsidRPr="00402AEC">
        <w:rPr>
          <w:lang w:val="en-GB" w:bidi="en-US"/>
        </w:rPr>
        <w:t xml:space="preserve">out </w:t>
      </w:r>
      <w:r w:rsidRPr="00402AEC">
        <w:rPr>
          <w:lang w:val="en-GB" w:bidi="en-US"/>
        </w:rPr>
        <w:t xml:space="preserve">of 283) have been published in five </w:t>
      </w:r>
      <w:r w:rsidR="00F70CD5" w:rsidRPr="00402AEC">
        <w:rPr>
          <w:lang w:val="en-GB" w:bidi="en-US"/>
        </w:rPr>
        <w:t xml:space="preserve">top </w:t>
      </w:r>
      <w:r w:rsidRPr="00402AEC">
        <w:rPr>
          <w:lang w:val="en-GB" w:bidi="en-US"/>
        </w:rPr>
        <w:t>scientific journals, and the</w:t>
      </w:r>
      <w:r w:rsidR="00F70CD5" w:rsidRPr="00402AEC">
        <w:rPr>
          <w:lang w:val="en-GB" w:bidi="en-US"/>
        </w:rPr>
        <w:t xml:space="preserve"> most popular one</w:t>
      </w:r>
      <w:r w:rsidRPr="00402AEC">
        <w:rPr>
          <w:lang w:val="en-GB" w:bidi="en-US"/>
        </w:rPr>
        <w:t xml:space="preserve"> </w:t>
      </w:r>
      <w:r w:rsidR="00F70CD5" w:rsidRPr="00402AEC">
        <w:rPr>
          <w:lang w:val="en-GB" w:bidi="en-US"/>
        </w:rPr>
        <w:t>is</w:t>
      </w:r>
      <w:r w:rsidRPr="00402AEC">
        <w:rPr>
          <w:lang w:val="en-GB" w:bidi="en-US"/>
        </w:rPr>
        <w:t xml:space="preserve"> </w:t>
      </w:r>
      <w:r w:rsidRPr="00402AEC">
        <w:rPr>
          <w:i/>
          <w:lang w:val="en-GB" w:bidi="en-US"/>
        </w:rPr>
        <w:t>Journal of Cleaner Production</w:t>
      </w:r>
      <w:r w:rsidRPr="00402AEC">
        <w:rPr>
          <w:lang w:val="en-GB" w:bidi="en-US"/>
        </w:rPr>
        <w:t>.</w:t>
      </w:r>
    </w:p>
    <w:p w14:paraId="455F8140" w14:textId="77777777" w:rsidR="00DF4A5F" w:rsidRPr="00402AEC" w:rsidRDefault="00DF4A5F" w:rsidP="00DF4A5F">
      <w:pPr>
        <w:keepNext/>
        <w:spacing w:line="360" w:lineRule="auto"/>
        <w:jc w:val="center"/>
        <w:rPr>
          <w:lang w:val="en-GB"/>
        </w:rPr>
      </w:pPr>
      <w:r w:rsidRPr="00BF2F60">
        <w:rPr>
          <w:noProof/>
        </w:rPr>
        <w:lastRenderedPageBreak/>
        <w:drawing>
          <wp:inline distT="0" distB="0" distL="0" distR="0" wp14:anchorId="6FAF1E44" wp14:editId="2C28F7A9">
            <wp:extent cx="4798060" cy="2170430"/>
            <wp:effectExtent l="0" t="0" r="2540" b="127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98060" cy="2170430"/>
                    </a:xfrm>
                    <a:prstGeom prst="rect">
                      <a:avLst/>
                    </a:prstGeom>
                    <a:noFill/>
                  </pic:spPr>
                </pic:pic>
              </a:graphicData>
            </a:graphic>
          </wp:inline>
        </w:drawing>
      </w:r>
    </w:p>
    <w:p w14:paraId="7BEE55A7" w14:textId="22FE5C48" w:rsidR="00DF4A5F" w:rsidRPr="00402AEC" w:rsidRDefault="00AE516B" w:rsidP="00DF4A5F">
      <w:pPr>
        <w:pStyle w:val="Didascalia"/>
        <w:spacing w:line="360" w:lineRule="auto"/>
        <w:jc w:val="center"/>
        <w:rPr>
          <w:b w:val="0"/>
          <w:sz w:val="24"/>
          <w:lang w:val="en-GB"/>
        </w:rPr>
      </w:pPr>
      <w:bookmarkStart w:id="2" w:name="_Ref1982150"/>
      <w:r w:rsidRPr="00402AEC">
        <w:rPr>
          <w:caps w:val="0"/>
          <w:sz w:val="24"/>
          <w:szCs w:val="24"/>
          <w:lang w:val="en-GB"/>
        </w:rPr>
        <w:t xml:space="preserve">Figure </w:t>
      </w:r>
      <w:r w:rsidRPr="00746DB3">
        <w:rPr>
          <w:sz w:val="24"/>
          <w:szCs w:val="24"/>
          <w:lang w:val="en-GB"/>
        </w:rPr>
        <w:fldChar w:fldCharType="begin"/>
      </w:r>
      <w:r w:rsidRPr="00402AEC">
        <w:rPr>
          <w:sz w:val="24"/>
          <w:szCs w:val="24"/>
          <w:lang w:val="en-GB"/>
        </w:rPr>
        <w:instrText xml:space="preserve"> SEQ Figure \* ARABIC </w:instrText>
      </w:r>
      <w:r w:rsidRPr="00746DB3">
        <w:rPr>
          <w:sz w:val="24"/>
          <w:szCs w:val="24"/>
          <w:lang w:val="en-GB"/>
        </w:rPr>
        <w:fldChar w:fldCharType="separate"/>
      </w:r>
      <w:r w:rsidR="008F7F15">
        <w:rPr>
          <w:noProof/>
          <w:sz w:val="24"/>
          <w:szCs w:val="24"/>
          <w:lang w:val="en-GB"/>
        </w:rPr>
        <w:t>3</w:t>
      </w:r>
      <w:r w:rsidRPr="00746DB3">
        <w:rPr>
          <w:sz w:val="24"/>
          <w:szCs w:val="24"/>
          <w:lang w:val="en-GB"/>
        </w:rPr>
        <w:fldChar w:fldCharType="end"/>
      </w:r>
      <w:bookmarkEnd w:id="2"/>
      <w:r w:rsidRPr="00402AEC">
        <w:rPr>
          <w:caps w:val="0"/>
          <w:sz w:val="24"/>
          <w:szCs w:val="24"/>
          <w:lang w:val="en-GB"/>
        </w:rPr>
        <w:t>.</w:t>
      </w:r>
      <w:r w:rsidRPr="00402AEC">
        <w:rPr>
          <w:caps w:val="0"/>
          <w:sz w:val="22"/>
          <w:lang w:val="en-GB"/>
        </w:rPr>
        <w:t xml:space="preserve"> </w:t>
      </w:r>
      <w:r w:rsidR="00DF4A5F" w:rsidRPr="00402AEC">
        <w:rPr>
          <w:b w:val="0"/>
          <w:caps w:val="0"/>
          <w:sz w:val="24"/>
          <w:lang w:val="en-GB"/>
        </w:rPr>
        <w:t>Top five journals</w:t>
      </w:r>
    </w:p>
    <w:p w14:paraId="0158ECF8" w14:textId="77777777" w:rsidR="00DF4A5F" w:rsidRPr="00402AEC" w:rsidRDefault="00DF4A5F" w:rsidP="00DF4A5F">
      <w:pPr>
        <w:spacing w:line="360" w:lineRule="auto"/>
        <w:jc w:val="both"/>
        <w:rPr>
          <w:lang w:val="en-GB" w:bidi="en-US"/>
        </w:rPr>
      </w:pPr>
    </w:p>
    <w:p w14:paraId="1A51A644" w14:textId="52F70046" w:rsidR="00DF4A5F" w:rsidRPr="00402AEC" w:rsidRDefault="00DF4A5F" w:rsidP="00746DB3">
      <w:pPr>
        <w:spacing w:after="240" w:line="360" w:lineRule="auto"/>
        <w:jc w:val="both"/>
        <w:rPr>
          <w:lang w:val="en-GB" w:bidi="en-US"/>
        </w:rPr>
      </w:pPr>
      <w:r w:rsidRPr="00402AEC">
        <w:rPr>
          <w:lang w:val="en-GB" w:bidi="en-US"/>
        </w:rPr>
        <w:t xml:space="preserve">In general terms, the literature assesses CBMs </w:t>
      </w:r>
      <w:r w:rsidR="00487F17" w:rsidRPr="00402AEC">
        <w:rPr>
          <w:lang w:val="en-GB" w:bidi="en-US"/>
        </w:rPr>
        <w:t>considering</w:t>
      </w:r>
      <w:r w:rsidRPr="00402AEC">
        <w:rPr>
          <w:lang w:val="en-GB" w:bidi="en-US"/>
        </w:rPr>
        <w:t xml:space="preserve"> </w:t>
      </w:r>
      <w:r w:rsidR="00487F17" w:rsidRPr="00402AEC">
        <w:rPr>
          <w:lang w:val="en-GB" w:bidi="en-US"/>
        </w:rPr>
        <w:t xml:space="preserve">either </w:t>
      </w:r>
      <w:r w:rsidRPr="00402AEC">
        <w:rPr>
          <w:lang w:val="en-GB" w:bidi="en-US"/>
        </w:rPr>
        <w:t>a theoretical</w:t>
      </w:r>
      <w:r w:rsidR="00E865F4">
        <w:rPr>
          <w:lang w:val="en-GB" w:bidi="en-US"/>
        </w:rPr>
        <w:t>/analytical</w:t>
      </w:r>
      <w:r w:rsidRPr="00402AEC">
        <w:rPr>
          <w:lang w:val="en-GB" w:bidi="en-US"/>
        </w:rPr>
        <w:t xml:space="preserve"> </w:t>
      </w:r>
      <w:r w:rsidR="00487F17" w:rsidRPr="00402AEC">
        <w:rPr>
          <w:lang w:val="en-GB" w:bidi="en-US"/>
        </w:rPr>
        <w:t>or</w:t>
      </w:r>
      <w:r w:rsidRPr="00402AEC">
        <w:rPr>
          <w:lang w:val="en-GB" w:bidi="en-US"/>
        </w:rPr>
        <w:t xml:space="preserve"> a practical view. In the first case, the intent is </w:t>
      </w:r>
      <w:r w:rsidR="00A56A9C" w:rsidRPr="00402AEC">
        <w:rPr>
          <w:lang w:val="en-GB" w:bidi="en-US"/>
        </w:rPr>
        <w:t xml:space="preserve">presenting the </w:t>
      </w:r>
      <w:r w:rsidR="006E3C69" w:rsidRPr="00402AEC">
        <w:rPr>
          <w:lang w:val="en-GB" w:bidi="en-US"/>
        </w:rPr>
        <w:t>main</w:t>
      </w:r>
      <w:r w:rsidRPr="00402AEC">
        <w:rPr>
          <w:lang w:val="en-GB" w:bidi="en-US"/>
        </w:rPr>
        <w:t xml:space="preserve"> concepts </w:t>
      </w:r>
      <w:r w:rsidR="006E3C69" w:rsidRPr="00402AEC">
        <w:rPr>
          <w:lang w:val="en-GB" w:bidi="en-US"/>
        </w:rPr>
        <w:t>of CE and CBMs</w:t>
      </w:r>
      <w:r w:rsidR="00A67A1E" w:rsidRPr="00402AEC">
        <w:rPr>
          <w:lang w:val="en-GB" w:bidi="en-US"/>
        </w:rPr>
        <w:t xml:space="preserve"> to </w:t>
      </w:r>
      <w:r w:rsidR="00E865F4">
        <w:rPr>
          <w:lang w:val="en-GB" w:bidi="en-US"/>
        </w:rPr>
        <w:t>a</w:t>
      </w:r>
      <w:r w:rsidR="00E865F4" w:rsidRPr="00402AEC">
        <w:rPr>
          <w:lang w:val="en-GB" w:bidi="en-US"/>
        </w:rPr>
        <w:t xml:space="preserve"> </w:t>
      </w:r>
      <w:r w:rsidR="00E865F4">
        <w:rPr>
          <w:lang w:val="en-GB" w:bidi="en-US"/>
        </w:rPr>
        <w:t xml:space="preserve">general </w:t>
      </w:r>
      <w:r w:rsidR="00A67A1E" w:rsidRPr="00402AEC">
        <w:rPr>
          <w:lang w:val="en-GB" w:bidi="en-US"/>
        </w:rPr>
        <w:t>public</w:t>
      </w:r>
      <w:r w:rsidR="001E260D" w:rsidRPr="00402AEC">
        <w:rPr>
          <w:lang w:val="en-GB" w:bidi="en-US"/>
        </w:rPr>
        <w:t xml:space="preserve">, </w:t>
      </w:r>
      <w:r w:rsidR="001D33E4">
        <w:rPr>
          <w:lang w:val="en-GB" w:bidi="en-US"/>
        </w:rPr>
        <w:t>in terms of</w:t>
      </w:r>
      <w:r w:rsidR="00624811">
        <w:rPr>
          <w:lang w:val="en-GB" w:bidi="en-US"/>
        </w:rPr>
        <w:t xml:space="preserve"> </w:t>
      </w:r>
      <w:r w:rsidR="00E24DAC" w:rsidRPr="00402AEC">
        <w:rPr>
          <w:lang w:val="en-GB" w:bidi="en-US"/>
        </w:rPr>
        <w:t>strengths</w:t>
      </w:r>
      <w:r w:rsidR="007B30DA">
        <w:rPr>
          <w:lang w:val="en-GB" w:bidi="en-US"/>
        </w:rPr>
        <w:t xml:space="preserve"> and</w:t>
      </w:r>
      <w:r w:rsidR="00E24DAC" w:rsidRPr="00402AEC">
        <w:rPr>
          <w:lang w:val="en-GB" w:bidi="en-US"/>
        </w:rPr>
        <w:t xml:space="preserve"> weaknesses</w:t>
      </w:r>
      <w:r w:rsidR="00F8759E" w:rsidRPr="00402AEC">
        <w:rPr>
          <w:lang w:val="en-GB" w:bidi="en-US"/>
        </w:rPr>
        <w:t xml:space="preserve"> </w:t>
      </w:r>
      <w:r w:rsidR="007B30DA">
        <w:rPr>
          <w:lang w:val="en-GB" w:bidi="en-US"/>
        </w:rPr>
        <w:t xml:space="preserve">(112 articles) </w:t>
      </w:r>
      <w:r w:rsidR="00E32142">
        <w:rPr>
          <w:lang w:val="en-GB" w:bidi="en-US"/>
        </w:rPr>
        <w:t>or</w:t>
      </w:r>
      <w:r w:rsidR="00F8759E" w:rsidRPr="00402AEC">
        <w:rPr>
          <w:lang w:val="en-GB" w:bidi="en-US"/>
        </w:rPr>
        <w:t xml:space="preserve"> analytical assessments</w:t>
      </w:r>
      <w:r w:rsidR="00EE57C7">
        <w:rPr>
          <w:lang w:val="en-GB" w:bidi="en-US"/>
        </w:rPr>
        <w:t xml:space="preserve"> (95 articles)</w:t>
      </w:r>
      <w:r w:rsidRPr="00402AEC">
        <w:rPr>
          <w:lang w:val="en-GB" w:bidi="en-US"/>
        </w:rPr>
        <w:t xml:space="preserve">. In the second case, the final aim is </w:t>
      </w:r>
      <w:r w:rsidR="009137A6" w:rsidRPr="00402AEC">
        <w:rPr>
          <w:lang w:val="en-GB" w:bidi="en-US"/>
        </w:rPr>
        <w:t>describing</w:t>
      </w:r>
      <w:r w:rsidRPr="00402AEC">
        <w:rPr>
          <w:lang w:val="en-GB" w:bidi="en-US"/>
        </w:rPr>
        <w:t xml:space="preserve"> best practices through case studies</w:t>
      </w:r>
      <w:r w:rsidR="00B5048F" w:rsidRPr="00402AEC">
        <w:rPr>
          <w:lang w:val="en-GB" w:bidi="en-US"/>
        </w:rPr>
        <w:t xml:space="preserve"> </w:t>
      </w:r>
      <w:r w:rsidR="007B30DA">
        <w:rPr>
          <w:lang w:val="en-GB" w:bidi="en-US"/>
        </w:rPr>
        <w:t>(</w:t>
      </w:r>
      <w:r w:rsidR="00E32142">
        <w:rPr>
          <w:lang w:val="en-GB" w:bidi="en-US"/>
        </w:rPr>
        <w:t>58 articles</w:t>
      </w:r>
      <w:r w:rsidR="007B30DA">
        <w:rPr>
          <w:lang w:val="en-GB" w:bidi="en-US"/>
        </w:rPr>
        <w:t xml:space="preserve">) </w:t>
      </w:r>
      <w:r w:rsidR="00B5048F" w:rsidRPr="00402AEC">
        <w:rPr>
          <w:lang w:val="en-GB" w:bidi="en-US"/>
        </w:rPr>
        <w:t>or</w:t>
      </w:r>
      <w:r w:rsidRPr="00402AEC">
        <w:rPr>
          <w:lang w:val="en-GB" w:bidi="en-US"/>
        </w:rPr>
        <w:t xml:space="preserve"> surveys</w:t>
      </w:r>
      <w:r w:rsidR="00E32142">
        <w:rPr>
          <w:lang w:val="en-GB" w:bidi="en-US"/>
        </w:rPr>
        <w:t xml:space="preserve"> (18 articles)</w:t>
      </w:r>
      <w:r w:rsidR="004A0BEE">
        <w:rPr>
          <w:lang w:val="en-GB" w:bidi="en-US"/>
        </w:rPr>
        <w:t xml:space="preserve">. </w:t>
      </w:r>
      <w:r w:rsidRPr="00402AEC">
        <w:rPr>
          <w:lang w:val="en-GB" w:bidi="en-US"/>
        </w:rPr>
        <w:t>Th</w:t>
      </w:r>
      <w:r w:rsidR="008445E8">
        <w:rPr>
          <w:lang w:val="en-GB" w:bidi="en-US"/>
        </w:rPr>
        <w:t>is</w:t>
      </w:r>
      <w:r w:rsidRPr="00402AEC">
        <w:rPr>
          <w:lang w:val="en-GB" w:bidi="en-US"/>
        </w:rPr>
        <w:t xml:space="preserve"> </w:t>
      </w:r>
      <w:r w:rsidR="00DA63A9">
        <w:rPr>
          <w:lang w:val="en-GB" w:bidi="en-US"/>
        </w:rPr>
        <w:t>extract</w:t>
      </w:r>
      <w:r w:rsidRPr="00402AEC">
        <w:rPr>
          <w:lang w:val="en-GB" w:bidi="en-US"/>
        </w:rPr>
        <w:t xml:space="preserve"> </w:t>
      </w:r>
      <w:r w:rsidR="0010595F" w:rsidRPr="00402AEC">
        <w:rPr>
          <w:lang w:val="en-GB" w:bidi="en-US"/>
        </w:rPr>
        <w:t>shows</w:t>
      </w:r>
      <w:r w:rsidRPr="00402AEC">
        <w:rPr>
          <w:lang w:val="en-GB" w:bidi="en-US"/>
        </w:rPr>
        <w:t xml:space="preserve"> </w:t>
      </w:r>
      <w:r w:rsidR="0098083B" w:rsidRPr="00402AEC">
        <w:rPr>
          <w:lang w:val="en-GB" w:bidi="en-US"/>
        </w:rPr>
        <w:t xml:space="preserve">that </w:t>
      </w:r>
      <w:r w:rsidRPr="00402AEC">
        <w:rPr>
          <w:lang w:val="en-GB" w:bidi="en-US"/>
        </w:rPr>
        <w:t xml:space="preserve">studies </w:t>
      </w:r>
      <w:r w:rsidR="00500B51" w:rsidRPr="00402AEC">
        <w:rPr>
          <w:lang w:val="en-GB" w:bidi="en-US"/>
        </w:rPr>
        <w:t xml:space="preserve">not involving companies, both </w:t>
      </w:r>
      <w:r w:rsidRPr="00402AEC">
        <w:rPr>
          <w:lang w:val="en-GB" w:bidi="en-US"/>
        </w:rPr>
        <w:t>theoretical</w:t>
      </w:r>
      <w:r w:rsidR="00500B51" w:rsidRPr="00402AEC">
        <w:rPr>
          <w:lang w:val="en-GB" w:bidi="en-US"/>
        </w:rPr>
        <w:t xml:space="preserve"> (presenting a qualitative assessment of the </w:t>
      </w:r>
      <w:r w:rsidR="006453C8">
        <w:rPr>
          <w:lang w:val="en-GB" w:bidi="en-US"/>
        </w:rPr>
        <w:t>common knowledge</w:t>
      </w:r>
      <w:r w:rsidR="00500B51" w:rsidRPr="00402AEC">
        <w:rPr>
          <w:lang w:val="en-GB" w:bidi="en-US"/>
        </w:rPr>
        <w:t>)</w:t>
      </w:r>
      <w:r w:rsidRPr="00402AEC">
        <w:rPr>
          <w:lang w:val="en-GB" w:bidi="en-US"/>
        </w:rPr>
        <w:t xml:space="preserve"> and analytical</w:t>
      </w:r>
      <w:r w:rsidR="00500B51" w:rsidRPr="00402AEC">
        <w:rPr>
          <w:lang w:val="en-GB" w:bidi="en-US"/>
        </w:rPr>
        <w:t xml:space="preserve"> </w:t>
      </w:r>
      <w:r w:rsidR="00D05E8D" w:rsidRPr="00402AEC">
        <w:rPr>
          <w:lang w:val="en-GB" w:bidi="en-US"/>
        </w:rPr>
        <w:t xml:space="preserve">ones </w:t>
      </w:r>
      <w:r w:rsidR="00500B51" w:rsidRPr="00402AEC">
        <w:rPr>
          <w:lang w:val="en-GB" w:bidi="en-US"/>
        </w:rPr>
        <w:t xml:space="preserve">(performing a quantitative analysis through </w:t>
      </w:r>
      <w:r w:rsidR="008B01F7">
        <w:rPr>
          <w:lang w:val="en-GB" w:bidi="en-US"/>
        </w:rPr>
        <w:t xml:space="preserve">mathematical </w:t>
      </w:r>
      <w:r w:rsidR="00500B51" w:rsidRPr="00402AEC">
        <w:rPr>
          <w:lang w:val="en-GB" w:bidi="en-US"/>
        </w:rPr>
        <w:t>model</w:t>
      </w:r>
      <w:r w:rsidR="006453C8">
        <w:rPr>
          <w:lang w:val="en-GB" w:bidi="en-US"/>
        </w:rPr>
        <w:t>s</w:t>
      </w:r>
      <w:r w:rsidR="00500B51" w:rsidRPr="00402AEC">
        <w:rPr>
          <w:lang w:val="en-GB" w:bidi="en-US"/>
        </w:rPr>
        <w:t>),</w:t>
      </w:r>
      <w:r w:rsidRPr="00402AEC">
        <w:rPr>
          <w:lang w:val="en-GB" w:bidi="en-US"/>
        </w:rPr>
        <w:t xml:space="preserve"> constitut</w:t>
      </w:r>
      <w:r w:rsidR="00493D9D" w:rsidRPr="00402AEC">
        <w:rPr>
          <w:lang w:val="en-GB" w:bidi="en-US"/>
        </w:rPr>
        <w:t>e</w:t>
      </w:r>
      <w:r w:rsidRPr="00402AEC">
        <w:rPr>
          <w:lang w:val="en-GB" w:bidi="en-US"/>
        </w:rPr>
        <w:t xml:space="preserve"> 73.1% of the overall literature on CE and CBMs.</w:t>
      </w:r>
    </w:p>
    <w:p w14:paraId="496448BB" w14:textId="52B42D4F" w:rsidR="00DF4A5F" w:rsidRPr="00402AEC" w:rsidRDefault="002B06EA" w:rsidP="00DF4A5F">
      <w:pPr>
        <w:spacing w:after="240" w:line="360" w:lineRule="auto"/>
        <w:jc w:val="both"/>
        <w:rPr>
          <w:lang w:val="en-GB" w:bidi="en-US"/>
        </w:rPr>
      </w:pPr>
      <w:r w:rsidRPr="00402AEC">
        <w:rPr>
          <w:lang w:val="en-GB" w:bidi="en-US"/>
        </w:rPr>
        <w:t>C</w:t>
      </w:r>
      <w:r w:rsidR="00DF4A5F" w:rsidRPr="00402AEC">
        <w:rPr>
          <w:lang w:val="en-GB" w:bidi="en-US"/>
        </w:rPr>
        <w:t xml:space="preserve">onsidering the nationality of </w:t>
      </w:r>
      <w:r w:rsidRPr="00402AEC">
        <w:rPr>
          <w:lang w:val="en-GB" w:bidi="en-US"/>
        </w:rPr>
        <w:t xml:space="preserve">the </w:t>
      </w:r>
      <w:r w:rsidR="00DF4A5F" w:rsidRPr="00402AEC">
        <w:rPr>
          <w:lang w:val="en-GB" w:bidi="en-US"/>
        </w:rPr>
        <w:t xml:space="preserve">authors, the highest number of contributions come from northern European countries, followed by China and Italy. </w:t>
      </w:r>
      <w:r w:rsidR="007C0499" w:rsidRPr="00402AEC">
        <w:rPr>
          <w:lang w:val="en-GB" w:bidi="en-US"/>
        </w:rPr>
        <w:t xml:space="preserve">More into detail, </w:t>
      </w:r>
      <w:r w:rsidR="00DF4A5F" w:rsidRPr="00402AEC">
        <w:rPr>
          <w:lang w:val="en-GB" w:bidi="en-US"/>
        </w:rPr>
        <w:t xml:space="preserve">United Kingdom </w:t>
      </w:r>
      <w:r w:rsidR="00AC79BF" w:rsidRPr="00402AEC">
        <w:rPr>
          <w:lang w:val="en-GB" w:bidi="en-US"/>
        </w:rPr>
        <w:t>is</w:t>
      </w:r>
      <w:r w:rsidR="00DF4A5F" w:rsidRPr="00402AEC">
        <w:rPr>
          <w:lang w:val="en-GB" w:bidi="en-US"/>
        </w:rPr>
        <w:t xml:space="preserve"> the major contributor, with 36 articles (19.6%), followed by Sweden (10.2%), The Netherlands (8.1%), China (6.0%) and Italy (4.9%) (</w:t>
      </w:r>
      <w:r w:rsidR="00AF4A6E" w:rsidRPr="00402AEC">
        <w:rPr>
          <w:lang w:val="en-GB" w:bidi="en-US"/>
        </w:rPr>
        <w:t xml:space="preserve">see </w:t>
      </w:r>
      <w:r w:rsidR="001057B5" w:rsidRPr="00402AEC">
        <w:rPr>
          <w:lang w:val="en-GB" w:bidi="en-US"/>
        </w:rPr>
        <w:t>Figure 4</w:t>
      </w:r>
      <w:r w:rsidR="00DF4A5F" w:rsidRPr="00402AEC">
        <w:rPr>
          <w:lang w:val="en-GB" w:bidi="en-US"/>
        </w:rPr>
        <w:t>).</w:t>
      </w:r>
    </w:p>
    <w:p w14:paraId="27471975" w14:textId="77777777" w:rsidR="00DF4A5F" w:rsidRPr="00402AEC" w:rsidRDefault="00DF4A5F" w:rsidP="00DF4A5F">
      <w:pPr>
        <w:spacing w:line="360" w:lineRule="auto"/>
        <w:jc w:val="center"/>
        <w:rPr>
          <w:lang w:val="en-GB" w:bidi="en-US"/>
        </w:rPr>
      </w:pPr>
      <w:r w:rsidRPr="00BF2F60">
        <w:rPr>
          <w:noProof/>
        </w:rPr>
        <w:drawing>
          <wp:inline distT="0" distB="0" distL="0" distR="0" wp14:anchorId="0B561D5D" wp14:editId="01B129A4">
            <wp:extent cx="4079019" cy="2565488"/>
            <wp:effectExtent l="0" t="0" r="0" b="635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87437" cy="2570782"/>
                    </a:xfrm>
                    <a:prstGeom prst="rect">
                      <a:avLst/>
                    </a:prstGeom>
                    <a:noFill/>
                  </pic:spPr>
                </pic:pic>
              </a:graphicData>
            </a:graphic>
          </wp:inline>
        </w:drawing>
      </w:r>
    </w:p>
    <w:p w14:paraId="6DA86A14" w14:textId="50A8C0C8" w:rsidR="00DF4A5F" w:rsidRPr="00402AEC" w:rsidRDefault="00A604DA" w:rsidP="00DF4A5F">
      <w:pPr>
        <w:pStyle w:val="Didascalia"/>
        <w:spacing w:line="360" w:lineRule="auto"/>
        <w:jc w:val="center"/>
        <w:rPr>
          <w:b w:val="0"/>
          <w:sz w:val="24"/>
          <w:lang w:val="en-GB"/>
        </w:rPr>
      </w:pPr>
      <w:bookmarkStart w:id="3" w:name="_Ref1982083"/>
      <w:r w:rsidRPr="00402AEC">
        <w:rPr>
          <w:caps w:val="0"/>
          <w:sz w:val="24"/>
          <w:szCs w:val="24"/>
          <w:lang w:val="en-GB"/>
        </w:rPr>
        <w:lastRenderedPageBreak/>
        <w:t xml:space="preserve">Figure </w:t>
      </w:r>
      <w:r w:rsidRPr="00746DB3">
        <w:rPr>
          <w:sz w:val="24"/>
          <w:szCs w:val="24"/>
          <w:lang w:val="en-GB"/>
        </w:rPr>
        <w:fldChar w:fldCharType="begin"/>
      </w:r>
      <w:r w:rsidRPr="005B3A0E">
        <w:rPr>
          <w:sz w:val="24"/>
          <w:szCs w:val="24"/>
          <w:lang w:val="en-GB"/>
        </w:rPr>
        <w:instrText xml:space="preserve"> SEQ Figure \* ARABIC </w:instrText>
      </w:r>
      <w:r w:rsidRPr="00746DB3">
        <w:rPr>
          <w:sz w:val="24"/>
          <w:szCs w:val="24"/>
          <w:lang w:val="en-GB"/>
        </w:rPr>
        <w:fldChar w:fldCharType="separate"/>
      </w:r>
      <w:r w:rsidR="008F7F15">
        <w:rPr>
          <w:noProof/>
          <w:sz w:val="24"/>
          <w:szCs w:val="24"/>
          <w:lang w:val="en-GB"/>
        </w:rPr>
        <w:t>4</w:t>
      </w:r>
      <w:r w:rsidRPr="00746DB3">
        <w:rPr>
          <w:sz w:val="24"/>
          <w:szCs w:val="24"/>
          <w:lang w:val="en-GB"/>
        </w:rPr>
        <w:fldChar w:fldCharType="end"/>
      </w:r>
      <w:bookmarkEnd w:id="3"/>
      <w:r w:rsidRPr="00402AEC">
        <w:rPr>
          <w:caps w:val="0"/>
          <w:sz w:val="24"/>
          <w:szCs w:val="24"/>
          <w:lang w:val="en-GB"/>
        </w:rPr>
        <w:t>.</w:t>
      </w:r>
      <w:r w:rsidRPr="00402AEC">
        <w:rPr>
          <w:caps w:val="0"/>
          <w:sz w:val="22"/>
          <w:lang w:val="en-GB"/>
        </w:rPr>
        <w:t xml:space="preserve"> </w:t>
      </w:r>
      <w:r w:rsidR="00DF4A5F" w:rsidRPr="00402AEC">
        <w:rPr>
          <w:b w:val="0"/>
          <w:caps w:val="0"/>
          <w:sz w:val="24"/>
          <w:lang w:val="en-GB"/>
        </w:rPr>
        <w:t>Top five publishing countries</w:t>
      </w:r>
    </w:p>
    <w:p w14:paraId="70FA7387" w14:textId="77777777" w:rsidR="00DF4A5F" w:rsidRPr="00402AEC" w:rsidRDefault="00DF4A5F" w:rsidP="00DF4A5F">
      <w:pPr>
        <w:spacing w:after="240" w:line="360" w:lineRule="auto"/>
        <w:jc w:val="both"/>
        <w:rPr>
          <w:lang w:val="en-GB" w:bidi="en-US"/>
        </w:rPr>
      </w:pPr>
    </w:p>
    <w:p w14:paraId="532F0265" w14:textId="653B1620" w:rsidR="00DF4A5F" w:rsidRPr="00402AEC" w:rsidRDefault="00DF4A5F" w:rsidP="00DF4A5F">
      <w:pPr>
        <w:spacing w:after="240" w:line="360" w:lineRule="auto"/>
        <w:jc w:val="both"/>
        <w:rPr>
          <w:lang w:val="en-GB" w:bidi="en-US"/>
        </w:rPr>
      </w:pPr>
      <w:r w:rsidRPr="00402AEC">
        <w:rPr>
          <w:lang w:val="en-GB" w:bidi="en-US"/>
        </w:rPr>
        <w:t>Following a bottom-up procedure about the typology of literature assessed, there are several perspectives from which CE and CBMs were approached by the experts. Works have bee</w:t>
      </w:r>
      <w:r w:rsidR="00AC79BF" w:rsidRPr="00402AEC">
        <w:rPr>
          <w:lang w:val="en-GB" w:bidi="en-US"/>
        </w:rPr>
        <w:t>n</w:t>
      </w:r>
      <w:r w:rsidRPr="00402AEC">
        <w:rPr>
          <w:lang w:val="en-GB" w:bidi="en-US"/>
        </w:rPr>
        <w:t xml:space="preserve"> gathered basing on micro topics </w:t>
      </w:r>
      <w:r w:rsidR="00ED0862" w:rsidRPr="00402AEC">
        <w:rPr>
          <w:lang w:val="en-GB" w:bidi="en-US"/>
        </w:rPr>
        <w:t>(</w:t>
      </w:r>
      <w:r w:rsidRPr="00402AEC">
        <w:rPr>
          <w:lang w:val="en-GB" w:bidi="en-US"/>
        </w:rPr>
        <w:t xml:space="preserve">i.e. </w:t>
      </w:r>
      <w:r w:rsidR="00ED0862" w:rsidRPr="00402AEC">
        <w:rPr>
          <w:lang w:val="en-GB" w:bidi="en-US"/>
        </w:rPr>
        <w:t xml:space="preserve">considering </w:t>
      </w:r>
      <w:r w:rsidRPr="00402AEC">
        <w:rPr>
          <w:lang w:val="en-GB" w:bidi="en-US"/>
        </w:rPr>
        <w:t>title, abstract and keywords</w:t>
      </w:r>
      <w:r w:rsidR="00ED0862" w:rsidRPr="00402AEC">
        <w:rPr>
          <w:lang w:val="en-GB" w:bidi="en-US"/>
        </w:rPr>
        <w:t>)</w:t>
      </w:r>
      <w:r w:rsidR="00E368DE" w:rsidRPr="00402AEC">
        <w:rPr>
          <w:lang w:val="en-GB" w:bidi="en-US"/>
        </w:rPr>
        <w:t>.</w:t>
      </w:r>
      <w:r w:rsidRPr="00402AEC">
        <w:rPr>
          <w:lang w:val="en-GB" w:bidi="en-US"/>
        </w:rPr>
        <w:t xml:space="preserve"> </w:t>
      </w:r>
      <w:r w:rsidR="00E368DE" w:rsidRPr="00402AEC">
        <w:rPr>
          <w:lang w:val="en-GB" w:bidi="en-US"/>
        </w:rPr>
        <w:t>B</w:t>
      </w:r>
      <w:r w:rsidRPr="00402AEC">
        <w:rPr>
          <w:lang w:val="en-GB" w:bidi="en-US"/>
        </w:rPr>
        <w:t xml:space="preserve">est practices are the most discussed topic in literature (10.2%), followed by opportunities and challenges related with </w:t>
      </w:r>
      <w:r w:rsidR="00ED0862" w:rsidRPr="00402AEC">
        <w:rPr>
          <w:lang w:val="en-GB" w:bidi="en-US"/>
        </w:rPr>
        <w:t>CE</w:t>
      </w:r>
      <w:r w:rsidRPr="00402AEC">
        <w:rPr>
          <w:lang w:val="en-GB" w:bidi="en-US"/>
        </w:rPr>
        <w:t xml:space="preserve"> (9.2%), conceptualization of </w:t>
      </w:r>
      <w:r w:rsidR="008945D7" w:rsidRPr="00402AEC">
        <w:rPr>
          <w:lang w:val="en-GB" w:bidi="en-US"/>
        </w:rPr>
        <w:t>CE</w:t>
      </w:r>
      <w:r w:rsidRPr="00402AEC">
        <w:rPr>
          <w:lang w:val="en-GB" w:bidi="en-US"/>
        </w:rPr>
        <w:t xml:space="preserve"> (7.8%), BM innovation frameworks (7.4%), BM challenges and BM decision-support tools (6.0% each), Chinese CE policies, design decision-support tools and future trends (5.7% each). The sum of the mentioned topics represents about 50% of the available literature. </w:t>
      </w:r>
      <w:r w:rsidR="001468C0">
        <w:rPr>
          <w:lang w:val="en-GB" w:bidi="en-US"/>
        </w:rPr>
        <w:t>Then</w:t>
      </w:r>
      <w:r w:rsidRPr="00402AEC">
        <w:rPr>
          <w:lang w:val="en-GB" w:bidi="en-US"/>
        </w:rPr>
        <w:t xml:space="preserve">, a lot of other topics </w:t>
      </w:r>
      <w:r w:rsidR="008945D7" w:rsidRPr="00402AEC">
        <w:rPr>
          <w:lang w:val="en-GB" w:bidi="en-US"/>
        </w:rPr>
        <w:t>have been</w:t>
      </w:r>
      <w:r w:rsidRPr="00402AEC">
        <w:rPr>
          <w:lang w:val="en-GB" w:bidi="en-US"/>
        </w:rPr>
        <w:t xml:space="preserve"> discussed (</w:t>
      </w:r>
      <w:r w:rsidR="00162FD1" w:rsidRPr="00402AEC">
        <w:rPr>
          <w:lang w:val="en-GB" w:bidi="en-US"/>
        </w:rPr>
        <w:t xml:space="preserve">see </w:t>
      </w:r>
      <w:r w:rsidR="001057B5" w:rsidRPr="00402AEC">
        <w:rPr>
          <w:lang w:val="en-GB" w:bidi="en-US"/>
        </w:rPr>
        <w:t>Figure 5</w:t>
      </w:r>
      <w:r w:rsidRPr="00402AEC">
        <w:rPr>
          <w:lang w:val="en-GB" w:bidi="en-US"/>
        </w:rPr>
        <w:t>).</w:t>
      </w:r>
    </w:p>
    <w:p w14:paraId="4D7BBC60" w14:textId="77777777" w:rsidR="00DF4A5F" w:rsidRPr="00402AEC" w:rsidRDefault="00DF4A5F" w:rsidP="00DF4A5F">
      <w:pPr>
        <w:spacing w:line="360" w:lineRule="auto"/>
        <w:jc w:val="center"/>
        <w:rPr>
          <w:lang w:val="en-GB" w:bidi="en-US"/>
        </w:rPr>
      </w:pPr>
      <w:r w:rsidRPr="00BF2F60">
        <w:rPr>
          <w:noProof/>
        </w:rPr>
        <w:drawing>
          <wp:inline distT="0" distB="0" distL="0" distR="0" wp14:anchorId="04973C8B" wp14:editId="38FA4A4F">
            <wp:extent cx="6120000" cy="5285032"/>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000" cy="5285032"/>
                    </a:xfrm>
                    <a:prstGeom prst="rect">
                      <a:avLst/>
                    </a:prstGeom>
                    <a:noFill/>
                  </pic:spPr>
                </pic:pic>
              </a:graphicData>
            </a:graphic>
          </wp:inline>
        </w:drawing>
      </w:r>
    </w:p>
    <w:p w14:paraId="1EF686FE" w14:textId="25158A11" w:rsidR="00DF4A5F" w:rsidRPr="00402AEC" w:rsidRDefault="00A604DA" w:rsidP="00DF4A5F">
      <w:pPr>
        <w:pStyle w:val="Didascalia"/>
        <w:spacing w:line="360" w:lineRule="auto"/>
        <w:jc w:val="center"/>
        <w:rPr>
          <w:b w:val="0"/>
          <w:sz w:val="24"/>
          <w:lang w:val="en-GB"/>
        </w:rPr>
      </w:pPr>
      <w:bookmarkStart w:id="4" w:name="_Ref1982093"/>
      <w:r w:rsidRPr="00402AEC">
        <w:rPr>
          <w:caps w:val="0"/>
          <w:sz w:val="24"/>
          <w:szCs w:val="24"/>
          <w:lang w:val="en-GB"/>
        </w:rPr>
        <w:t xml:space="preserve">Figure </w:t>
      </w:r>
      <w:r w:rsidRPr="00746DB3">
        <w:rPr>
          <w:sz w:val="24"/>
          <w:szCs w:val="24"/>
          <w:lang w:val="en-GB"/>
        </w:rPr>
        <w:fldChar w:fldCharType="begin"/>
      </w:r>
      <w:r w:rsidRPr="005B3A0E">
        <w:rPr>
          <w:sz w:val="24"/>
          <w:szCs w:val="24"/>
          <w:lang w:val="en-GB"/>
        </w:rPr>
        <w:instrText xml:space="preserve"> SEQ Figure \* ARABIC </w:instrText>
      </w:r>
      <w:r w:rsidRPr="00746DB3">
        <w:rPr>
          <w:sz w:val="24"/>
          <w:szCs w:val="24"/>
          <w:lang w:val="en-GB"/>
        </w:rPr>
        <w:fldChar w:fldCharType="separate"/>
      </w:r>
      <w:r w:rsidR="008F7F15">
        <w:rPr>
          <w:noProof/>
          <w:sz w:val="24"/>
          <w:szCs w:val="24"/>
          <w:lang w:val="en-GB"/>
        </w:rPr>
        <w:t>5</w:t>
      </w:r>
      <w:r w:rsidRPr="00746DB3">
        <w:rPr>
          <w:sz w:val="24"/>
          <w:szCs w:val="24"/>
          <w:lang w:val="en-GB"/>
        </w:rPr>
        <w:fldChar w:fldCharType="end"/>
      </w:r>
      <w:bookmarkEnd w:id="4"/>
      <w:r w:rsidRPr="00402AEC">
        <w:rPr>
          <w:caps w:val="0"/>
          <w:sz w:val="24"/>
          <w:szCs w:val="24"/>
          <w:lang w:val="en-GB"/>
        </w:rPr>
        <w:t>.</w:t>
      </w:r>
      <w:r w:rsidRPr="00402AEC">
        <w:rPr>
          <w:caps w:val="0"/>
          <w:sz w:val="22"/>
          <w:lang w:val="en-GB"/>
        </w:rPr>
        <w:t xml:space="preserve"> </w:t>
      </w:r>
      <w:r w:rsidR="00DF4A5F" w:rsidRPr="00402AEC">
        <w:rPr>
          <w:b w:val="0"/>
          <w:caps w:val="0"/>
          <w:sz w:val="24"/>
          <w:lang w:val="en-GB"/>
        </w:rPr>
        <w:t xml:space="preserve">CE and CBM micro </w:t>
      </w:r>
      <w:r w:rsidR="00970A1E">
        <w:rPr>
          <w:b w:val="0"/>
          <w:caps w:val="0"/>
          <w:sz w:val="24"/>
          <w:lang w:val="en-GB"/>
        </w:rPr>
        <w:t>topics</w:t>
      </w:r>
    </w:p>
    <w:p w14:paraId="72A58920" w14:textId="77777777" w:rsidR="00DF4A5F" w:rsidRPr="00402AEC" w:rsidRDefault="00DF4A5F" w:rsidP="00DF4A5F">
      <w:pPr>
        <w:spacing w:line="360" w:lineRule="auto"/>
        <w:jc w:val="both"/>
        <w:rPr>
          <w:lang w:val="en-GB" w:bidi="en-US"/>
        </w:rPr>
      </w:pPr>
    </w:p>
    <w:p w14:paraId="538A7C12" w14:textId="26CCAF14" w:rsidR="00DF4A5F" w:rsidRPr="00402AEC" w:rsidRDefault="00D249B6" w:rsidP="00DF4A5F">
      <w:pPr>
        <w:spacing w:after="240" w:line="360" w:lineRule="auto"/>
        <w:jc w:val="both"/>
        <w:rPr>
          <w:lang w:val="en-GB" w:bidi="en-US"/>
        </w:rPr>
      </w:pPr>
      <w:r>
        <w:rPr>
          <w:lang w:val="en-GB" w:bidi="en-US"/>
        </w:rPr>
        <w:t>Trying to</w:t>
      </w:r>
      <w:r w:rsidR="009B221C">
        <w:rPr>
          <w:lang w:val="en-GB" w:bidi="en-US"/>
        </w:rPr>
        <w:t xml:space="preserve"> streamline</w:t>
      </w:r>
      <w:r>
        <w:rPr>
          <w:lang w:val="en-GB" w:bidi="en-US"/>
        </w:rPr>
        <w:t xml:space="preserve"> the analysis</w:t>
      </w:r>
      <w:r w:rsidR="008102F9" w:rsidRPr="00402AEC">
        <w:rPr>
          <w:lang w:val="en-GB" w:bidi="en-US"/>
        </w:rPr>
        <w:t>, m</w:t>
      </w:r>
      <w:r w:rsidR="00DF4A5F" w:rsidRPr="00402AEC">
        <w:rPr>
          <w:lang w:val="en-GB" w:bidi="en-US"/>
        </w:rPr>
        <w:t xml:space="preserve">icro topics have been grouped in macro categories basing on their mutual consistency. </w:t>
      </w:r>
      <w:r w:rsidR="00E7287D">
        <w:rPr>
          <w:lang w:val="en-GB" w:bidi="en-US"/>
        </w:rPr>
        <w:t>This way</w:t>
      </w:r>
      <w:r w:rsidR="00DF4A5F" w:rsidRPr="00402AEC">
        <w:rPr>
          <w:lang w:val="en-GB" w:bidi="en-US"/>
        </w:rPr>
        <w:t xml:space="preserve">, business model design is the most discussed </w:t>
      </w:r>
      <w:r w:rsidR="00E7287D">
        <w:rPr>
          <w:lang w:val="en-GB" w:bidi="en-US"/>
        </w:rPr>
        <w:t xml:space="preserve">macro topic </w:t>
      </w:r>
      <w:r w:rsidR="00DF4A5F" w:rsidRPr="00402AEC">
        <w:rPr>
          <w:lang w:val="en-GB" w:bidi="en-US"/>
        </w:rPr>
        <w:t>in literature (23.3%), followed by industrial strategies (20.1%), governmental policies (19.1%), environmental impact (11.7%), circular design of products (9.5% each), theoretical analyses (8.5%), societal impact (5.3%) and new technologies (2.5%) (</w:t>
      </w:r>
      <w:r w:rsidR="001057B5" w:rsidRPr="00402AEC">
        <w:rPr>
          <w:lang w:val="en-GB" w:bidi="en-US"/>
        </w:rPr>
        <w:t>Figure 6</w:t>
      </w:r>
      <w:r w:rsidR="00DF4A5F" w:rsidRPr="00402AEC">
        <w:rPr>
          <w:lang w:val="en-GB" w:bidi="en-US"/>
        </w:rPr>
        <w:t>).</w:t>
      </w:r>
    </w:p>
    <w:p w14:paraId="02C6AAAA" w14:textId="77777777" w:rsidR="00DF4A5F" w:rsidRPr="00402AEC" w:rsidRDefault="00DF4A5F" w:rsidP="00DF4A5F">
      <w:pPr>
        <w:spacing w:line="360" w:lineRule="auto"/>
        <w:jc w:val="center"/>
        <w:rPr>
          <w:lang w:val="en-GB" w:bidi="en-US"/>
        </w:rPr>
      </w:pPr>
      <w:r w:rsidRPr="00BF2F60">
        <w:rPr>
          <w:noProof/>
        </w:rPr>
        <w:drawing>
          <wp:inline distT="0" distB="0" distL="0" distR="0" wp14:anchorId="750190CD" wp14:editId="581D10C4">
            <wp:extent cx="4584700" cy="2877820"/>
            <wp:effectExtent l="0" t="0" r="635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84700" cy="2877820"/>
                    </a:xfrm>
                    <a:prstGeom prst="rect">
                      <a:avLst/>
                    </a:prstGeom>
                    <a:noFill/>
                  </pic:spPr>
                </pic:pic>
              </a:graphicData>
            </a:graphic>
          </wp:inline>
        </w:drawing>
      </w:r>
    </w:p>
    <w:p w14:paraId="1A8DF35B" w14:textId="60850A56" w:rsidR="00DF4A5F" w:rsidRPr="00402AEC" w:rsidRDefault="00A604DA" w:rsidP="00DF4A5F">
      <w:pPr>
        <w:pStyle w:val="Didascalia"/>
        <w:spacing w:line="360" w:lineRule="auto"/>
        <w:jc w:val="center"/>
        <w:rPr>
          <w:b w:val="0"/>
          <w:sz w:val="24"/>
          <w:lang w:val="en-GB"/>
        </w:rPr>
      </w:pPr>
      <w:bookmarkStart w:id="5" w:name="_Ref1982052"/>
      <w:r w:rsidRPr="00402AEC">
        <w:rPr>
          <w:caps w:val="0"/>
          <w:sz w:val="24"/>
          <w:szCs w:val="24"/>
          <w:lang w:val="en-GB"/>
        </w:rPr>
        <w:t xml:space="preserve">Figure </w:t>
      </w:r>
      <w:r w:rsidRPr="00746DB3">
        <w:rPr>
          <w:sz w:val="24"/>
          <w:szCs w:val="24"/>
          <w:lang w:val="en-GB"/>
        </w:rPr>
        <w:fldChar w:fldCharType="begin"/>
      </w:r>
      <w:r w:rsidRPr="00761076">
        <w:rPr>
          <w:sz w:val="24"/>
          <w:szCs w:val="24"/>
          <w:lang w:val="en-GB"/>
        </w:rPr>
        <w:instrText xml:space="preserve"> SEQ Figure \* ARABIC </w:instrText>
      </w:r>
      <w:r w:rsidRPr="00746DB3">
        <w:rPr>
          <w:sz w:val="24"/>
          <w:szCs w:val="24"/>
          <w:lang w:val="en-GB"/>
        </w:rPr>
        <w:fldChar w:fldCharType="separate"/>
      </w:r>
      <w:r w:rsidR="008F7F15">
        <w:rPr>
          <w:noProof/>
          <w:sz w:val="24"/>
          <w:szCs w:val="24"/>
          <w:lang w:val="en-GB"/>
        </w:rPr>
        <w:t>6</w:t>
      </w:r>
      <w:r w:rsidRPr="00746DB3">
        <w:rPr>
          <w:sz w:val="24"/>
          <w:szCs w:val="24"/>
          <w:lang w:val="en-GB"/>
        </w:rPr>
        <w:fldChar w:fldCharType="end"/>
      </w:r>
      <w:bookmarkEnd w:id="5"/>
      <w:r w:rsidRPr="00402AEC">
        <w:rPr>
          <w:caps w:val="0"/>
          <w:sz w:val="24"/>
          <w:szCs w:val="24"/>
          <w:lang w:val="en-GB"/>
        </w:rPr>
        <w:t>.</w:t>
      </w:r>
      <w:r w:rsidRPr="00402AEC">
        <w:rPr>
          <w:caps w:val="0"/>
          <w:sz w:val="22"/>
          <w:lang w:val="en-GB"/>
        </w:rPr>
        <w:t xml:space="preserve"> </w:t>
      </w:r>
      <w:r w:rsidR="00DF4A5F" w:rsidRPr="00402AEC">
        <w:rPr>
          <w:b w:val="0"/>
          <w:caps w:val="0"/>
          <w:sz w:val="24"/>
          <w:lang w:val="en-GB"/>
        </w:rPr>
        <w:t xml:space="preserve">CE and CBM macro </w:t>
      </w:r>
      <w:r w:rsidR="008B1293">
        <w:rPr>
          <w:b w:val="0"/>
          <w:caps w:val="0"/>
          <w:sz w:val="24"/>
          <w:lang w:val="en-GB"/>
        </w:rPr>
        <w:t>topics</w:t>
      </w:r>
    </w:p>
    <w:p w14:paraId="52BDBB5B" w14:textId="77777777" w:rsidR="00DF4A5F" w:rsidRPr="00402AEC" w:rsidRDefault="00DF4A5F" w:rsidP="00DF4A5F">
      <w:pPr>
        <w:spacing w:line="360" w:lineRule="auto"/>
        <w:jc w:val="both"/>
        <w:rPr>
          <w:lang w:val="en-GB" w:bidi="en-US"/>
        </w:rPr>
      </w:pPr>
    </w:p>
    <w:p w14:paraId="21997F18" w14:textId="24F7B9A0" w:rsidR="00040E2A" w:rsidRPr="00402AEC" w:rsidRDefault="00DF4A5F" w:rsidP="000C2B2F">
      <w:pPr>
        <w:spacing w:after="240" w:line="360" w:lineRule="auto"/>
        <w:jc w:val="both"/>
        <w:rPr>
          <w:lang w:val="en-GB" w:bidi="en-US"/>
        </w:rPr>
      </w:pPr>
      <w:r w:rsidRPr="00402AEC">
        <w:rPr>
          <w:lang w:val="en-GB" w:bidi="en-US"/>
        </w:rPr>
        <w:t>Concerning the mentioned topics appearing in</w:t>
      </w:r>
      <w:r w:rsidR="00B17C56" w:rsidRPr="00402AEC">
        <w:rPr>
          <w:lang w:val="en-GB" w:bidi="en-US"/>
        </w:rPr>
        <w:t xml:space="preserve"> </w:t>
      </w:r>
      <w:r w:rsidR="001057B5" w:rsidRPr="00402AEC">
        <w:rPr>
          <w:lang w:val="en-GB" w:bidi="en-US"/>
        </w:rPr>
        <w:t>Figure 5</w:t>
      </w:r>
      <w:r w:rsidRPr="00402AEC">
        <w:rPr>
          <w:lang w:val="en-GB" w:bidi="en-US"/>
        </w:rPr>
        <w:t xml:space="preserve"> and </w:t>
      </w:r>
      <w:r w:rsidR="001057B5" w:rsidRPr="00402AEC">
        <w:rPr>
          <w:lang w:val="en-GB" w:bidi="en-US"/>
        </w:rPr>
        <w:t>Figure 6</w:t>
      </w:r>
      <w:r w:rsidRPr="00402AEC">
        <w:rPr>
          <w:lang w:val="en-GB" w:bidi="en-US"/>
        </w:rPr>
        <w:t xml:space="preserve">, only </w:t>
      </w:r>
      <w:r w:rsidR="008B1293">
        <w:rPr>
          <w:lang w:val="en-GB" w:bidi="en-US"/>
        </w:rPr>
        <w:t>topics</w:t>
      </w:r>
      <w:r w:rsidRPr="00402AEC">
        <w:rPr>
          <w:lang w:val="en-GB" w:bidi="en-US"/>
        </w:rPr>
        <w:t xml:space="preserve"> strictly related with CBMs will be described into detail in the following</w:t>
      </w:r>
      <w:r w:rsidR="004C6571" w:rsidRPr="00402AEC">
        <w:rPr>
          <w:lang w:val="en-GB" w:bidi="en-US"/>
        </w:rPr>
        <w:t xml:space="preserve"> </w:t>
      </w:r>
      <w:r w:rsidR="00B400EB" w:rsidRPr="00402AEC">
        <w:rPr>
          <w:lang w:val="en-GB" w:bidi="en-US"/>
        </w:rPr>
        <w:t xml:space="preserve">Section </w:t>
      </w:r>
      <w:r w:rsidR="004C6571" w:rsidRPr="00402AEC">
        <w:rPr>
          <w:lang w:val="en-GB" w:bidi="en-US"/>
        </w:rPr>
        <w:t>4</w:t>
      </w:r>
      <w:r w:rsidRPr="00402AEC">
        <w:rPr>
          <w:lang w:val="en-GB" w:bidi="en-US"/>
        </w:rPr>
        <w:t xml:space="preserve">. In particular, the micro </w:t>
      </w:r>
      <w:r w:rsidR="008B1293">
        <w:rPr>
          <w:lang w:val="en-GB" w:bidi="en-US"/>
        </w:rPr>
        <w:t>topics</w:t>
      </w:r>
      <w:r w:rsidRPr="00402AEC">
        <w:rPr>
          <w:lang w:val="en-GB" w:bidi="en-US"/>
        </w:rPr>
        <w:t xml:space="preserve"> </w:t>
      </w:r>
      <w:r w:rsidR="001F0C79">
        <w:rPr>
          <w:lang w:val="en-GB" w:bidi="en-US"/>
        </w:rPr>
        <w:t xml:space="preserve">named </w:t>
      </w:r>
      <w:r w:rsidRPr="00402AEC">
        <w:rPr>
          <w:lang w:val="en-GB" w:bidi="en-US"/>
        </w:rPr>
        <w:t xml:space="preserve">CBM rapid experimentation, CBM performance comparison, CBM </w:t>
      </w:r>
      <w:r w:rsidR="001F0C79">
        <w:rPr>
          <w:lang w:val="en-GB" w:bidi="en-US"/>
        </w:rPr>
        <w:t>l</w:t>
      </w:r>
      <w:r w:rsidRPr="00402AEC">
        <w:rPr>
          <w:lang w:val="en-GB" w:bidi="en-US"/>
        </w:rPr>
        <w:t xml:space="preserve">ifecycle </w:t>
      </w:r>
      <w:r w:rsidR="001F0C79">
        <w:rPr>
          <w:lang w:val="en-GB" w:bidi="en-US"/>
        </w:rPr>
        <w:t>a</w:t>
      </w:r>
      <w:r w:rsidRPr="00402AEC">
        <w:rPr>
          <w:lang w:val="en-GB" w:bidi="en-US"/>
        </w:rPr>
        <w:t>ssessment, CBM decision-support tools, CBM challenges, CBM classification methods</w:t>
      </w:r>
      <w:r w:rsidR="00927895" w:rsidRPr="00402AEC">
        <w:rPr>
          <w:lang w:val="en-GB" w:bidi="en-US"/>
        </w:rPr>
        <w:t xml:space="preserve"> and </w:t>
      </w:r>
      <w:r w:rsidRPr="00402AEC">
        <w:rPr>
          <w:lang w:val="en-GB" w:bidi="en-US"/>
        </w:rPr>
        <w:t xml:space="preserve">CBM best practices </w:t>
      </w:r>
      <w:r w:rsidR="00CB0FD0" w:rsidRPr="00402AEC">
        <w:rPr>
          <w:lang w:val="en-GB" w:bidi="en-US"/>
        </w:rPr>
        <w:t>have been</w:t>
      </w:r>
      <w:r w:rsidRPr="00402AEC">
        <w:rPr>
          <w:lang w:val="en-GB" w:bidi="en-US"/>
        </w:rPr>
        <w:t xml:space="preserve"> grouped in the macro </w:t>
      </w:r>
      <w:r w:rsidR="00A74557">
        <w:rPr>
          <w:lang w:val="en-GB" w:bidi="en-US"/>
        </w:rPr>
        <w:t>topic</w:t>
      </w:r>
      <w:r w:rsidRPr="00402AEC">
        <w:rPr>
          <w:lang w:val="en-GB" w:bidi="en-US"/>
        </w:rPr>
        <w:t xml:space="preserve"> named CBM design, consisting </w:t>
      </w:r>
      <w:r w:rsidR="00A74557">
        <w:rPr>
          <w:lang w:val="en-GB" w:bidi="en-US"/>
        </w:rPr>
        <w:t>in</w:t>
      </w:r>
      <w:r w:rsidRPr="00402AEC">
        <w:rPr>
          <w:lang w:val="en-GB" w:bidi="en-US"/>
        </w:rPr>
        <w:t xml:space="preserve"> 65 articles</w:t>
      </w:r>
      <w:r w:rsidR="00CB0FD0" w:rsidRPr="00402AEC">
        <w:rPr>
          <w:lang w:val="en-GB" w:bidi="en-US"/>
        </w:rPr>
        <w:t xml:space="preserve"> (see</w:t>
      </w:r>
      <w:r w:rsidR="001057B5" w:rsidRPr="00402AEC">
        <w:rPr>
          <w:lang w:val="en-GB" w:bidi="en-US"/>
        </w:rPr>
        <w:t xml:space="preserve"> Figure 7</w:t>
      </w:r>
      <w:r w:rsidR="00CB0FD0" w:rsidRPr="00402AEC">
        <w:rPr>
          <w:lang w:val="en-GB" w:bidi="en-US"/>
        </w:rPr>
        <w:t>)</w:t>
      </w:r>
      <w:r w:rsidRPr="00402AEC">
        <w:rPr>
          <w:lang w:val="en-GB" w:bidi="en-US"/>
        </w:rPr>
        <w:t>.</w:t>
      </w:r>
    </w:p>
    <w:p w14:paraId="3E91C3ED" w14:textId="56BB1583" w:rsidR="00A105C6" w:rsidRPr="00402AEC" w:rsidRDefault="007F3177" w:rsidP="000C2B2F">
      <w:pPr>
        <w:spacing w:before="240" w:after="240" w:line="360" w:lineRule="auto"/>
        <w:rPr>
          <w:b/>
          <w:lang w:val="en-GB"/>
        </w:rPr>
      </w:pPr>
      <w:r w:rsidRPr="00402AEC">
        <w:rPr>
          <w:b/>
          <w:lang w:val="en-GB"/>
        </w:rPr>
        <w:t>4</w:t>
      </w:r>
      <w:r w:rsidR="005A5937" w:rsidRPr="00402AEC">
        <w:rPr>
          <w:b/>
          <w:lang w:val="en-GB"/>
        </w:rPr>
        <w:t>.</w:t>
      </w:r>
      <w:r w:rsidR="000E105B" w:rsidRPr="00402AEC">
        <w:rPr>
          <w:b/>
          <w:lang w:val="en-GB"/>
        </w:rPr>
        <w:t xml:space="preserve"> </w:t>
      </w:r>
      <w:r w:rsidR="001E2B5D" w:rsidRPr="00402AEC">
        <w:rPr>
          <w:b/>
          <w:lang w:val="en-GB"/>
        </w:rPr>
        <w:t>T</w:t>
      </w:r>
      <w:r w:rsidR="00BC349E" w:rsidRPr="00402AEC">
        <w:rPr>
          <w:b/>
          <w:lang w:val="en-GB"/>
        </w:rPr>
        <w:t>hematic analysi</w:t>
      </w:r>
      <w:r w:rsidR="007E3677" w:rsidRPr="00402AEC">
        <w:rPr>
          <w:b/>
          <w:lang w:val="en-GB"/>
        </w:rPr>
        <w:t>s</w:t>
      </w:r>
    </w:p>
    <w:p w14:paraId="3453AC52" w14:textId="72BCB974" w:rsidR="00D056DE" w:rsidRPr="00402AEC" w:rsidRDefault="00D056DE">
      <w:pPr>
        <w:tabs>
          <w:tab w:val="left" w:pos="1728"/>
        </w:tabs>
        <w:spacing w:after="240" w:line="360" w:lineRule="auto"/>
        <w:jc w:val="both"/>
        <w:rPr>
          <w:rFonts w:eastAsia="Times New Roman"/>
          <w:lang w:val="en-GB"/>
        </w:rPr>
      </w:pPr>
      <w:r w:rsidRPr="00402AEC">
        <w:rPr>
          <w:rFonts w:eastAsia="Times New Roman"/>
          <w:lang w:val="en-GB"/>
        </w:rPr>
        <w:t xml:space="preserve">After having </w:t>
      </w:r>
      <w:r w:rsidR="00D42EB1" w:rsidRPr="00402AEC">
        <w:rPr>
          <w:rFonts w:eastAsia="Times New Roman"/>
          <w:lang w:val="en-GB"/>
        </w:rPr>
        <w:t xml:space="preserve">identified the limited group of documents </w:t>
      </w:r>
      <w:r w:rsidR="00665CC3" w:rsidRPr="00402AEC">
        <w:rPr>
          <w:rFonts w:eastAsia="Times New Roman"/>
          <w:lang w:val="en-GB"/>
        </w:rPr>
        <w:t xml:space="preserve">that, more than others, can allow </w:t>
      </w:r>
      <w:r w:rsidR="002F10CF" w:rsidRPr="00402AEC">
        <w:rPr>
          <w:rFonts w:eastAsia="Times New Roman"/>
          <w:lang w:val="en-GB"/>
        </w:rPr>
        <w:t xml:space="preserve">to get information about the research questions identified in </w:t>
      </w:r>
      <w:r w:rsidR="00E344F3" w:rsidRPr="00402AEC">
        <w:rPr>
          <w:rFonts w:eastAsia="Times New Roman"/>
          <w:lang w:val="en-GB"/>
        </w:rPr>
        <w:t xml:space="preserve">Section </w:t>
      </w:r>
      <w:r w:rsidR="002F10CF" w:rsidRPr="00402AEC">
        <w:rPr>
          <w:rFonts w:eastAsia="Times New Roman"/>
          <w:lang w:val="en-GB"/>
        </w:rPr>
        <w:t xml:space="preserve">2, </w:t>
      </w:r>
      <w:r w:rsidR="002525E7" w:rsidRPr="00402AEC">
        <w:rPr>
          <w:rFonts w:eastAsia="Times New Roman"/>
          <w:lang w:val="en-GB"/>
        </w:rPr>
        <w:t>the present section is focused on the thematic analys</w:t>
      </w:r>
      <w:r w:rsidR="00BC349E" w:rsidRPr="00402AEC">
        <w:rPr>
          <w:rFonts w:eastAsia="Times New Roman"/>
          <w:lang w:val="en-GB"/>
        </w:rPr>
        <w:t>i</w:t>
      </w:r>
      <w:r w:rsidR="002525E7" w:rsidRPr="00402AEC">
        <w:rPr>
          <w:rFonts w:eastAsia="Times New Roman"/>
          <w:lang w:val="en-GB"/>
        </w:rPr>
        <w:t xml:space="preserve">s </w:t>
      </w:r>
      <w:r w:rsidR="008C46F2" w:rsidRPr="00402AEC">
        <w:rPr>
          <w:rFonts w:eastAsia="Times New Roman"/>
          <w:lang w:val="en-GB"/>
        </w:rPr>
        <w:t>of detailed topics</w:t>
      </w:r>
      <w:r w:rsidR="0037468F" w:rsidRPr="00402AEC">
        <w:rPr>
          <w:rFonts w:eastAsia="Times New Roman"/>
          <w:lang w:val="en-GB"/>
        </w:rPr>
        <w:t xml:space="preserve"> </w:t>
      </w:r>
      <w:r w:rsidR="003360DC" w:rsidRPr="00402AEC">
        <w:rPr>
          <w:rFonts w:eastAsia="Times New Roman"/>
          <w:lang w:val="en-GB"/>
        </w:rPr>
        <w:t>listed at the end of the previous section</w:t>
      </w:r>
      <w:r w:rsidR="008C46F2" w:rsidRPr="00402AEC">
        <w:rPr>
          <w:rFonts w:eastAsia="Times New Roman"/>
          <w:lang w:val="en-GB"/>
        </w:rPr>
        <w:t>.</w:t>
      </w:r>
      <w:r w:rsidR="003360DC" w:rsidRPr="00402AEC">
        <w:rPr>
          <w:rFonts w:eastAsia="Times New Roman"/>
          <w:lang w:val="en-GB"/>
        </w:rPr>
        <w:t xml:space="preserve"> </w:t>
      </w:r>
      <w:r w:rsidR="00800DD3" w:rsidRPr="00402AEC">
        <w:rPr>
          <w:rFonts w:eastAsia="Times New Roman"/>
          <w:lang w:val="en-GB"/>
        </w:rPr>
        <w:t xml:space="preserve">The </w:t>
      </w:r>
      <w:r w:rsidR="00CE5B5E">
        <w:rPr>
          <w:rFonts w:eastAsia="Times New Roman"/>
          <w:lang w:val="en-GB"/>
        </w:rPr>
        <w:t xml:space="preserve">aggregate dimension of analysis, </w:t>
      </w:r>
      <w:r w:rsidR="00800DD3" w:rsidRPr="00402AEC">
        <w:rPr>
          <w:rFonts w:eastAsia="Times New Roman"/>
          <w:lang w:val="en-GB"/>
        </w:rPr>
        <w:t>named CBM design</w:t>
      </w:r>
      <w:r w:rsidR="00CE5B5E">
        <w:rPr>
          <w:rFonts w:eastAsia="Times New Roman"/>
          <w:lang w:val="en-GB"/>
        </w:rPr>
        <w:t>,</w:t>
      </w:r>
      <w:r w:rsidR="00800DD3" w:rsidRPr="00402AEC">
        <w:rPr>
          <w:rFonts w:eastAsia="Times New Roman"/>
          <w:lang w:val="en-GB"/>
        </w:rPr>
        <w:t xml:space="preserve"> </w:t>
      </w:r>
      <w:r w:rsidR="00E55F1E">
        <w:rPr>
          <w:rFonts w:eastAsia="Times New Roman"/>
          <w:lang w:val="en-GB"/>
        </w:rPr>
        <w:t>is</w:t>
      </w:r>
      <w:r w:rsidR="00800DD3" w:rsidRPr="00402AEC">
        <w:rPr>
          <w:rFonts w:eastAsia="Times New Roman"/>
          <w:lang w:val="en-GB"/>
        </w:rPr>
        <w:t xml:space="preserve"> split</w:t>
      </w:r>
      <w:r w:rsidR="001E4D9D" w:rsidRPr="00402AEC">
        <w:rPr>
          <w:rFonts w:eastAsia="Times New Roman"/>
          <w:lang w:val="en-GB"/>
        </w:rPr>
        <w:t xml:space="preserve"> into </w:t>
      </w:r>
      <w:r w:rsidR="00E55F1E">
        <w:rPr>
          <w:rFonts w:eastAsia="Times New Roman"/>
          <w:lang w:val="en-GB"/>
        </w:rPr>
        <w:t>seven 2</w:t>
      </w:r>
      <w:r w:rsidR="00E55F1E" w:rsidRPr="00746DB3">
        <w:rPr>
          <w:rFonts w:eastAsia="Times New Roman"/>
          <w:vertAlign w:val="superscript"/>
          <w:lang w:val="en-GB"/>
        </w:rPr>
        <w:t>nd</w:t>
      </w:r>
      <w:r w:rsidR="00E55F1E">
        <w:rPr>
          <w:rFonts w:eastAsia="Times New Roman"/>
          <w:lang w:val="en-GB"/>
        </w:rPr>
        <w:t xml:space="preserve"> order themes </w:t>
      </w:r>
      <w:r w:rsidR="00D953A2" w:rsidRPr="00402AEC">
        <w:rPr>
          <w:rFonts w:eastAsia="Times New Roman"/>
          <w:lang w:val="en-GB"/>
        </w:rPr>
        <w:t>(see</w:t>
      </w:r>
      <w:r w:rsidR="001057B5" w:rsidRPr="00402AEC">
        <w:rPr>
          <w:rFonts w:eastAsia="Times New Roman"/>
          <w:lang w:val="en-GB"/>
        </w:rPr>
        <w:t xml:space="preserve"> Figure </w:t>
      </w:r>
      <w:r w:rsidR="007E2344">
        <w:rPr>
          <w:rFonts w:eastAsia="Times New Roman"/>
          <w:lang w:val="en-GB"/>
        </w:rPr>
        <w:t>7</w:t>
      </w:r>
      <w:r w:rsidR="00D953A2" w:rsidRPr="00402AEC">
        <w:rPr>
          <w:rFonts w:eastAsia="Times New Roman"/>
          <w:lang w:val="en-GB"/>
        </w:rPr>
        <w:t xml:space="preserve">) </w:t>
      </w:r>
      <w:r w:rsidR="001E4D9D" w:rsidRPr="00402AEC">
        <w:rPr>
          <w:rFonts w:eastAsia="Times New Roman"/>
          <w:lang w:val="en-GB"/>
        </w:rPr>
        <w:t>and each of them will be described into detail</w:t>
      </w:r>
      <w:r w:rsidR="00E55F1E">
        <w:rPr>
          <w:rFonts w:eastAsia="Times New Roman"/>
          <w:lang w:val="en-GB"/>
        </w:rPr>
        <w:t xml:space="preserve"> and furtherly divided in 3</w:t>
      </w:r>
      <w:r w:rsidR="00E55F1E" w:rsidRPr="00746DB3">
        <w:rPr>
          <w:rFonts w:eastAsia="Times New Roman"/>
          <w:vertAlign w:val="superscript"/>
          <w:lang w:val="en-GB"/>
        </w:rPr>
        <w:t>rd</w:t>
      </w:r>
      <w:r w:rsidR="00E55F1E">
        <w:rPr>
          <w:rFonts w:eastAsia="Times New Roman"/>
          <w:lang w:val="en-GB"/>
        </w:rPr>
        <w:t xml:space="preserve"> order themes</w:t>
      </w:r>
      <w:r w:rsidR="001E4D9D" w:rsidRPr="00402AEC">
        <w:rPr>
          <w:rFonts w:eastAsia="Times New Roman"/>
          <w:lang w:val="en-GB"/>
        </w:rPr>
        <w:t xml:space="preserve">. </w:t>
      </w:r>
      <w:r w:rsidR="00113563" w:rsidRPr="00402AEC">
        <w:rPr>
          <w:rFonts w:eastAsia="Times New Roman"/>
          <w:lang w:val="en-GB"/>
        </w:rPr>
        <w:t xml:space="preserve">Subsequently, </w:t>
      </w:r>
      <w:r w:rsidR="00062609" w:rsidRPr="00402AEC">
        <w:rPr>
          <w:rFonts w:eastAsia="Times New Roman"/>
          <w:lang w:val="en-GB"/>
        </w:rPr>
        <w:t xml:space="preserve">the focus </w:t>
      </w:r>
      <w:r w:rsidR="00C3154C" w:rsidRPr="00402AEC">
        <w:rPr>
          <w:rFonts w:eastAsia="Times New Roman"/>
          <w:lang w:val="en-GB"/>
        </w:rPr>
        <w:t>shift</w:t>
      </w:r>
      <w:r w:rsidR="00E55F1E">
        <w:rPr>
          <w:rFonts w:eastAsia="Times New Roman"/>
          <w:lang w:val="en-GB"/>
        </w:rPr>
        <w:t>s</w:t>
      </w:r>
      <w:r w:rsidR="00C3154C" w:rsidRPr="00402AEC">
        <w:rPr>
          <w:rFonts w:eastAsia="Times New Roman"/>
          <w:lang w:val="en-GB"/>
        </w:rPr>
        <w:t xml:space="preserve"> on CBM classification methods and the, so called, </w:t>
      </w:r>
      <w:r w:rsidR="00C3154C" w:rsidRPr="00402AEC">
        <w:rPr>
          <w:rFonts w:eastAsia="Times New Roman"/>
          <w:noProof/>
          <w:lang w:val="en-GB"/>
        </w:rPr>
        <w:t>“archetypes”.</w:t>
      </w:r>
    </w:p>
    <w:p w14:paraId="4C249C4B" w14:textId="5FBF29BC" w:rsidR="00A26FB1" w:rsidRPr="00402AEC" w:rsidRDefault="00EC217C" w:rsidP="000C2B2F">
      <w:pPr>
        <w:keepNext/>
        <w:spacing w:after="240" w:line="360" w:lineRule="auto"/>
        <w:jc w:val="center"/>
        <w:rPr>
          <w:lang w:val="en-GB"/>
        </w:rPr>
      </w:pPr>
      <w:r w:rsidRPr="00BF2F60">
        <w:rPr>
          <w:noProof/>
        </w:rPr>
        <w:lastRenderedPageBreak/>
        <w:drawing>
          <wp:inline distT="0" distB="0" distL="0" distR="0" wp14:anchorId="53BF6C54" wp14:editId="58945781">
            <wp:extent cx="5211233" cy="4288230"/>
            <wp:effectExtent l="0" t="0" r="8890" b="0"/>
            <wp:docPr id="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pic:cNvPicPr>
                      <a:picLocks noChangeAspect="1"/>
                    </pic:cNvPicPr>
                  </pic:nvPicPr>
                  <pic:blipFill>
                    <a:blip r:embed="rId14"/>
                    <a:stretch>
                      <a:fillRect/>
                    </a:stretch>
                  </pic:blipFill>
                  <pic:spPr>
                    <a:xfrm>
                      <a:off x="0" y="0"/>
                      <a:ext cx="5211716" cy="4288627"/>
                    </a:xfrm>
                    <a:prstGeom prst="rect">
                      <a:avLst/>
                    </a:prstGeom>
                  </pic:spPr>
                </pic:pic>
              </a:graphicData>
            </a:graphic>
          </wp:inline>
        </w:drawing>
      </w:r>
    </w:p>
    <w:p w14:paraId="0C9FDF46" w14:textId="156AEEB7" w:rsidR="00EC217C" w:rsidRPr="00402AEC" w:rsidRDefault="00A604DA" w:rsidP="000C2B2F">
      <w:pPr>
        <w:keepNext/>
        <w:spacing w:after="240" w:line="360" w:lineRule="auto"/>
        <w:jc w:val="center"/>
        <w:rPr>
          <w:lang w:val="en-GB"/>
        </w:rPr>
      </w:pPr>
      <w:bookmarkStart w:id="6" w:name="_Ref1982033"/>
      <w:r w:rsidRPr="00402AEC">
        <w:rPr>
          <w:b/>
          <w:lang w:val="en-GB"/>
        </w:rPr>
        <w:t xml:space="preserve">Figure </w:t>
      </w:r>
      <w:r w:rsidRPr="00746DB3">
        <w:rPr>
          <w:b/>
          <w:lang w:val="en-GB"/>
        </w:rPr>
        <w:fldChar w:fldCharType="begin"/>
      </w:r>
      <w:r w:rsidRPr="00402AEC">
        <w:rPr>
          <w:b/>
          <w:lang w:val="en-GB"/>
        </w:rPr>
        <w:instrText xml:space="preserve"> SEQ Figure \* ARABIC </w:instrText>
      </w:r>
      <w:r w:rsidRPr="00746DB3">
        <w:rPr>
          <w:b/>
          <w:lang w:val="en-GB"/>
        </w:rPr>
        <w:fldChar w:fldCharType="separate"/>
      </w:r>
      <w:r w:rsidR="008F7F15">
        <w:rPr>
          <w:b/>
          <w:noProof/>
          <w:lang w:val="en-GB"/>
        </w:rPr>
        <w:t>7</w:t>
      </w:r>
      <w:r w:rsidRPr="00746DB3">
        <w:rPr>
          <w:b/>
          <w:lang w:val="en-GB"/>
        </w:rPr>
        <w:fldChar w:fldCharType="end"/>
      </w:r>
      <w:bookmarkEnd w:id="6"/>
      <w:r w:rsidRPr="00402AEC">
        <w:rPr>
          <w:b/>
          <w:lang w:val="en-GB"/>
        </w:rPr>
        <w:t>.</w:t>
      </w:r>
      <w:r w:rsidRPr="00402AEC">
        <w:rPr>
          <w:sz w:val="22"/>
          <w:lang w:val="en-GB"/>
        </w:rPr>
        <w:t xml:space="preserve"> </w:t>
      </w:r>
      <w:r w:rsidR="00EC217C" w:rsidRPr="00402AEC">
        <w:rPr>
          <w:lang w:val="en-GB"/>
        </w:rPr>
        <w:t>CBM design</w:t>
      </w:r>
      <w:r w:rsidR="0093384E" w:rsidRPr="00402AEC">
        <w:rPr>
          <w:lang w:val="en-GB"/>
        </w:rPr>
        <w:t xml:space="preserve"> dimension scheme</w:t>
      </w:r>
      <w:r w:rsidR="000A0439" w:rsidRPr="00402AEC">
        <w:rPr>
          <w:bCs/>
          <w:szCs w:val="18"/>
          <w:lang w:val="en-GB"/>
        </w:rPr>
        <w:t xml:space="preserve"> </w:t>
      </w:r>
      <w:r w:rsidR="00FC5800" w:rsidRPr="00402AEC">
        <w:rPr>
          <w:lang w:val="en-GB"/>
        </w:rPr>
        <w:t>(</w:t>
      </w:r>
      <w:r w:rsidR="000A0439" w:rsidRPr="00402AEC">
        <w:rPr>
          <w:lang w:val="en-GB"/>
        </w:rPr>
        <w:t>adapted from</w:t>
      </w:r>
      <w:r w:rsidR="00EC217C" w:rsidRPr="00402AEC">
        <w:rPr>
          <w:lang w:val="en-GB"/>
        </w:rPr>
        <w:t xml:space="preserve"> </w:t>
      </w:r>
      <w:r w:rsidR="00EC217C" w:rsidRPr="009601F2">
        <w:rPr>
          <w:b/>
          <w:caps/>
          <w:lang w:val="en-GB"/>
        </w:rPr>
        <w:fldChar w:fldCharType="begin" w:fldLock="1"/>
      </w:r>
      <w:r w:rsidR="003445CC">
        <w:rPr>
          <w:lang w:val="en-GB"/>
        </w:rPr>
        <w:instrText>ADDIN CSL_CITATION {"citationItems":[{"id":"ITEM-1","itemData":{"abstract":"The purpose of this paper is to progress operations management theory and practice by organising contributions to knowledge production, in industrial sustainability, from disparate researcher communities. It addresses the principal question “What scholarly dialogues can be explicated in the emerging research field of industrial sustainability?” and sub-questions: what are the descriptive characteristics of the evidence base? and what thematic lines of scientific inquiry underpin the body of knowledge?","author":[{"dropping-particle":"","family":"Smart","given":"Palie","non-dropping-particle":"","parse-names":false,"suffix":""},{"dropping-particle":"","family":"Hemel","given":"Stefan","non-dropping-particle":"","parse-names":false,"suffix":""},{"dropping-particle":"","family":"Lettice","given":"Fiona","non-dropping-particle":"","parse-names":false,"suffix":""},{"dropping-particle":"","family":"Adams","given":"Richard","non-dropping-particle":"","parse-names":false,"suffix":""},{"dropping-particle":"","family":"Evans","given":"Stephen","non-dropping-particle":"","parse-names":false,"suffix":""}],"container-title":"International Journal of Operations &amp; Production Management","id":"ITEM-1","issue":"10","issued":{"date-parts":[["2017"]]},"page":"1425-1450","title":"Pre-paradigmatic status of industrial sustainability: a systematic review","type":"article-journal","volume":"37"},"uris":["http://www.mendeley.com/documents/?uuid=d571f61f-08c5-4831-9bd3-47a0e8563220"]}],"mendeley":{"formattedCitation":"(Smart et al., 2017)","plainTextFormattedCitation":"(Smart et al., 2017)","previouslyFormattedCitation":"(Smart et al., 2017)"},"properties":{"noteIndex":0},"schema":"https://github.com/citation-style-language/schema/raw/master/csl-citation.json"}</w:instrText>
      </w:r>
      <w:r w:rsidR="00EC217C" w:rsidRPr="009601F2">
        <w:rPr>
          <w:b/>
          <w:caps/>
          <w:lang w:val="en-GB"/>
        </w:rPr>
        <w:fldChar w:fldCharType="separate"/>
      </w:r>
      <w:r w:rsidR="00C7734B" w:rsidRPr="00402AEC">
        <w:rPr>
          <w:noProof/>
          <w:lang w:val="en-GB"/>
        </w:rPr>
        <w:t>(Smart et al., 2017)</w:t>
      </w:r>
      <w:r w:rsidR="00EC217C" w:rsidRPr="009601F2">
        <w:rPr>
          <w:b/>
          <w:caps/>
          <w:lang w:val="en-GB"/>
        </w:rPr>
        <w:fldChar w:fldCharType="end"/>
      </w:r>
      <w:r w:rsidR="00FC5800" w:rsidRPr="00402AEC">
        <w:rPr>
          <w:lang w:val="en-GB"/>
        </w:rPr>
        <w:t>)</w:t>
      </w:r>
    </w:p>
    <w:p w14:paraId="6900E124" w14:textId="77777777" w:rsidR="00EC217C" w:rsidRPr="00402AEC" w:rsidRDefault="00EC217C" w:rsidP="000C2B2F">
      <w:pPr>
        <w:rPr>
          <w:lang w:val="en-GB"/>
        </w:rPr>
      </w:pPr>
    </w:p>
    <w:p w14:paraId="00640BC6" w14:textId="7DB9E255" w:rsidR="00256500" w:rsidRPr="00402AEC" w:rsidRDefault="001067B3" w:rsidP="00026D10">
      <w:pPr>
        <w:spacing w:after="160" w:line="360" w:lineRule="auto"/>
        <w:rPr>
          <w:rFonts w:eastAsia="Times New Roman"/>
          <w:i/>
          <w:lang w:val="en-GB"/>
        </w:rPr>
      </w:pPr>
      <w:r>
        <w:rPr>
          <w:rFonts w:eastAsia="Times New Roman"/>
          <w:i/>
          <w:lang w:val="en-GB"/>
        </w:rPr>
        <w:t xml:space="preserve">4.1 </w:t>
      </w:r>
      <w:r w:rsidR="00256500" w:rsidRPr="00402AEC">
        <w:rPr>
          <w:rFonts w:eastAsia="Times New Roman"/>
          <w:i/>
          <w:lang w:val="en-GB"/>
        </w:rPr>
        <w:t>CBM best practices</w:t>
      </w:r>
    </w:p>
    <w:p w14:paraId="5E6D6EA3" w14:textId="1BA89864" w:rsidR="00844FB6" w:rsidRDefault="00932833" w:rsidP="00216241">
      <w:pPr>
        <w:spacing w:after="240" w:line="360" w:lineRule="auto"/>
        <w:jc w:val="both"/>
        <w:rPr>
          <w:lang w:val="en-GB" w:bidi="en-US"/>
        </w:rPr>
      </w:pPr>
      <w:r w:rsidRPr="00402AEC">
        <w:rPr>
          <w:lang w:val="en-GB" w:bidi="en-US"/>
        </w:rPr>
        <w:t>The first, and most discussed, topic is related with CBM best practices, or practical implementation of CBMs. From this perspective, the authors follow different strategies. Some experts present CBMs by directly referring to existing examples, usually calling them with emblematic names</w:t>
      </w:r>
      <w:r w:rsidR="003844DB">
        <w:rPr>
          <w:lang w:val="en-GB" w:bidi="en-US"/>
        </w:rPr>
        <w:t xml:space="preserve">, like </w:t>
      </w:r>
      <w:r w:rsidRPr="00402AEC">
        <w:rPr>
          <w:lang w:val="en-GB" w:bidi="en-US"/>
        </w:rPr>
        <w:t>repair cafés</w:t>
      </w:r>
      <w:r w:rsidR="003844DB">
        <w:rPr>
          <w:lang w:val="en-GB" w:bidi="en-US"/>
        </w:rPr>
        <w:t xml:space="preserve"> (</w:t>
      </w:r>
      <w:r w:rsidR="003844DB" w:rsidRPr="00252DF0">
        <w:rPr>
          <w:lang w:val="en-GB" w:bidi="en-US"/>
        </w:rPr>
        <w:fldChar w:fldCharType="begin" w:fldLock="1"/>
      </w:r>
      <w:r w:rsidR="003445CC">
        <w:rPr>
          <w:lang w:val="en-GB" w:bidi="en-US"/>
        </w:rPr>
        <w:instrText>ADDIN CSL_CITATION {"citationItems":[{"id":"ITEM-1","itemData":{"DOI":"http://dx.doi.org/10.2139/ssrn.2908107","ISBN":"9589721869","ISSN":"9780983648703","abstract":"The traditional “take-make-dispose” consumption model cannot sustain in the long run and companies need to adapt their business models to find more sustainable ways to create, deliver and capture value. Business models that decouple economic growth from raw material input, using a circular approach, will become essential in the near future. This idea has come to be known as the circular economy. In the circular economy, recourses are kept in use for as long as possible, by for example reusing or repairing products that would have been thrown away in a linear economy. To illustrate how companies can implement circular business models in practice, we provide examples from the do-it-yourself-construction retail industry in Norway - a traditional industry known for its wasteful “take-make-dispose” approach. We propose four business model designs that offer different ways for companies to become more circular rooted in the ideas of product life extension, resource recovery and product-as-service logic. As we will discuss, while some of these practices can be added to the retailer's existing business model, others require a more radical change in the traditional business model. By means of our findings, we intend to encourage retailers to change their business models towards greater sustainability and eventually steer their suppliers and customers towards more sustainable production and consumption patterns. -","author":[{"dropping-particle":"","family":"Adam","given":"Sunniva","non-dropping-particle":"","parse-names":false,"suffix":""},{"dropping-particle":"","family":"Bücker","given":"Christian","non-dropping-particle":"","parse-names":false,"suffix":""},{"dropping-particle":"","family":"Desguin","given":"Samuel","non-dropping-particle":"","parse-names":false,"suffix":""},{"dropping-particle":"","family":"Madsen","given":"Nicolai","non-dropping-particle":"","parse-names":false,"suffix":""},{"dropping-particle":"","family":"Saebi","given":"Tina","non-dropping-particle":"","parse-names":false,"suffix":""}],"container-title":"SSRN Electronic Journal","id":"ITEM-1","issued":{"date-parts":[["2017"]]},"page":"1-21","title":"Taking part in the circular economy: four ways to designing circular business models","type":"article-journal"},"uris":["http://www.mendeley.com/documents/?uuid=d9f89004-426d-4ed4-99f3-9968f703df49","http://www.mendeley.com/documents/?uuid=2a09cf36-9084-43af-8021-c12bd41689b6"]}],"mendeley":{"formattedCitation":"(Adam et al., 2017)","manualFormatting":"Adam et al. 2017)","plainTextFormattedCitation":"(Adam et al., 2017)","previouslyFormattedCitation":"(Adam et al., 2017)"},"properties":{"noteIndex":0},"schema":"https://github.com/citation-style-language/schema/raw/master/csl-citation.json"}</w:instrText>
      </w:r>
      <w:r w:rsidR="003844DB" w:rsidRPr="00252DF0">
        <w:rPr>
          <w:lang w:val="en-GB" w:bidi="en-US"/>
        </w:rPr>
        <w:fldChar w:fldCharType="separate"/>
      </w:r>
      <w:r w:rsidR="003844DB" w:rsidRPr="00402AEC">
        <w:rPr>
          <w:noProof/>
          <w:lang w:val="en-GB" w:bidi="en-US"/>
        </w:rPr>
        <w:t>Adam et al. 2017)</w:t>
      </w:r>
      <w:r w:rsidR="003844DB" w:rsidRPr="00252DF0">
        <w:rPr>
          <w:lang w:val="en-GB" w:bidi="en-US"/>
        </w:rPr>
        <w:fldChar w:fldCharType="end"/>
      </w:r>
      <w:r w:rsidR="0086347B">
        <w:rPr>
          <w:lang w:val="en-GB" w:bidi="en-US"/>
        </w:rPr>
        <w:t xml:space="preserve">, </w:t>
      </w:r>
      <w:r w:rsidR="007C263E">
        <w:rPr>
          <w:lang w:val="en-GB" w:bidi="en-US"/>
        </w:rPr>
        <w:t>gap exploiters (</w:t>
      </w:r>
      <w:r w:rsidR="007C263E" w:rsidRPr="009601F2">
        <w:rPr>
          <w:lang w:val="en-GB" w:bidi="en-US"/>
        </w:rPr>
        <w:fldChar w:fldCharType="begin" w:fldLock="1"/>
      </w:r>
      <w:r w:rsidR="003445CC">
        <w:rPr>
          <w:lang w:val="en-GB" w:bidi="en-US"/>
        </w:rPr>
        <w:instrText>ADDIN CSL_CITATION {"citationItems":[{"id":"ITEM-1","itemData":{"DOI":"10.1016/j.resconrec.2017.07.029","ISBN":"09213449 (ISSN)","ISSN":"18790658","abstract":"This paper presents two case studies of Swedish ICT 'gap exploiter' companies to provide a nuanced perspective in the investigation of ICT reuse business models and policies. Gap exploiters are third-party firms that create value through the re-utilization of existing products. While extending product life through the gap exploiter model is promising in the transition to a circular economy, business models and policies related to ICT reuse are under-researched in literature and existing studies are characterized by general approaches. While the generalizability of this study has limitations based on size and geographic location, this paper provides an in-depth look at how circular economy strategies can be embodied in the gap exploiter business model within the ICT sector. Main findings include barriers to business operations and opportunities to address them through business model innovation and policy intervention. The study furthers understanding of ICT reuse operations and their related business models. It also contributes to the upcoming policy debate on how to encourage and create a more resource efficient and circular economy.","author":[{"dropping-particle":"","family":"Whalen","given":"Katherine A.","non-dropping-particle":"","parse-names":false,"suffix":""},{"dropping-particle":"","family":"Milios","given":"Leonidas","non-dropping-particle":"","parse-names":false,"suffix":""},{"dropping-particle":"","family":"Nußholz","given":"Julia L.K.","non-dropping-particle":"","parse-names":false,"suffix":""}],"container-title":"Resources, Conservation and Recycling","id":"ITEM-1","issued":{"date-parts":[["2017"]]},"page":"123-131","publisher":"Elsevier","title":"Bridging the gap: Barriers and potential for scaling reuse practices in the Swedish ICT sector","type":"article-journal","volume":"135"},"uris":["http://www.mendeley.com/documents/?uuid=b60a49a8-ab46-42b3-86e7-4a82a6e2c5e8","http://www.mendeley.com/documents/?uuid=7fdeb801-74df-4b5e-a25b-36b24fede298"]}],"mendeley":{"formattedCitation":"(Whalen et al., 2017)","manualFormatting":"Whalen et al. 2017)","plainTextFormattedCitation":"(Whalen et al., 2017)","previouslyFormattedCitation":"(Whalen et al., 2017)"},"properties":{"noteIndex":0},"schema":"https://github.com/citation-style-language/schema/raw/master/csl-citation.json"}</w:instrText>
      </w:r>
      <w:r w:rsidR="007C263E" w:rsidRPr="009601F2">
        <w:rPr>
          <w:lang w:val="en-GB" w:bidi="en-US"/>
        </w:rPr>
        <w:fldChar w:fldCharType="separate"/>
      </w:r>
      <w:r w:rsidR="007C263E" w:rsidRPr="00402AEC">
        <w:rPr>
          <w:noProof/>
          <w:lang w:val="en-GB" w:bidi="en-US"/>
        </w:rPr>
        <w:t>Whalen et al. 2017)</w:t>
      </w:r>
      <w:r w:rsidR="007C263E" w:rsidRPr="009601F2">
        <w:rPr>
          <w:lang w:val="en-GB" w:bidi="en-US"/>
        </w:rPr>
        <w:fldChar w:fldCharType="end"/>
      </w:r>
      <w:r w:rsidR="0096033C">
        <w:rPr>
          <w:lang w:val="en-GB" w:bidi="en-US"/>
        </w:rPr>
        <w:t xml:space="preserve"> and gatekeepers (</w:t>
      </w:r>
      <w:r w:rsidR="0096033C" w:rsidRPr="009601F2">
        <w:rPr>
          <w:lang w:val="en-GB" w:bidi="en-US"/>
        </w:rPr>
        <w:fldChar w:fldCharType="begin" w:fldLock="1"/>
      </w:r>
      <w:r w:rsidR="003027D4">
        <w:rPr>
          <w:lang w:val="en-GB" w:bidi="en-US"/>
        </w:rPr>
        <w:instrText>ADDIN CSL_CITATION {"citationItems":[{"id":"ITEM-1","itemData":{"DOI":"10.1080/19397038.2017.1317876","ISSN":"19397046","abstract":"Makerspaces – open access design and fabrication workshops – provide new contexts for design practice through 'distributed production' . The global community of makerspaces has evolved quickly and in turn, substantial hype is attributed to its potential for radical sustainable innovation. In this article, we explore this potential in the context of the new 'circular economy' agenda. We focus the research on the critical role of makerspace managers/founders who are recognised as gatekeepers to circular practices. The research method is action-led including expert interviews (academics and founders/managers) as well as two generative context-mapping workshops, run at selected makerspaces in collaboration with their founders/ managers. We unearth everyday 'how-to' guidance to interweave circular practices within makerspaces from the outset by: fostering an enabling culture; building local connections; nurturing individual/ community capacities; and stimulating practical know-how. However, while the research reveals immense opportunities to cultivate circular literacy from within makerspaces, the prospects to ask more profound questions about our economy, through makerspace practices, are found to be compromised by day-to-day concerns. The insights from this research can act as a starting point for future work in this emerging research area.","author":[{"dropping-particle":"","family":"Prendeville","given":"Sharon","non-dropping-particle":"","parse-names":false,"suffix":""},{"dropping-particle":"","family":"Hartung","given":"Grit","non-dropping-particle":"","parse-names":false,"suffix":""},{"dropping-particle":"","family":"Brass","given":"Clare","non-dropping-particle":"","parse-names":false,"suffix":""},{"dropping-particle":"","family":"Purvis","given":"Erica","non-dropping-particle":"","parse-names":false,"suffix":""},{"dropping-particle":"","family":"Hall","given":"Ashley","non-dropping-particle":"","parse-names":false,"suffix":""}],"container-title":"International Journal of Sustainable Engineering","id":"ITEM-1","issue":"4-5","issued":{"date-parts":[["2017"]]},"page":"272-288","publisher":"Taylor &amp; Francis","title":"Circular Makerspaces: the founder’s view","type":"article-journal","volume":"10"},"uris":["http://www.mendeley.com/documents/?uuid=bc38cf62-a4fe-4204-92c4-2833cf884f77","http://www.mendeley.com/documents/?uuid=ef965ef3-90c4-4f72-8316-10ef7e74be5e"]}],"mendeley":{"formattedCitation":"(Prendeville et al., 2017)","manualFormatting":"Prendeville et al. 2017b)","plainTextFormattedCitation":"(Prendeville et al., 2017)","previouslyFormattedCitation":"(Prendeville et al., 2017)"},"properties":{"noteIndex":0},"schema":"https://github.com/citation-style-language/schema/raw/master/csl-citation.json"}</w:instrText>
      </w:r>
      <w:r w:rsidR="0096033C" w:rsidRPr="009601F2">
        <w:rPr>
          <w:lang w:val="en-GB" w:bidi="en-US"/>
        </w:rPr>
        <w:fldChar w:fldCharType="separate"/>
      </w:r>
      <w:r w:rsidR="0096033C" w:rsidRPr="00402AEC">
        <w:rPr>
          <w:noProof/>
          <w:lang w:val="en-GB" w:bidi="en-US"/>
        </w:rPr>
        <w:t>Prendeville et al. 2017b)</w:t>
      </w:r>
      <w:r w:rsidR="0096033C" w:rsidRPr="009601F2">
        <w:rPr>
          <w:lang w:val="en-GB" w:bidi="en-US"/>
        </w:rPr>
        <w:fldChar w:fldCharType="end"/>
      </w:r>
      <w:r w:rsidRPr="00402AEC">
        <w:rPr>
          <w:lang w:val="en-GB" w:bidi="en-US"/>
        </w:rPr>
        <w:t>,</w:t>
      </w:r>
      <w:r w:rsidR="00D25FDD">
        <w:rPr>
          <w:lang w:val="en-GB" w:bidi="en-US"/>
        </w:rPr>
        <w:t xml:space="preserve"> </w:t>
      </w:r>
      <w:r w:rsidRPr="00402AEC">
        <w:rPr>
          <w:lang w:val="en-GB" w:bidi="en-US"/>
        </w:rPr>
        <w:t xml:space="preserve">trying to interpret what already proposed by </w:t>
      </w:r>
      <w:r w:rsidRPr="009601F2">
        <w:rPr>
          <w:lang w:val="en-GB" w:bidi="en-US"/>
        </w:rPr>
        <w:fldChar w:fldCharType="begin" w:fldLock="1"/>
      </w:r>
      <w:r w:rsidR="003445CC">
        <w:rPr>
          <w:lang w:val="en-GB" w:bidi="en-US"/>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Transition","type":"report"},"uris":["http://www.mendeley.com/documents/?uuid=971e4fa0-7fe9-4e1f-b452-62303eeda0d3"]}],"mendeley":{"formattedCitation":"(The Ellen MacArthur Foundation, 2015)","manualFormatting":"The Ellen MacArthur Foundation (2015)","plainTextFormattedCitation":"(The Ellen MacArthur Foundation, 2015)","previouslyFormattedCitation":"(The Ellen MacArthur Foundation, 2015)"},"properties":{"noteIndex":0},"schema":"https://github.com/citation-style-language/schema/raw/master/csl-citation.json"}</w:instrText>
      </w:r>
      <w:r w:rsidRPr="009601F2">
        <w:rPr>
          <w:lang w:val="en-GB" w:bidi="en-US"/>
        </w:rPr>
        <w:fldChar w:fldCharType="separate"/>
      </w:r>
      <w:r w:rsidRPr="00402AEC">
        <w:rPr>
          <w:noProof/>
          <w:lang w:val="en-GB" w:bidi="en-US"/>
        </w:rPr>
        <w:t xml:space="preserve">The Ellen MacArthur Foundation </w:t>
      </w:r>
      <w:r w:rsidR="00F532FA">
        <w:rPr>
          <w:noProof/>
          <w:lang w:val="en-GB" w:bidi="en-US"/>
        </w:rPr>
        <w:t>(</w:t>
      </w:r>
      <w:r w:rsidRPr="00402AEC">
        <w:rPr>
          <w:noProof/>
          <w:lang w:val="en-GB" w:bidi="en-US"/>
        </w:rPr>
        <w:t>2015)</w:t>
      </w:r>
      <w:r w:rsidRPr="009601F2">
        <w:rPr>
          <w:lang w:val="en-GB" w:bidi="en-US"/>
        </w:rPr>
        <w:fldChar w:fldCharType="end"/>
      </w:r>
      <w:r w:rsidRPr="00402AEC">
        <w:rPr>
          <w:lang w:val="en-GB" w:bidi="en-US"/>
        </w:rPr>
        <w:t>.</w:t>
      </w:r>
      <w:r w:rsidR="00737092">
        <w:rPr>
          <w:lang w:val="en-GB" w:bidi="en-US"/>
        </w:rPr>
        <w:t xml:space="preserve"> </w:t>
      </w:r>
      <w:r w:rsidRPr="00402AEC">
        <w:rPr>
          <w:lang w:val="en-GB" w:bidi="en-US"/>
        </w:rPr>
        <w:t>Other</w:t>
      </w:r>
      <w:r w:rsidR="00E210B8" w:rsidRPr="00402AEC">
        <w:rPr>
          <w:lang w:val="en-GB" w:bidi="en-US"/>
        </w:rPr>
        <w:t xml:space="preserve"> experts</w:t>
      </w:r>
      <w:r w:rsidRPr="00402AEC">
        <w:rPr>
          <w:lang w:val="en-GB" w:bidi="en-US"/>
        </w:rPr>
        <w:t xml:space="preserve"> are focused on </w:t>
      </w:r>
      <w:r w:rsidR="0074104C">
        <w:rPr>
          <w:lang w:val="en-GB" w:bidi="en-US"/>
        </w:rPr>
        <w:t>specific service</w:t>
      </w:r>
      <w:r w:rsidR="002A0E72">
        <w:rPr>
          <w:lang w:val="en-GB" w:bidi="en-US"/>
        </w:rPr>
        <w:t>s</w:t>
      </w:r>
      <w:r w:rsidR="0074104C">
        <w:rPr>
          <w:lang w:val="en-GB" w:bidi="en-US"/>
        </w:rPr>
        <w:t xml:space="preserve"> </w:t>
      </w:r>
      <w:r w:rsidR="008A43B5">
        <w:rPr>
          <w:lang w:val="en-GB" w:bidi="en-US"/>
        </w:rPr>
        <w:t>and</w:t>
      </w:r>
      <w:r w:rsidR="005A2219">
        <w:rPr>
          <w:lang w:val="en-GB" w:bidi="en-US"/>
        </w:rPr>
        <w:t xml:space="preserve"> </w:t>
      </w:r>
      <w:r w:rsidR="007A5352">
        <w:rPr>
          <w:lang w:val="en-GB" w:bidi="en-US"/>
        </w:rPr>
        <w:t xml:space="preserve">their role in </w:t>
      </w:r>
      <w:r w:rsidR="007A5352" w:rsidRPr="00402AEC">
        <w:rPr>
          <w:lang w:val="en-GB" w:bidi="en-US"/>
        </w:rPr>
        <w:t>reaching an efficient and sustainable growth</w:t>
      </w:r>
      <w:r w:rsidRPr="00402AEC">
        <w:rPr>
          <w:lang w:val="en-GB" w:bidi="en-US"/>
        </w:rPr>
        <w:t xml:space="preserve"> </w:t>
      </w:r>
      <w:r w:rsidR="007A5352">
        <w:rPr>
          <w:lang w:val="en-GB" w:bidi="en-US"/>
        </w:rPr>
        <w:t>(</w:t>
      </w:r>
      <w:r w:rsidRPr="009601F2">
        <w:rPr>
          <w:lang w:val="en-GB" w:bidi="en-US"/>
        </w:rPr>
        <w:fldChar w:fldCharType="begin" w:fldLock="1"/>
      </w:r>
      <w:r w:rsidR="00BF2F60">
        <w:rPr>
          <w:lang w:val="en-GB" w:bidi="en-US"/>
        </w:rPr>
        <w:instrText>ADDIN CSL_CITATION {"citationItems":[{"id":"ITEM-1","itemData":{"author":[{"dropping-particle":"","family":"Piciu","given":"Gabriela Cornelia","non-dropping-particle":"","parse-names":false,"suffix":""}],"container-title":"The Journal Contemporary Economy","id":"ITEM-1","issue":"2","issued":{"date-parts":[["2016"]]},"page":"85-117","title":"Business Models of Circular Economy","type":"article-journal","volume":"1"},"uris":["http://www.mendeley.com/documents/?uuid=5c62b1d8-a549-4407-8b61-3aa5add58135","http://www.mendeley.com/documents/?uuid=7aad7c38-c34b-4bab-bf9f-675654aa4d4e"]}],"mendeley":{"formattedCitation":"(Piciu, 2016)","manualFormatting":"Piciu 2016)","plainTextFormattedCitation":"(Piciu, 2016)","previouslyFormattedCitation":"(Piciu, 2016)"},"properties":{"noteIndex":0},"schema":"https://github.com/citation-style-language/schema/raw/master/csl-citation.json"}</w:instrText>
      </w:r>
      <w:r w:rsidRPr="009601F2">
        <w:rPr>
          <w:lang w:val="en-GB" w:bidi="en-US"/>
        </w:rPr>
        <w:fldChar w:fldCharType="separate"/>
      </w:r>
      <w:r w:rsidRPr="00402AEC">
        <w:rPr>
          <w:noProof/>
          <w:lang w:val="en-GB" w:bidi="en-US"/>
        </w:rPr>
        <w:t>Piciu 2016)</w:t>
      </w:r>
      <w:r w:rsidRPr="009601F2">
        <w:rPr>
          <w:lang w:val="en-GB" w:bidi="en-US"/>
        </w:rPr>
        <w:fldChar w:fldCharType="end"/>
      </w:r>
      <w:r w:rsidR="007A5352">
        <w:rPr>
          <w:lang w:val="en-GB" w:bidi="en-US"/>
        </w:rPr>
        <w:t>.</w:t>
      </w:r>
      <w:r w:rsidR="005A2219">
        <w:rPr>
          <w:lang w:val="en-GB" w:bidi="en-US"/>
        </w:rPr>
        <w:t xml:space="preserve"> </w:t>
      </w:r>
      <w:r w:rsidR="00E42CDF" w:rsidRPr="00402AEC">
        <w:rPr>
          <w:lang w:val="en-GB" w:bidi="en-US"/>
        </w:rPr>
        <w:t>Again,</w:t>
      </w:r>
      <w:r w:rsidRPr="00402AEC">
        <w:rPr>
          <w:lang w:val="en-GB" w:bidi="en-US"/>
        </w:rPr>
        <w:t xml:space="preserve"> other</w:t>
      </w:r>
      <w:r w:rsidR="00E42CDF" w:rsidRPr="00402AEC">
        <w:rPr>
          <w:lang w:val="en-GB" w:bidi="en-US"/>
        </w:rPr>
        <w:t xml:space="preserve"> experts</w:t>
      </w:r>
      <w:r w:rsidRPr="00402AEC">
        <w:rPr>
          <w:lang w:val="en-GB" w:bidi="en-US"/>
        </w:rPr>
        <w:t xml:space="preserve"> are focused on a specific product</w:t>
      </w:r>
      <w:r w:rsidR="00174018">
        <w:rPr>
          <w:lang w:val="en-GB" w:bidi="en-US"/>
        </w:rPr>
        <w:t xml:space="preserve">, </w:t>
      </w:r>
      <w:r w:rsidR="00B31129">
        <w:rPr>
          <w:lang w:val="en-GB" w:bidi="en-US"/>
        </w:rPr>
        <w:t>mainly on</w:t>
      </w:r>
      <w:r w:rsidR="00174018">
        <w:rPr>
          <w:lang w:val="en-GB" w:bidi="en-US"/>
        </w:rPr>
        <w:t xml:space="preserve"> </w:t>
      </w:r>
      <w:r w:rsidR="00174018" w:rsidRPr="003712D9">
        <w:rPr>
          <w:lang w:val="en-GB" w:bidi="en-US"/>
        </w:rPr>
        <w:t>washing machines</w:t>
      </w:r>
      <w:r w:rsidRPr="00402AEC">
        <w:rPr>
          <w:lang w:val="en-GB" w:bidi="en-US"/>
        </w:rPr>
        <w:t xml:space="preserve"> </w:t>
      </w:r>
      <w:r w:rsidR="00787480">
        <w:rPr>
          <w:lang w:val="en-GB" w:bidi="en-US"/>
        </w:rPr>
        <w:fldChar w:fldCharType="begin" w:fldLock="1"/>
      </w:r>
      <w:r w:rsidR="00BF2F60">
        <w:rPr>
          <w:lang w:val="en-GB" w:bidi="en-US"/>
        </w:rPr>
        <w:instrText>ADDIN CSL_CITATION {"citationItems":[{"id":"ITEM-1","itemData":{"DOI":"10.1016/j.procir.2017.03.065","ISBN":"22128271 (ISSN)","ISSN":"22128271","abstract":"Although circular economy is usually indicated as a way to reconcile economic growth and sustainability, circular business models and related product-service systems are not implemented on a large scale yet. Providing information about how to develop circular business models and methods to evaluate their expected impacts, can support stakeholders to embrace this transition. To this regard, the aim of this paper is to propose and discuss the actions required for reshaping the washing machine industry towards a circular economy scenario. The paper, based on a recently launched research project, describes a set of actions and develops very preliminary computations of their expected impact. Results show that customers could benefit from an average yearly saving of almost 30% of the current washing cost, while country total electricity generation and water consumption could be reduced of about 0.6% and 1% respectively. Albeit they are only preliminary estimates and further research and empirical validation are certainly needed, these outcomes gives an idea about the order of magnitude of benefits gathered by a circular economy transition for a mass durable consumer goods industry such as washing machines.","author":[{"dropping-particle":"","family":"Bressanelli","given":"Gianmarco","non-dropping-particle":"","parse-names":false,"suffix":""},{"dropping-particle":"","family":"Perona","given":"Marco","non-dropping-particle":"","parse-names":false,"suffix":""},{"dropping-particle":"","family":"Saccani","given":"Nicola","non-dropping-particle":"","parse-names":false,"suffix":""}],"container-title":"Procedia CIRP","id":"ITEM-1","issued":{"date-parts":[["2017"]]},"page":"43-48","publisher":"The Author(s)","title":"Reshaping the Washing Machine Industry through Circular Economy and Product-Service System Business Models","type":"article-journal","volume":"64"},"uris":["http://www.mendeley.com/documents/?uuid=e3011812-e5c5-4920-ac49-f3032dfd4b5b","http://www.mendeley.com/documents/?uuid=7f6fa3f0-48d2-43d8-a682-95b50d63dbf1"]},{"id":"ITEM-2","itemData":{"DOI":"10.3233/978-1-61499-820-4-41","ISBN":"9781614998204","author":[{"dropping-particle":"","family":"Bocken","given":"Nancy M.P.","non-dropping-particle":"","parse-names":false,"suffix":""},{"dropping-particle":"","family":"Bom","given":"C.A.","non-dropping-particle":"","parse-names":false,"suffix":""},{"dropping-particle":"","family":"Lemstra","given":"H.J.","non-dropping-particle":"","parse-names":false,"suffix":""}],"container-title":"PLATE 2017 - Product Lifetimes And The Environment Conference","id":"ITEM-2","issued":{"date-parts":[["2017"]]},"page":"1-7","publisher":"TU Delft","publisher-place":"Delft","title":"Business experiments as an approach to drive sustainable consumption: the case of HOMIE","type":"paper-conference"},"uris":["http://www.mendeley.com/documents/?uuid=4f80fc05-2d85-441b-a337-9e9393ab2069","http://www.mendeley.com/documents/?uuid=ff40fd80-e52b-4f97-8579-eb42b388692a"]},{"id":"ITEM-3","itemData":{"DOI":"10.1016/j.procir.2017.03.018","ISBN":"22128271 (ISSN)","ISSN":"22128271","abstract":"The circular economy paradigm is being widely studied as a possible path to a sustainable development, decoupling economic growth from material consumption and environmental impacts. The introduction of new business models, based on use rather than ownership, has been identified as one of the possible enabling actions for the implementation of circular economy strategies. Thus, product-service systems (PSS) can represent a viable way for companies and customers to switch from a linear to a circular scheme, keeping together the advantages of a customer-oriented offer to those of dematerialization. In this work, an example of innovative, circular business model for the large appliances sector is proposed, based on a PSS and a closed-loop supply chain. A context study, supported by a deep literature analysis, is performed to identify the main changes involved in the transition from a traditional to a circular supply chain in the sector, as well as the main impacts on the actors involved, through causal loop diagrams. The study is a first step for the realization of a system dynamics model, for a further research on impact assessment.","author":[{"dropping-particle":"","family":"Gnoni","given":"Maria Grazia","non-dropping-particle":"","parse-names":false,"suffix":""},{"dropping-particle":"","family":"Mossa","given":"Giorgio","non-dropping-particle":"","parse-names":false,"suffix":""},{"dropping-particle":"","family":"Mummolo","given":"Giovanni","non-dropping-particle":"","parse-names":false,"suffix":""},{"dropping-particle":"","family":"Tornese","given":"Fabiana","non-dropping-particle":"","parse-names":false,"suffix":""},{"dropping-particle":"","family":"Verriello","given":"Rossella","non-dropping-particle":"","parse-names":false,"suffix":""}],"container-title":"Procedia CIRP","id":"ITEM-3","issued":{"date-parts":[["2017"]]},"page":"49-54","publisher":"The Author(s)","title":"Supporting Circular Economy through Use-Based Business Models: The Washing Machines Case","type":"article-journal","volume":"64"},"uris":["http://www.mendeley.com/documents/?uuid=f3ace924-c39f-4a29-8cfe-524aa08ea77b","http://www.mendeley.com/documents/?uuid=fb3cf6dd-6e39-4d5a-b5ff-a7d581b88b5b"]}],"mendeley":{"formattedCitation":"(Bocken et al., 2017; Bressanelli et al., 2017; Gnoni et al., 2017)","plainTextFormattedCitation":"(Bocken et al., 2017; Bressanelli et al., 2017; Gnoni et al., 2017)","previouslyFormattedCitation":"(Bocken et al., 2017; Bressanelli et al., 2017; Gnoni et al., 2017)"},"properties":{"noteIndex":0},"schema":"https://github.com/citation-style-language/schema/raw/master/csl-citation.json"}</w:instrText>
      </w:r>
      <w:r w:rsidR="00787480">
        <w:rPr>
          <w:lang w:val="en-GB" w:bidi="en-US"/>
        </w:rPr>
        <w:fldChar w:fldCharType="separate"/>
      </w:r>
      <w:r w:rsidR="00787480" w:rsidRPr="00746DB3">
        <w:rPr>
          <w:noProof/>
          <w:lang w:val="en-GB" w:bidi="en-US"/>
        </w:rPr>
        <w:t>(Bocken et al., 2017; Bressanelli et al., 2017; Gnoni et al., 2017)</w:t>
      </w:r>
      <w:r w:rsidR="00787480">
        <w:rPr>
          <w:lang w:val="en-GB" w:bidi="en-US"/>
        </w:rPr>
        <w:fldChar w:fldCharType="end"/>
      </w:r>
      <w:r w:rsidR="00174018">
        <w:rPr>
          <w:lang w:val="en-GB" w:bidi="en-US"/>
        </w:rPr>
        <w:t>.</w:t>
      </w:r>
      <w:r w:rsidR="00B10712">
        <w:rPr>
          <w:lang w:val="en-GB" w:bidi="en-US"/>
        </w:rPr>
        <w:t xml:space="preserve"> </w:t>
      </w:r>
      <w:r w:rsidRPr="00402AEC">
        <w:rPr>
          <w:lang w:val="en-GB" w:bidi="en-US"/>
        </w:rPr>
        <w:t>However, great part of the literature focuses on a particular sector</w:t>
      </w:r>
      <w:r w:rsidR="00390B73">
        <w:rPr>
          <w:lang w:val="en-GB" w:bidi="en-US"/>
        </w:rPr>
        <w:t>,</w:t>
      </w:r>
      <w:r w:rsidR="00DE5DAC">
        <w:rPr>
          <w:lang w:val="en-GB" w:bidi="en-US"/>
        </w:rPr>
        <w:t xml:space="preserve"> like</w:t>
      </w:r>
      <w:r w:rsidR="00396796">
        <w:rPr>
          <w:lang w:val="en-GB" w:bidi="en-US"/>
        </w:rPr>
        <w:t xml:space="preserve"> metallurgy </w:t>
      </w:r>
      <w:r w:rsidR="00FE5826">
        <w:rPr>
          <w:lang w:val="en-GB" w:bidi="en-US"/>
        </w:rPr>
        <w:fldChar w:fldCharType="begin" w:fldLock="1"/>
      </w:r>
      <w:r w:rsidR="00BF2F60">
        <w:rPr>
          <w:lang w:val="en-GB" w:bidi="en-US"/>
        </w:rPr>
        <w:instrText>ADDIN CSL_CITATION {"citationItems":[{"id":"ITEM-1","itemData":{"author":[{"dropping-particle":"","family":"Hindley","given":"Rick","non-dropping-particle":"","parse-names":false,"suffix":""}],"container-title":"Aluminium International Today","id":"ITEM-1","issue":"April","issued":{"date-parts":[["2016"]]},"page":"1-4","title":"Putting the Circular Economy in Motion","type":"article-magazine"},"uris":["http://www.mendeley.com/documents/?uuid=bb69182d-9953-4504-916f-68f2d74aa9b8","http://www.mendeley.com/documents/?uuid=8776b2bf-12e2-4052-822e-c24c9e0e2966"]},{"id":"ITEM-2","itemData":{"abstract":"The transition to a circular economy is a unique opportunity for fast-growing Asian economies to be resource efficient, competitive, and innovative. The circular economy aims to eradicate wasteful use of raw materials and energy from the manufacturing process as well as systematically throughout the various life cycles, and to reuse the by-products. By creating an enabling policy framework for circular economy, government can also motivate corporate leaders to achieve greater benefits for sustainable development. This book investigates the challenges and opportunities of how countries and corporations are able to strike a better balance between economic growth and resource efficiency stewardship in the context of the emerging paradigm on circular economy policy. Through analysis of a number of case studies, this book also highlights immediate and relatively easy-to-implement circular thinking based on current policy approaches and market trends.","author":[{"dropping-particle":"","family":"Kim","given":"Jootae","non-dropping-particle":"","parse-names":false,"suffix":""},{"dropping-particle":"","family":"Ahn","given":"Yoonki","non-dropping-particle":"","parse-names":false,"suffix":""},{"dropping-particle":"","family":"Roh","given":"Taewoo","non-dropping-particle":"","parse-names":false,"suffix":""}],"container-title":"Towards a Circular Economy: Corporate Management and Policy Pathways. ERIA Research Project Report 2014-44","id":"ITEM-2","issued":{"date-parts":[["2016"]]},"number-of-pages":"185-199","title":"Low-carbon Management of POSCO in Circular Economy: Current Status and Limitations","type":"report"},"uris":["http://www.mendeley.com/documents/?uuid=b5c83ba3-8973-42f4-873d-be894e1fd14d","http://www.mendeley.com/documents/?uuid=ff7d2961-20e7-489c-a1ed-8388173190b9"]},{"id":"ITEM-3","itemData":{"DOI":"10.1016/j.jclepro.2013.10.008","ISBN":"0959-6526","ISSN":"09596526","abstract":"The iron and steel industry is a resource and energy intensive industry; in China, it also produces high pollution and emissions. Therefore, the iron and steel industry in China is inevitably developing a circular economy. This study focuses on private steel enterprises in China, whose annual pig iron output comprised more than half the total national output of 2010. Firstly, this study provides a historical perspective on the circular economy mode inherent in this sector, explains how significant reductions in energy consumption and pollutant emissions have been realized, and offers guidance for future initiatives. Then, the states of various circular economy development pathways for the Wu'an Iron and Steel Group (WISG), a typical private steel enterprise based in North China, are examined as a case study. To assess the circular economy of the WISG, an evaluation system used by this industry to estimate circular economy performance - that is, a system that uses circular economy efficiency composite index (CEECI) values - is introduced. Our results indicate that the CEECI values of the WISG were 0.72 and 0.89 in 2007 and 2010, respectively, which were lower than those of the national large and medium-sized key iron and steel enterprises (NKISE) in China. Although the implementation of a circular economy has greatly enhanced the WISG with respect to reducing pollution, further measures, such as improving the utilization rates of coke oven gas, converter gas, and converter slag, as well as reducing sulfur dioxide emissions, are urgently required. The integration of these measures into the current circumstances is not only possible in the future but is inevitably essential to achieving sustainable development in the steel industry. © 2013 Elsevier Ltd. All rights reserved.","author":[{"dropping-particle":"","family":"Ma","given":"Shu-hua","non-dropping-particle":"","parse-names":false,"suffix":""},{"dropping-particle":"","family":"Wen","given":"Zong-guo","non-dropping-particle":"","parse-names":false,"suffix":""},{"dropping-particle":"","family":"Chen","given":"Ji-ning","non-dropping-particle":"","parse-names":false,"suffix":""},{"dropping-particle":"","family":"Wen","given":"Zhi-chao","non-dropping-particle":"","parse-names":false,"suffix":""}],"container-title":"Journal of Cleaner Production","id":"ITEM-3","issued":{"date-parts":[["2014"]]},"page":"505-512","publisher":"Elsevier Ltd","title":"Mode of circular economy in China's iron and steel industry: A case study in Wu'an city","type":"article-journal","volume":"64"},"uris":["http://www.mendeley.com/documents/?uuid=c822087e-323e-43a4-98b0-f9177a9c2d97","http://www.mendeley.com/documents/?uuid=bc29f9b7-4aa1-4e05-aabc-562d36058fd6"]}],"mendeley":{"formattedCitation":"(Hindley, 2016; Kim et al., 2016; Ma et al., 2014)","plainTextFormattedCitation":"(Hindley, 2016; Kim et al., 2016; Ma et al., 2014)","previouslyFormattedCitation":"(Hindley, 2016; Kim et al., 2016; Ma et al., 2014)"},"properties":{"noteIndex":0},"schema":"https://github.com/citation-style-language/schema/raw/master/csl-citation.json"}</w:instrText>
      </w:r>
      <w:r w:rsidR="00FE5826">
        <w:rPr>
          <w:lang w:val="en-GB" w:bidi="en-US"/>
        </w:rPr>
        <w:fldChar w:fldCharType="separate"/>
      </w:r>
      <w:r w:rsidR="00FE5826" w:rsidRPr="00FE5826">
        <w:rPr>
          <w:noProof/>
          <w:lang w:val="en-GB" w:bidi="en-US"/>
        </w:rPr>
        <w:t>(Hindley, 2016; Kim et al., 2016; Ma et al., 2014)</w:t>
      </w:r>
      <w:r w:rsidR="00FE5826">
        <w:rPr>
          <w:lang w:val="en-GB" w:bidi="en-US"/>
        </w:rPr>
        <w:fldChar w:fldCharType="end"/>
      </w:r>
      <w:r w:rsidR="00B10712">
        <w:rPr>
          <w:lang w:val="en-GB" w:bidi="en-US"/>
        </w:rPr>
        <w:t xml:space="preserve">, </w:t>
      </w:r>
      <w:r w:rsidR="009170EA">
        <w:rPr>
          <w:lang w:val="en-GB" w:bidi="en-US"/>
        </w:rPr>
        <w:t>electric</w:t>
      </w:r>
      <w:r w:rsidR="001B008E">
        <w:rPr>
          <w:lang w:val="en-GB" w:bidi="en-US"/>
        </w:rPr>
        <w:t xml:space="preserve"> components (</w:t>
      </w:r>
      <w:r w:rsidR="001B008E" w:rsidRPr="009601F2">
        <w:rPr>
          <w:lang w:val="en-GB" w:bidi="en-US"/>
        </w:rPr>
        <w:fldChar w:fldCharType="begin" w:fldLock="1"/>
      </w:r>
      <w:r w:rsidR="00BF2F60">
        <w:rPr>
          <w:lang w:val="en-GB" w:bidi="en-US"/>
        </w:rPr>
        <w:instrText>ADDIN CSL_CITATION {"citationItems":[{"id":"ITEM-1","itemData":{"author":[{"dropping-particle":"","family":"Laubscher","given":"Markus","non-dropping-particle":"","parse-names":false,"suffix":""},{"dropping-particle":"","family":"Marinelli","given":"Thomas","non-dropping-particle":"","parse-names":false,"suffix":""}],"container-title":"Going Green - Care Innovation 2014","id":"ITEM-1","issued":{"date-parts":[["2014"]]},"page":"1-6","title":"Integration of Circular Economy in Business","type":"paper-conference"},"uris":["http://www.mendeley.com/documents/?uuid=15ae8a05-939a-40c5-be9b-32a50da40133","http://www.mendeley.com/documents/?uuid=04ea6bf1-8153-4473-bb7b-b9a9b98d1d0a"]}],"mendeley":{"formattedCitation":"(Laubscher and Marinelli, 2014)","manualFormatting":"Laubscher et al. 2014)","plainTextFormattedCitation":"(Laubscher and Marinelli, 2014)","previouslyFormattedCitation":"(Laubscher and Marinelli, 2014)"},"properties":{"noteIndex":0},"schema":"https://github.com/citation-style-language/schema/raw/master/csl-citation.json"}</w:instrText>
      </w:r>
      <w:r w:rsidR="001B008E" w:rsidRPr="009601F2">
        <w:rPr>
          <w:lang w:val="en-GB" w:bidi="en-US"/>
        </w:rPr>
        <w:fldChar w:fldCharType="separate"/>
      </w:r>
      <w:r w:rsidR="001B008E" w:rsidRPr="00402AEC">
        <w:rPr>
          <w:noProof/>
          <w:lang w:val="en-GB" w:bidi="en-US"/>
        </w:rPr>
        <w:t>Laubscher et al. 2014)</w:t>
      </w:r>
      <w:r w:rsidR="001B008E" w:rsidRPr="009601F2">
        <w:rPr>
          <w:lang w:val="en-GB" w:bidi="en-US"/>
        </w:rPr>
        <w:fldChar w:fldCharType="end"/>
      </w:r>
      <w:r w:rsidR="001B008E">
        <w:rPr>
          <w:lang w:val="en-GB" w:bidi="en-US"/>
        </w:rPr>
        <w:t xml:space="preserve">, ICT </w:t>
      </w:r>
      <w:r w:rsidR="00A13D0F">
        <w:rPr>
          <w:lang w:val="en-GB" w:bidi="en-US"/>
        </w:rPr>
        <w:t>(</w:t>
      </w:r>
      <w:r w:rsidR="00A13D0F" w:rsidRPr="009601F2">
        <w:rPr>
          <w:lang w:val="en-GB" w:bidi="en-US"/>
        </w:rPr>
        <w:fldChar w:fldCharType="begin" w:fldLock="1"/>
      </w:r>
      <w:r w:rsidR="00BF2F60">
        <w:rPr>
          <w:lang w:val="en-GB" w:bidi="en-US"/>
        </w:rPr>
        <w:instrText>ADDIN CSL_CITATION {"citationItems":[{"id":"ITEM-1","itemData":{"DOI":"10.1007/978-3-319-20571-7","ISBN":"9783319205717","PMID":"18857557","abstract":"The study of cities, or urban systems, in Industrial Ecology has a peculiar history. In the 1960s, there was a false dawn for green cities in the United States under the Experimental City project, the unfulfi lled plans for which included numer-ous aspects of Industrial Ecology (IE). When IE eventually began to form as a dis-cipline in the 1990s, cities or urban systems were at best a fringe topic, although their importance was recognized by thought leaders in the fi eld. The development of research on cities as a theme within IE perhaps followed with the broadening of IE to include Social Ecology. Then the study of urban metabolism, which had its own separate literature, arguably became one of the three metabolisms within IE – along with industrial and socio-economic. In this review of work on IE and cities, a Scopus search of ISI-rated publications fi nds over 200 papers on the topic, many of which are in the Journal of Industrial Ecology . Amongst the common themes are papers on urban industrial symbiosis, urban infrastructure frameworks, transportation, waste, energy, greenhouse gas emissions, other urban contaminants, metals, phos-phorus and food in cities. The great ongoing challenge for work on IE and cities remains to understand the environmental impacts related to urban metabolism and attempt to reduce them. More specifi c examples of possible future work include determining potentials for city-scale industrial symbiosis and uncovering how much is occurring and exploring theoretical limits to the sustainability of cities using non-equilibrium thermodynamics.","author":[{"dropping-particle":"","family":"McIntyre","given":"Kirstie","non-dropping-particle":"","parse-names":false,"suffix":""},{"dropping-particle":"","family":"Ortiz","given":"John A.","non-dropping-particle":"","parse-names":false,"suffix":""}],"container-title":"Taking Stock of Industrial Ecology","id":"ITEM-1","issued":{"date-parts":[["2015"]]},"page":"317-330","title":"Multinational Corporations and the Circular Economy: How Hewlett Packard Scales Innovation and Technology in Its Global Supply Chain","type":"chapter"},"uris":["http://www.mendeley.com/documents/?uuid=cde568cc-6074-4613-ad1c-d8077347c98b","http://www.mendeley.com/documents/?uuid=1bd33abe-29c8-4c11-b29c-36748fafcc20"]}],"mendeley":{"formattedCitation":"(McIntyre and Ortiz, 2015)","manualFormatting":"McIntyre and Ortiz 2015)","plainTextFormattedCitation":"(McIntyre and Ortiz, 2015)","previouslyFormattedCitation":"(McIntyre and Ortiz, 2015)"},"properties":{"noteIndex":0},"schema":"https://github.com/citation-style-language/schema/raw/master/csl-citation.json"}</w:instrText>
      </w:r>
      <w:r w:rsidR="00A13D0F" w:rsidRPr="009601F2">
        <w:rPr>
          <w:lang w:val="en-GB" w:bidi="en-US"/>
        </w:rPr>
        <w:fldChar w:fldCharType="separate"/>
      </w:r>
      <w:r w:rsidR="00A13D0F" w:rsidRPr="00402AEC">
        <w:rPr>
          <w:noProof/>
          <w:lang w:val="en-GB" w:bidi="en-US"/>
        </w:rPr>
        <w:t>McIntyre and Ortiz 2015)</w:t>
      </w:r>
      <w:r w:rsidR="00A13D0F" w:rsidRPr="009601F2">
        <w:rPr>
          <w:lang w:val="en-GB" w:bidi="en-US"/>
        </w:rPr>
        <w:fldChar w:fldCharType="end"/>
      </w:r>
      <w:r w:rsidR="00A13D0F">
        <w:rPr>
          <w:lang w:val="en-GB" w:bidi="en-US"/>
        </w:rPr>
        <w:t xml:space="preserve">, apparels </w:t>
      </w:r>
      <w:r w:rsidR="00A212B5">
        <w:rPr>
          <w:lang w:val="en-GB" w:bidi="en-US"/>
        </w:rPr>
        <w:fldChar w:fldCharType="begin" w:fldLock="1"/>
      </w:r>
      <w:r w:rsidR="00BF2F60">
        <w:rPr>
          <w:lang w:val="en-GB" w:bidi="en-US"/>
        </w:rPr>
        <w:instrText>ADDIN CSL_CITATION {"citationItems":[{"id":"ITEM-1","itemData":{"DOI":"10.1002/tie.21917","ISBN":"10964762 (ISSN)","ISSN":"15206874","abstract":"For many years, companies have perceived sustainability and corporate social responsibility as annoying trends involving regulations and extra costs. A new concept of industrial organization is required to dissociate growth in resource consumption from increasing prosperity. This concept must move beyond significant efficiency gains in order to successfully deliver change-an idea that is known as a circular economy. The increasing amount of attention paid to environmental issues and pressure from stakeholders have forced businesses to embrace the complexity and interdependencies between shareholder value and sustainable value. Sustainability-driven innovation that increases the circularity of resources, as in the case of Patagonia, Inc., is the key to generating a sustainable competitive advantage that marries economic and social objectives. This article explores ways in which corporations can pursue economic, social, and environmental objectives while simultaneously embracing circularity. © 2017 Wiley Periodicals, Inc.","author":[{"dropping-particle":"","family":"Rattalino","given":"Francesco","non-dropping-particle":"","parse-names":false,"suffix":""}],"container-title":"Thunderbird International Business Review","id":"ITEM-1","issued":{"date-parts":[["2017"]]},"page":"1-9","title":"Circular advantage anyone? Sustainability-driven innovation and circularity at Patagonia, Inc.","type":"article-journal"},"uris":["http://www.mendeley.com/documents/?uuid=e58d468a-b0ab-43eb-8c30-d8fac202ec38","http://www.mendeley.com/documents/?uuid=c3535286-92cc-438c-9a46-29d8bd5b9da3"]},{"id":"ITEM-2","itemData":{"DOI":"10.1016/j.jclepro.2017.09.249","ISBN":"0959-6526","ISSN":"09596526","abstract":"Drawing on the concept of decoupling, from institutional theory in organizational studies, this paper explains how organizations mitigate demands for circularity. Seven Swedish apparel companies that have started collecting used clothes as a form of engagement with circular business models serve as case studies. The paper shows how outsourcing and internal separation allow these companies to buffer their business model and core way of creating value from emerging demands. It also shows how companies pro-actively work at influencing institutional demands for circularity by making these demands compatible with their own interests. The concept of decoupling thereby provides key insights into the development and implementation, or absence thereof, of circular business models.","author":[{"dropping-particle":"","family":"Stål","given":"Herman I.","non-dropping-particle":"","parse-names":false,"suffix":""},{"dropping-particle":"","family":"Corvellec","given":"Hervé","non-dropping-particle":"","parse-names":false,"suffix":""}],"container-title":"Journal of Cleaner Production","id":"ITEM-2","issued":{"date-parts":[["2018"]]},"page":"630-643","title":"A decoupling perspective on circular business model implementation: Illustrations from Swedish apparel","type":"article-journal","volume":"171"},"uris":["http://www.mendeley.com/documents/?uuid=7f713222-415b-4334-9953-e9c25199158b","http://www.mendeley.com/documents/?uuid=1c97cc7e-b84b-40a3-a7c2-07c318d9f229"]}],"mendeley":{"formattedCitation":"(Rattalino, 2017; Stål and Corvellec, 2018)","plainTextFormattedCitation":"(Rattalino, 2017; Stål and Corvellec, 2018)","previouslyFormattedCitation":"(Rattalino, 2017; Stål and Corvellec, 2018)"},"properties":{"noteIndex":0},"schema":"https://github.com/citation-style-language/schema/raw/master/csl-citation.json"}</w:instrText>
      </w:r>
      <w:r w:rsidR="00A212B5">
        <w:rPr>
          <w:lang w:val="en-GB" w:bidi="en-US"/>
        </w:rPr>
        <w:fldChar w:fldCharType="separate"/>
      </w:r>
      <w:r w:rsidR="00A212B5" w:rsidRPr="00A212B5">
        <w:rPr>
          <w:noProof/>
          <w:lang w:val="en-GB" w:bidi="en-US"/>
        </w:rPr>
        <w:t>(Rattalino, 2017; Stål and Corvellec, 2018)</w:t>
      </w:r>
      <w:r w:rsidR="00A212B5">
        <w:rPr>
          <w:lang w:val="en-GB" w:bidi="en-US"/>
        </w:rPr>
        <w:fldChar w:fldCharType="end"/>
      </w:r>
      <w:r w:rsidR="00A82877">
        <w:rPr>
          <w:lang w:val="en-GB" w:bidi="en-US"/>
        </w:rPr>
        <w:t>, mobility (</w:t>
      </w:r>
      <w:r w:rsidR="00A82877" w:rsidRPr="00252DF0">
        <w:rPr>
          <w:lang w:val="en-GB" w:bidi="en-US"/>
        </w:rPr>
        <w:fldChar w:fldCharType="begin" w:fldLock="1"/>
      </w:r>
      <w:r w:rsidR="00BF2F60">
        <w:rPr>
          <w:lang w:val="en-GB" w:bidi="en-US"/>
        </w:rPr>
        <w:instrText>ADDIN CSL_CITATION {"citationItems":[{"id":"ITEM-1","itemData":{"author":[{"dropping-particle":"","family":"Sarasini","given":"Steven","non-dropping-particle":"","parse-names":false,"suffix":""},{"dropping-particle":"","family":"Linder","given":"Marcus","non-dropping-particle":"","parse-names":false,"suffix":""},{"dropping-particle":"","family":"Langeland","given":"Ove","non-dropping-particle":"","parse-names":false,"suffix":""},{"dropping-particle":"","family":"Julsrud","given":"Tom-Erik","non-dropping-particle":"","parse-names":false,"suffix":""}],"container-title":"IST conference 2016","id":"ITEM-1","issued":{"date-parts":[["2016"]]},"page":"1-28","title":"Integrating a business model perspective into sustainability transitions: A research agenda based on servitised mobility","type":"paper-conference"},"uris":["http://www.mendeley.com/documents/?uuid=ac1716d2-bd56-4383-b0a2-d9706ce05740","http://www.mendeley.com/documents/?uuid=0ae94f4d-97c1-4108-9d7a-3ec55d3d3537"]}],"mendeley":{"formattedCitation":"(Sarasini et al., 2016)","manualFormatting":"Sarasini et al. 2016)","plainTextFormattedCitation":"(Sarasini et al., 2016)","previouslyFormattedCitation":"(Sarasini et al., 2016)"},"properties":{"noteIndex":0},"schema":"https://github.com/citation-style-language/schema/raw/master/csl-citation.json"}</w:instrText>
      </w:r>
      <w:r w:rsidR="00A82877" w:rsidRPr="00252DF0">
        <w:rPr>
          <w:lang w:val="en-GB" w:bidi="en-US"/>
        </w:rPr>
        <w:fldChar w:fldCharType="separate"/>
      </w:r>
      <w:r w:rsidR="00A82877" w:rsidRPr="00402AEC">
        <w:rPr>
          <w:noProof/>
          <w:lang w:val="en-GB" w:bidi="en-US"/>
        </w:rPr>
        <w:t>Sarasini et al. 2016)</w:t>
      </w:r>
      <w:r w:rsidR="00A82877" w:rsidRPr="00252DF0">
        <w:rPr>
          <w:lang w:val="en-GB" w:bidi="en-US"/>
        </w:rPr>
        <w:fldChar w:fldCharType="end"/>
      </w:r>
      <w:r w:rsidR="00A82877">
        <w:rPr>
          <w:lang w:val="en-GB" w:bidi="en-US"/>
        </w:rPr>
        <w:t>, solar energy</w:t>
      </w:r>
      <w:r w:rsidR="002D45F9">
        <w:rPr>
          <w:lang w:val="en-GB" w:bidi="en-US"/>
        </w:rPr>
        <w:t xml:space="preserve"> (</w:t>
      </w:r>
      <w:r w:rsidR="002D45F9" w:rsidRPr="009601F2">
        <w:rPr>
          <w:lang w:val="en-GB" w:bidi="en-US"/>
        </w:rPr>
        <w:fldChar w:fldCharType="begin" w:fldLock="1"/>
      </w:r>
      <w:r w:rsidR="003445CC">
        <w:rPr>
          <w:lang w:val="en-GB" w:bidi="en-US"/>
        </w:rPr>
        <w:instrText>ADDIN CSL_CITATION {"citationItems":[{"id":"ITEM-1","itemData":{"ISBN":"1","author":[{"dropping-particle":"","family":"Svatikova","given":"Katarina","non-dropping-particle":"","parse-names":false,"suffix":""},{"dropping-particle":"","family":"Artola","given":"Irati","non-dropping-particle":"","parse-names":false,"suffix":""},{"dropping-particle":"","family":"Slingerland","given":"Stephan","non-dropping-particle":"","parse-names":false,"suffix":""},{"dropping-particle":"","family":"Fischer","given":"Susanne","non-dropping-particle":"","parse-names":false,"suffix":""}],"id":"ITEM-1","issue":"1","issued":{"date-parts":[["2015"]]},"number-of-pages":"1-8","title":"Selling Solar Services as a Contribution to a Circular Economy","type":"report"},"uris":["http://www.mendeley.com/documents/?uuid=e9f932d9-3d84-4ec3-9b91-b9281f77f780","http://www.mendeley.com/documents/?uuid=b5d1b7f9-4656-4660-8b2b-5ec204b939ff"]}],"mendeley":{"formattedCitation":"(Svatikova et al., 2015)","manualFormatting":"Svatikova et al. 2015)","plainTextFormattedCitation":"(Svatikova et al., 2015)","previouslyFormattedCitation":"(Svatikova et al., 2015)"},"properties":{"noteIndex":0},"schema":"https://github.com/citation-style-language/schema/raw/master/csl-citation.json"}</w:instrText>
      </w:r>
      <w:r w:rsidR="002D45F9" w:rsidRPr="009601F2">
        <w:rPr>
          <w:lang w:val="en-GB" w:bidi="en-US"/>
        </w:rPr>
        <w:fldChar w:fldCharType="separate"/>
      </w:r>
      <w:r w:rsidR="002D45F9" w:rsidRPr="00402AEC">
        <w:rPr>
          <w:noProof/>
          <w:lang w:val="en-GB" w:bidi="en-US"/>
        </w:rPr>
        <w:t>Svatikova et al. 2015)</w:t>
      </w:r>
      <w:r w:rsidR="002D45F9" w:rsidRPr="009601F2">
        <w:rPr>
          <w:lang w:val="en-GB" w:bidi="en-US"/>
        </w:rPr>
        <w:fldChar w:fldCharType="end"/>
      </w:r>
      <w:r w:rsidR="00581BFD">
        <w:rPr>
          <w:lang w:val="en-GB" w:bidi="en-US"/>
        </w:rPr>
        <w:t>, biomass</w:t>
      </w:r>
      <w:r w:rsidR="001C21B2">
        <w:rPr>
          <w:lang w:val="en-GB" w:bidi="en-US"/>
        </w:rPr>
        <w:t>/</w:t>
      </w:r>
      <w:r w:rsidR="00581BFD">
        <w:rPr>
          <w:lang w:val="en-GB" w:bidi="en-US"/>
        </w:rPr>
        <w:t>aquaculture</w:t>
      </w:r>
      <w:r w:rsidR="001C21B2">
        <w:rPr>
          <w:lang w:val="en-GB" w:bidi="en-US"/>
        </w:rPr>
        <w:t>/</w:t>
      </w:r>
      <w:r w:rsidR="00447607">
        <w:rPr>
          <w:lang w:val="en-GB" w:bidi="en-US"/>
        </w:rPr>
        <w:t xml:space="preserve">hydroponics </w:t>
      </w:r>
      <w:r w:rsidR="00447607">
        <w:rPr>
          <w:lang w:val="en-GB" w:bidi="en-US"/>
        </w:rPr>
        <w:fldChar w:fldCharType="begin" w:fldLock="1"/>
      </w:r>
      <w:r w:rsidR="003445CC">
        <w:rPr>
          <w:lang w:val="en-GB" w:bidi="en-US"/>
        </w:rPr>
        <w:instrText>ADDIN CSL_CITATION {"citationItems":[{"id":"ITEM-1","itemData":{"DOI":"10.1002/bbb","ISBN":"1932-104X","ISSN":"1932104X","PMID":"2571","abstract":"Together with 106 farmers who started growing Jatropha (Jatropha curcas\\nL.) in 20042006, this research sought to increase the knowledge around\\nthe real-life experience of Jatropha farming in the southern India\\nstates of Tamil Nadu and Andhra Pradesh. Launched as an alternative for\\ndiesel in India, Jatropha has been promoted as a non-edible plant that\\ncould grow on poor soils, yield oil-rich seeds for production of\\nbio-diesel, and not compete directly with food production. Through\\ninterviews with the farmers, information was gathered regarding their\\nsocio-economic situation, the implementation and performance of their\\nJatropha plantations, and their reasons for continuing or discontinuing\\nJatropha cultivation. Results reveal that 82% of the farmers had\\nsubstituted former cropland for their Jatropha cultivation. By 2010,\\n85% (n = 90) of the farmers who cultivated Jatropha in 2004 had\\nstopped. Cultivating the crop did not give the economic returns the\\nfarmers anticipated, mainly due to a lack of information about the crop\\nand its maintenance during cultivation and due to water scarcity. A\\nmajority of the farmers irrigated and applied fertilizer, and even\\npesticides. Many problems experienced by the farmers were due to limited\\nknowledge about cultivating Jatropha caused by poor planning and\\nimplementation of the national Jatropha program. Extension services,\\nsubsidies, and other support were not provided as promised. The farmers\\nwho continued cultivation had means of income other than Jatropha and\\nheld hopes of a future Jatropha market. The lack of market structures,\\nsuch as purchase agreements and buyers, as well as a low retail price\\nfor the seeds, were frequently stated as barriers to Jatropha\\ncultivation. For Jatropha biodiesel to perform well, efforts are needed\\nto improve yield levels and stability through genetic improvements and\\ndrought tolerance, as well as agriculture extension services to support\\nadoption of the crop. Government programs will -probably be more\\neffective if implementing biodiesel production is conjoined with\\nstimulating the demand for Jatropha biodiesel. To avoid food-biofuel\\ncompetition, additional measures may be needed such as land-use\\nrestrictions for Jatropha producers and taxes on biofuels or biofuel\\nfeedstocks to improve the competitiveness of the food sector compared to\\nthe bioenergy sector. (c) 2012 Society of Chemical Industry and John\\nWiley &amp; Sons, Ltd","author":[{"dropping-particle":"","family":"Jagger","given":"Anna","non-dropping-particle":"","parse-names":false,"suffix":""}],"container-title":"Biofuels, Bioproducts &amp; Biorefining","id":"ITEM-1","issue":"3","issued":{"date-parts":[["2016"]]},"page":"202-203","title":"A circular economy: combined food and power projects","type":"article-journal","volume":"10"},"uris":["http://www.mendeley.com/documents/?uuid=55af513f-595b-4558-8ee9-f75025996077","http://www.mendeley.com/documents/?uuid=21575d24-ec53-4770-9186-caa8fe880699"]},{"id":"ITEM-2","itemData":{"author":[{"dropping-particle":"","family":"Yazan","given":"Devrim Murat","non-dropping-particle":"","parse-names":false,"suffix":""},{"dropping-particle":"","family":"Cafagna","given":"D.","non-dropping-particle":"","parse-names":false,"suffix":""},{"dropping-particle":"","family":"Mes","given":"M.","non-dropping-particle":"","parse-names":false,"suffix":""},{"dropping-particle":"","family":"Fraccascia","given":"Luca","non-dropping-particle":"","parse-names":false,"suffix":""},{"dropping-particle":"","family":"Pontrandolfo","given":"P.","non-dropping-particle":"","parse-names":false,"suffix":""},{"dropping-particle":"","family":"Zijm","given":"H.","non-dropping-particle":"","parse-names":false,"suffix":""}],"container-title":"4th GIN Conference 2015","id":"ITEM-2","issued":{"date-parts":[["2015"]]},"page":"1-24","title":"Economic sustainability of biogas production from animal manure: A regional circular economy model","type":"paper-conference"},"uris":["http://www.mendeley.com/documents/?uuid=6d313a50-5228-4ea1-8eb9-0b6d9bc5f24d","http://www.mendeley.com/documents/?uuid=9a2fe8e5-7ef1-49aa-abe2-37813e66b6ec"]}],"mendeley":{"formattedCitation":"(Jagger, 2016; Yazan et al., 2015)","plainTextFormattedCitation":"(Jagger, 2016; Yazan et al., 2015)","previouslyFormattedCitation":"(Jagger, 2016; Yazan et al., 2015)"},"properties":{"noteIndex":0},"schema":"https://github.com/citation-style-language/schema/raw/master/csl-citation.json"}</w:instrText>
      </w:r>
      <w:r w:rsidR="00447607">
        <w:rPr>
          <w:lang w:val="en-GB" w:bidi="en-US"/>
        </w:rPr>
        <w:fldChar w:fldCharType="separate"/>
      </w:r>
      <w:r w:rsidR="00447607" w:rsidRPr="00447607">
        <w:rPr>
          <w:noProof/>
          <w:lang w:val="en-GB" w:bidi="en-US"/>
        </w:rPr>
        <w:t>(Jagger, 2016; Yazan et al., 2015)</w:t>
      </w:r>
      <w:r w:rsidR="00447607">
        <w:rPr>
          <w:lang w:val="en-GB" w:bidi="en-US"/>
        </w:rPr>
        <w:fldChar w:fldCharType="end"/>
      </w:r>
      <w:r w:rsidR="001C21B2">
        <w:rPr>
          <w:lang w:val="en-GB" w:bidi="en-US"/>
        </w:rPr>
        <w:t xml:space="preserve"> and large white goods </w:t>
      </w:r>
      <w:r w:rsidR="001C21B2">
        <w:rPr>
          <w:lang w:val="en-GB" w:bidi="en-US"/>
        </w:rPr>
        <w:fldChar w:fldCharType="begin" w:fldLock="1"/>
      </w:r>
      <w:r w:rsidR="003027D4">
        <w:rPr>
          <w:lang w:val="en-GB" w:bidi="en-US"/>
        </w:rPr>
        <w:instrText>ADDIN CSL_CITATION {"citationItems":[{"id":"ITEM-1","itemData":{"DOI":"10.1016/j.resconrec.2017.10.033","ISBN":"09213449 (ISSN)","ISSN":"18790658","abstract":"The shift to a circular economy (CE) is associated with the need to implement innovative business models, but the adoption of circular business strategies in the industry has been limited. In fact, manufacturing companies face a range of challenges when transitioning toward such strategies, yet these challenges are rarely discussed in practice. This paper investigates the challenges faced by a manufacturing firm when implementing a circular business model and the solutions adopted to overcome them. A case-based research design was adopted in this study. The main challenges for circular business implementation faced by companies were identified in the literature and applied as lenses for examining the transition to a new circular business strategy in the company under analysis. Data analysis involved working with the data from the ground up to identify solutions for overcoming the challenges. The main findings reveal that changes needed for implementing a circular business model are achieved by integrating and engaging multiple organizational functions, each of which is complementary and mutually supportive. The involvement and collaboration of multiple stakeholders play an important role in circular business model implementation and operation. Moreover, the implementation of such models should consider specific contextual aspects of the business in question, i.e., alignment between external conditions and the business model should occur. A deeper understanding of the development of other types of circular business models in distinct contexts, and the capabilities necessary to develop and implement them, is recommended for further research.","author":[{"dropping-particle":"","family":"Sousa-Zomer","given":"Thayla T.","non-dropping-particle":"","parse-names":false,"suffix":""},{"dropping-particle":"","family":"Magalhães","given":"Lucas","non-dropping-particle":"","parse-names":false,"suffix":""},{"dropping-particle":"","family":"Zancul","given":"Eduardo","non-dropping-particle":"","parse-names":false,"suffix":""},{"dropping-particle":"","family":"Cauchick-Miguel","given":"Paulo A.","non-dropping-particle":"","parse-names":false,"suffix":""}],"container-title":"Resources, Conservation and Recycling","id":"ITEM-1","issued":{"date-parts":[["2018"]]},"page":"3-13","publisher":"Elsevier","title":"Exploring the challenges for circular business implementation in manufacturing companies: An empirical investigation of a pay-per-use service provider","type":"article-journal","volume":"135"},"uris":["http://www.mendeley.com/documents/?uuid=5197b388-8813-44f6-a50d-d269fc418745","http://www.mendeley.com/documents/?uuid=e835d735-9b72-4c2a-a22c-256eafc5310e"]},{"id":"ITEM-2","itemData":{"DOI":"10.1016/j.procir.2017.03.041","ISBN":"22128271 (ISSN)","ISSN":"22128271","abstract":"Product-Service Systems (PSS) have been discussed as promising business strategies towards a circular economy (CE). However, PSS solutions are not necessarily more sustainable. PSS lifecycle management may play an important role to improve the offering and achieve sustainability benefits. Nevertheless, bottom-up issues for CE implementation in the industry such as lifecycle management are still little discussed in the literature. In this sense, this paper aims to explore a PSS business strategy adopted by a large white goods manufacturer that transitioned from a linear to a circular business, and the practices applied throughout the entire lifecycle that may be valuable to achieve CE requirements. A case-based approach was employed in this study and multiple sources of evidence were considered. Data were analyzed in the light of the literature, considering an inductive approach. The main preliminary findings suggest that resources consumption reduction and cost savings can be obtained through lifecycle management practices that take into consideration CE issues since the beginning of life of the PSS offering. Design practices, the adoption of different strategies at the end of life (reuse/remanufacturing or recycle), and the implementation of cleaner production practices are some of the identified practices that can contribute to achieve resource efficiency and CE requirements. This is a work in progress and further work is going to focus on a quantitative analysis of the environmental and economic performance of this PSS. In addition, as this study focused on a use-oriented PSS, future research may compare lifecycle management practices adopted by other and distinct PSS categories, and how different lifecycle management practices may contribute to achieving resource efficiency.","author":[{"dropping-particle":"","family":"Sousa-Zomer","given":"Thayla T.","non-dropping-particle":"","parse-names":false,"suffix":""},{"dropping-particle":"","family":"Magalhães","given":"Lucas","non-dropping-particle":"","parse-names":false,"suffix":""},{"dropping-particle":"","family":"Zancul","given":"Eduardo","non-dropping-particle":"","parse-names":false,"suffix":""},{"dropping-particle":"","family":"Cauchick-Miguel","given":"Paulo A.","non-dropping-particle":"","parse-names":false,"suffix":""}],"container-title":"Procedia CIRP","id":"ITEM-2","issued":{"date-parts":[["2017"]]},"page":"31-36","publisher":"The Author(s)","title":"Lifecycle Management of Product-service Systems: A Preliminary Investigation of a White Goods Manufacturer","type":"article-journal","volume":"64"},"uris":["http://www.mendeley.com/documents/?uuid=05d94f98-8107-48d9-ac4b-174f7818f727","http://www.mendeley.com/documents/?uuid=5db78f35-b2d2-47e3-ad8d-9daad9d06ee0"]}],"mendeley":{"formattedCitation":"(Sousa-Zomer et al., 2018, 2017)","plainTextFormattedCitation":"(Sousa-Zomer et al., 2018, 2017)","previouslyFormattedCitation":"(Sousa-Zomer et al., 2018, 2017)"},"properties":{"noteIndex":0},"schema":"https://github.com/citation-style-language/schema/raw/master/csl-citation.json"}</w:instrText>
      </w:r>
      <w:r w:rsidR="001C21B2">
        <w:rPr>
          <w:lang w:val="en-GB" w:bidi="en-US"/>
        </w:rPr>
        <w:fldChar w:fldCharType="separate"/>
      </w:r>
      <w:r w:rsidR="003445CC" w:rsidRPr="003445CC">
        <w:rPr>
          <w:noProof/>
          <w:lang w:val="en-GB" w:bidi="en-US"/>
        </w:rPr>
        <w:t>(Sousa-</w:t>
      </w:r>
      <w:r w:rsidR="003445CC" w:rsidRPr="003445CC">
        <w:rPr>
          <w:noProof/>
          <w:lang w:val="en-GB" w:bidi="en-US"/>
        </w:rPr>
        <w:lastRenderedPageBreak/>
        <w:t>Zomer et al., 2018, 2017)</w:t>
      </w:r>
      <w:r w:rsidR="001C21B2">
        <w:rPr>
          <w:lang w:val="en-GB" w:bidi="en-US"/>
        </w:rPr>
        <w:fldChar w:fldCharType="end"/>
      </w:r>
      <w:r w:rsidR="00260C57">
        <w:rPr>
          <w:lang w:val="en-GB" w:bidi="en-US"/>
        </w:rPr>
        <w:t xml:space="preserve">. Finally, </w:t>
      </w:r>
      <w:r w:rsidRPr="00402AEC">
        <w:rPr>
          <w:lang w:val="en-GB" w:bidi="en-US"/>
        </w:rPr>
        <w:t xml:space="preserve">other authors prefer to maintain a more generic perspective, </w:t>
      </w:r>
      <w:r w:rsidR="00260C57">
        <w:rPr>
          <w:lang w:val="en-GB" w:bidi="en-US"/>
        </w:rPr>
        <w:t xml:space="preserve">by </w:t>
      </w:r>
      <w:r w:rsidRPr="00402AEC">
        <w:rPr>
          <w:lang w:val="en-GB" w:bidi="en-US"/>
        </w:rPr>
        <w:t>proposing</w:t>
      </w:r>
      <w:r w:rsidR="002E6B07">
        <w:rPr>
          <w:lang w:val="en-GB" w:bidi="en-US"/>
        </w:rPr>
        <w:t xml:space="preserve"> common patterns for</w:t>
      </w:r>
      <w:r w:rsidR="001059D4">
        <w:rPr>
          <w:lang w:val="en-GB" w:bidi="en-US"/>
        </w:rPr>
        <w:t>:</w:t>
      </w:r>
      <w:r w:rsidRPr="00402AEC">
        <w:rPr>
          <w:lang w:val="en-GB" w:bidi="en-US"/>
        </w:rPr>
        <w:t xml:space="preserve"> </w:t>
      </w:r>
      <w:r w:rsidR="001059D4">
        <w:rPr>
          <w:lang w:val="en-GB" w:bidi="en-US"/>
        </w:rPr>
        <w:t xml:space="preserve">i) </w:t>
      </w:r>
      <w:r w:rsidR="00844FB6" w:rsidRPr="00402AEC">
        <w:rPr>
          <w:lang w:val="en-GB" w:bidi="en-US"/>
        </w:rPr>
        <w:t>leading companies in reinventing their BMs</w:t>
      </w:r>
      <w:r w:rsidR="001059D4">
        <w:rPr>
          <w:lang w:val="en-GB" w:bidi="en-US"/>
        </w:rPr>
        <w:t xml:space="preserve"> (</w:t>
      </w:r>
      <w:r w:rsidR="001059D4" w:rsidRPr="009601F2">
        <w:rPr>
          <w:lang w:val="en-GB" w:bidi="en-US"/>
        </w:rPr>
        <w:fldChar w:fldCharType="begin" w:fldLock="1"/>
      </w:r>
      <w:r w:rsidR="003445CC">
        <w:rPr>
          <w:lang w:val="en-GB" w:bidi="en-US"/>
        </w:rPr>
        <w:instrText>ADDIN CSL_CITATION {"citationItems":[{"id":"ITEM-1","itemData":{"author":[{"dropping-particle":"","family":"Beulque","given":"Rémi","non-dropping-particle":"","parse-names":false,"suffix":""},{"dropping-particle":"","family":"Aggeri","given":"Franck","non-dropping-particle":"","parse-names":false,"suffix":""}],"container-title":"Egos Confernce","id":"ITEM-1","issued":{"date-parts":[["2016"]]},"page":"1-29","publisher-place":"Naples","title":"Circular Business Model Innovation: Key Patterns and Challenges to unleash recycling value creation potential","type":"paper-conference"},"uris":["http://www.mendeley.com/documents/?uuid=421bde00-743f-42fc-a1bc-55e843bc74f3","http://www.mendeley.com/documents/?uuid=97101278-fa59-412a-aade-d20ea6343143"]}],"mendeley":{"formattedCitation":"(Beulque and Aggeri, 2016)","manualFormatting":"Beulque and Aggeri 2016)","plainTextFormattedCitation":"(Beulque and Aggeri, 2016)","previouslyFormattedCitation":"(Beulque and Aggeri, 2016)"},"properties":{"noteIndex":0},"schema":"https://github.com/citation-style-language/schema/raw/master/csl-citation.json"}</w:instrText>
      </w:r>
      <w:r w:rsidR="001059D4" w:rsidRPr="009601F2">
        <w:rPr>
          <w:lang w:val="en-GB" w:bidi="en-US"/>
        </w:rPr>
        <w:fldChar w:fldCharType="separate"/>
      </w:r>
      <w:r w:rsidR="001059D4" w:rsidRPr="00402AEC">
        <w:rPr>
          <w:noProof/>
          <w:lang w:val="en-GB" w:bidi="en-US"/>
        </w:rPr>
        <w:t>Beulque and Aggeri 2016)</w:t>
      </w:r>
      <w:r w:rsidR="001059D4" w:rsidRPr="009601F2">
        <w:rPr>
          <w:lang w:val="en-GB" w:bidi="en-US"/>
        </w:rPr>
        <w:fldChar w:fldCharType="end"/>
      </w:r>
      <w:r w:rsidR="001059D4">
        <w:rPr>
          <w:lang w:val="en-GB" w:bidi="en-US"/>
        </w:rPr>
        <w:t xml:space="preserve">, ii) </w:t>
      </w:r>
      <w:r w:rsidR="00430CD8">
        <w:rPr>
          <w:lang w:val="en-GB" w:bidi="en-US"/>
        </w:rPr>
        <w:t>identifying</w:t>
      </w:r>
      <w:r w:rsidR="00DC664C">
        <w:rPr>
          <w:lang w:val="en-GB" w:bidi="en-US"/>
        </w:rPr>
        <w:t xml:space="preserve"> </w:t>
      </w:r>
      <w:r w:rsidR="001059D4" w:rsidRPr="00402AEC">
        <w:rPr>
          <w:lang w:val="en-GB" w:bidi="en-US"/>
        </w:rPr>
        <w:t>different types of product-people interactions</w:t>
      </w:r>
      <w:r w:rsidR="001059D4">
        <w:rPr>
          <w:lang w:val="en-GB" w:bidi="en-US"/>
        </w:rPr>
        <w:t xml:space="preserve"> (</w:t>
      </w:r>
      <w:r w:rsidR="001059D4" w:rsidRPr="009601F2">
        <w:rPr>
          <w:lang w:val="en-GB" w:bidi="en-US"/>
        </w:rPr>
        <w:fldChar w:fldCharType="begin" w:fldLock="1"/>
      </w:r>
      <w:r w:rsidR="003445CC">
        <w:rPr>
          <w:lang w:val="en-GB" w:bidi="en-US"/>
        </w:rPr>
        <w:instrText>ADDIN CSL_CITATION {"citationItems":[{"id":"ITEM-1","itemData":{"author":[{"dropping-particle":"","family":"Dewberry","given":"Emma","non-dropping-particle":"","parse-names":false,"suffix":""},{"dropping-particle":"","family":"Saca","given":"Lourdes","non-dropping-particle":"","parse-names":false,"suffix":""},{"dropping-particle":"","family":"Moreno","given":"Mariale","non-dropping-particle":"","parse-names":false,"suffix":""},{"dropping-particle":"","family":"Sheldrick","given":"Leila","non-dropping-particle":"","parse-names":false,"suffix":""},{"dropping-particle":"","family":"Sinclair","given":"Matt A.","non-dropping-particle":"","parse-names":false,"suffix":""}],"container-title":"Sustainable Innovation 2016","id":"ITEM-1","issued":{"date-parts":[["2016"]]},"page":"76-85","title":"A Landscape of Repair","type":"paper-conference"},"uris":["http://www.mendeley.com/documents/?uuid=c4a0d12b-71ca-417f-8a60-56de481d9f2a","http://www.mendeley.com/documents/?uuid=82fe21f6-cdb8-434d-a418-fc47b723068d"]}],"mendeley":{"formattedCitation":"(Dewberry et al., 2016)","manualFormatting":"Dewberry et al. 2016)","plainTextFormattedCitation":"(Dewberry et al., 2016)","previouslyFormattedCitation":"(Dewberry et al., 2016)"},"properties":{"noteIndex":0},"schema":"https://github.com/citation-style-language/schema/raw/master/csl-citation.json"}</w:instrText>
      </w:r>
      <w:r w:rsidR="001059D4" w:rsidRPr="009601F2">
        <w:rPr>
          <w:lang w:val="en-GB" w:bidi="en-US"/>
        </w:rPr>
        <w:fldChar w:fldCharType="separate"/>
      </w:r>
      <w:r w:rsidR="001059D4" w:rsidRPr="00402AEC">
        <w:rPr>
          <w:noProof/>
          <w:lang w:val="en-GB" w:bidi="en-US"/>
        </w:rPr>
        <w:t>Dewberry et al. 2016)</w:t>
      </w:r>
      <w:r w:rsidR="001059D4" w:rsidRPr="009601F2">
        <w:rPr>
          <w:lang w:val="en-GB" w:bidi="en-US"/>
        </w:rPr>
        <w:fldChar w:fldCharType="end"/>
      </w:r>
      <w:r w:rsidR="001059D4">
        <w:rPr>
          <w:lang w:val="en-GB" w:bidi="en-US"/>
        </w:rPr>
        <w:t xml:space="preserve">, </w:t>
      </w:r>
      <w:r w:rsidR="002340AF">
        <w:rPr>
          <w:lang w:val="en-GB" w:bidi="en-US"/>
        </w:rPr>
        <w:t xml:space="preserve">iii) </w:t>
      </w:r>
      <w:r w:rsidR="00430CD8">
        <w:rPr>
          <w:lang w:val="en-GB" w:bidi="en-US"/>
        </w:rPr>
        <w:t xml:space="preserve">describing </w:t>
      </w:r>
      <w:r w:rsidR="002340AF">
        <w:rPr>
          <w:lang w:val="en-GB" w:bidi="en-US"/>
        </w:rPr>
        <w:t xml:space="preserve">3R-based </w:t>
      </w:r>
      <w:r w:rsidR="00B2068D">
        <w:rPr>
          <w:lang w:val="en-GB" w:bidi="en-US"/>
        </w:rPr>
        <w:t xml:space="preserve">generic </w:t>
      </w:r>
      <w:r w:rsidR="002340AF">
        <w:rPr>
          <w:lang w:val="en-GB" w:bidi="en-US"/>
        </w:rPr>
        <w:t xml:space="preserve">guidelines for </w:t>
      </w:r>
      <w:r w:rsidR="00B2068D">
        <w:rPr>
          <w:lang w:val="en-GB" w:bidi="en-US"/>
        </w:rPr>
        <w:t xml:space="preserve">adopting </w:t>
      </w:r>
      <w:r w:rsidR="002340AF">
        <w:rPr>
          <w:lang w:val="en-GB" w:bidi="en-US"/>
        </w:rPr>
        <w:t>CE</w:t>
      </w:r>
      <w:r w:rsidR="00B2068D">
        <w:rPr>
          <w:lang w:val="en-GB" w:bidi="en-US"/>
        </w:rPr>
        <w:t xml:space="preserve"> </w:t>
      </w:r>
      <w:r w:rsidR="00B2068D">
        <w:rPr>
          <w:lang w:val="en-GB" w:bidi="en-US"/>
        </w:rPr>
        <w:fldChar w:fldCharType="begin" w:fldLock="1"/>
      </w:r>
      <w:r w:rsidR="00BF2F60">
        <w:rPr>
          <w:lang w:val="en-GB" w:bidi="en-US"/>
        </w:rPr>
        <w:instrText>ADDIN CSL_CITATION {"citationItems":[{"id":"ITEM-1","itemData":{"DOI":"10.1002/tie","ISBN":"10964762","ISSN":"10964762","PMID":"84540683","abstract":"The article presents a case study to examine the Vietnamese business custom of gift giving to mark the beginning or end of a business relationship. A group of American businesspeople visiting Vietnam to scout for investment opportunities. Face to face meetings are considered a vital prelude to business dealings in Vietnam, and the American group had a positive experience. At the final meeting between the group and the Vietnamese officials with whom they had met, however, the group committed several social gaffes in the matter of their parting gift for the woman government employee who had been their tour guide and handled all its arrangements. It is suggested that Americans visting Vietnam need to plan gift-giving and similar social acknowledgements before leaving the U.S. It is also advised that American groups should appoint one person to act as their group's social spokesman.","author":[{"dropping-particle":"","family":"Goyal","given":"Sandeep","non-dropping-particle":"","parse-names":false,"suffix":""},{"dropping-particle":"","family":"Esposito","given":"Mark","non-dropping-particle":"","parse-names":false,"suffix":""},{"dropping-particle":"","family":"Kapoor","given":"Amit","non-dropping-particle":"","parse-names":false,"suffix":""}],"container-title":"Thunderbird International Business Review","id":"ITEM-1","issued":{"date-parts":[["2016"]]},"page":"1-15","title":"Circular Economy Business Models in Developing Economies: Lessons from India on Reduce, Recycle, and Reuse Paradigms","type":"article-journal"},"uris":["http://www.mendeley.com/documents/?uuid=2fe6ad3e-efc5-4a85-abfe-c04e1d2c40e2","http://www.mendeley.com/documents/?uuid=733effa7-0da4-441b-be70-c4559304148e"]},{"id":"ITEM-2","itemData":{"ISBN":"9788793435865","abstract":"Best practice examples of circular business models are presented in this report. The purpose is to inform and inspire interested readers, in particular companies that aspire to examine the potentials of the circular economy. Circular business models in two different sectors are examined, namely the textile and clothing sector as well as the durable goods sector. In order to appreciate the notion of circular business models, the basics of the circular economy are outlined along with three frameworks for categorizing the various types of circular business models. The frameworks take point of departure in resource loops, value bases and business model archetypes respectively, and they are applied for analysing and organizing the business models that are presented throughout the report. The investigations in the report show that circular business models are relevant to businesses because they hold the potential to provide significant economic benefits in addition to new ways of forming partnerships with suppliers and connecting with customers. Furthermore, circular business models generate essential environmental benefits as a result of the improved resource productivity they offer. These benefits are, however, not the key focus of the current report. The point of the study is to describe the diverse and unique circular business models that companies around the globe have established already within the textile and clothing sector and within the durable goods sector. Even though these two sectors are different, circular business models can be found in both. These models operate in both young and mature firms, small and large, which points to the fact that circular business models can be successfully implemented in a wide range of business settings as long as they are individually tailored to each company. The notion of individually tailored business models is important. Hence, the business models are found to be versatile in both industries, and speading across all of the aforementioned resource loops, value bases and business model archetypes. Some companies choose to focus on just one resource loop, while others are involved in several loops. Some work with resource loops in relation to their supply chain, invisible to the end-user, but others built relationships with end-users through new circular offerings. Moreover, in some of the best practice examples presented, resource loops are tightly closed, whereas in other cases they are more open due to initia…","author":[{"dropping-particle":"","family":"Guldmann","given":"Eva","non-dropping-particle":"","parse-names":false,"suffix":""}],"id":"ITEM-2","issued":{"date-parts":[["2016"]]},"number-of-pages":"56","title":"Best Practice Examples of Circular Business Models","type":"report"},"uris":["http://www.mendeley.com/documents/?uuid=6258e57f-2f23-4b2e-a719-8d90db390f3e","http://www.mendeley.com/documents/?uuid=467f7256-4330-4f3e-94e3-86fbc876b6e0"]}],"mendeley":{"formattedCitation":"(Goyal et al., 2016; Guldmann, 2016)","plainTextFormattedCitation":"(Goyal et al., 2016; Guldmann, 2016)","previouslyFormattedCitation":"(Goyal et al., 2016; Guldmann, 2016)"},"properties":{"noteIndex":0},"schema":"https://github.com/citation-style-language/schema/raw/master/csl-citation.json"}</w:instrText>
      </w:r>
      <w:r w:rsidR="00B2068D">
        <w:rPr>
          <w:lang w:val="en-GB" w:bidi="en-US"/>
        </w:rPr>
        <w:fldChar w:fldCharType="separate"/>
      </w:r>
      <w:r w:rsidR="00B2068D" w:rsidRPr="00B2068D">
        <w:rPr>
          <w:noProof/>
          <w:lang w:val="en-GB" w:bidi="en-US"/>
        </w:rPr>
        <w:t>(Goyal et al., 2016; Guldmann, 2016)</w:t>
      </w:r>
      <w:r w:rsidR="00B2068D">
        <w:rPr>
          <w:lang w:val="en-GB" w:bidi="en-US"/>
        </w:rPr>
        <w:fldChar w:fldCharType="end"/>
      </w:r>
      <w:r w:rsidR="008A295B">
        <w:rPr>
          <w:lang w:val="en-GB" w:bidi="en-US"/>
        </w:rPr>
        <w:t xml:space="preserve">, </w:t>
      </w:r>
      <w:r w:rsidR="00D125D8">
        <w:rPr>
          <w:lang w:val="en-GB" w:bidi="en-US"/>
        </w:rPr>
        <w:t xml:space="preserve">iv) </w:t>
      </w:r>
      <w:r w:rsidR="0096144A">
        <w:rPr>
          <w:lang w:val="en-GB" w:bidi="en-US"/>
        </w:rPr>
        <w:t xml:space="preserve">presenting </w:t>
      </w:r>
      <w:r w:rsidR="00DE1F0F">
        <w:rPr>
          <w:lang w:val="en-GB" w:bidi="en-US"/>
        </w:rPr>
        <w:t>CE-related competitive advantages</w:t>
      </w:r>
      <w:r w:rsidR="008A295B">
        <w:rPr>
          <w:lang w:val="en-GB" w:bidi="en-US"/>
        </w:rPr>
        <w:t xml:space="preserve"> </w:t>
      </w:r>
      <w:r w:rsidR="00DE1F0F">
        <w:rPr>
          <w:lang w:val="en-GB" w:bidi="en-US"/>
        </w:rPr>
        <w:t>(</w:t>
      </w:r>
      <w:r w:rsidR="00DE1F0F" w:rsidRPr="009601F2">
        <w:rPr>
          <w:lang w:val="en-GB" w:bidi="en-US"/>
        </w:rPr>
        <w:fldChar w:fldCharType="begin" w:fldLock="1"/>
      </w:r>
      <w:r w:rsidR="00BF2F60">
        <w:rPr>
          <w:lang w:val="en-GB" w:bidi="en-US"/>
        </w:rPr>
        <w:instrText>ADDIN CSL_CITATION {"citationItems":[{"id":"ITEM-1","itemData":{"DOI":"10.1016/j.jclepro.2017.08.118","ISSN":"09596526","abstract":"Recent tendency has been pushing organizations to rethink their role in society and making organization reflect that profit may not be the only and foremost important business performance criteria. Thus recent literature has been exploring the sustainable business models (SBM's), as a way to insert sustainability goals into the core of business decisions. This research aims to advance in this body of knowledge and proposes a theory and practice-based framework to support organizations towards more SBM, making explicit main elements to align business to sustainability performance goals. To support the argument that there is no unique solution to design SBM, this research performs a multiple case studies in eleven organizations from diverse sectors, situated in Brazil and in the United Kingdom. Results show that SBM is not an attempt to deny business-as-usual perspective, but rather it seeks to complement this view, by adding a more axiological and systemic approach. In particular, three convergent aspects were identified in the case studies as relevant efforts support the integration of sustainability into SBM's value creation and delivery system: (1) the connection between business purpose and employees’ values and believes; (2) the pro-active and clear engagement in solving sustainability problems; and (3) the need for system-level changes to enable successful SBM's. This systemic thinking is highlighted by the concept emerged from the research, the cascaded sustainable value captured, representing that, as SBM's are part of a value network, value delivered by the organizations is captured not only by stakeholders to which they have direct contact, but rather this is also deployed to stakeholders of focal company's stakeholders. This distinction is not always trivial for companies, so the proposed concept can support advances in SBM discussions. Further studies are called to the challenge of making explicit that SBM's are not only companies that directly addresses a specific social and/or environmental problem, but rather is an emerging paradigm on how to manage efficient businesses in any sector to add positive value to the globe.","author":[{"dropping-particle":"","family":"Morioka","given":"Sandra Naomi","non-dropping-particle":"","parse-names":false,"suffix":""},{"dropping-particle":"","family":"Bolis","given":"Ivan","non-dropping-particle":"","parse-names":false,"suffix":""},{"dropping-particle":"","family":"Evans","given":"Steve","non-dropping-particle":"","parse-names":false,"suffix":""},{"dropping-particle":"","family":"Monteiro de Carvalho","given":"Marly","non-dropping-particle":"","parse-names":false,"suffix":""}],"container-title":"Journal of Cleaner Production","id":"ITEM-1","issued":{"date-parts":[["2017"]]},"page":"723-738","publisher":"Elsevier Ltd","title":"Transforming sustainability challenges into competitive advantage: Multiple case studies kaleidoscope converging into sustainable business models","type":"article-journal","volume":"167"},"uris":["http://www.mendeley.com/documents/?uuid=b72d2860-e2cf-47f1-8662-ba6db3543d24","http://www.mendeley.com/documents/?uuid=9b337c8c-3502-4b46-853f-92ab17fb1606"]}],"mendeley":{"formattedCitation":"(Morioka et al., 2017)","manualFormatting":"Morioka et al. 2017)","plainTextFormattedCitation":"(Morioka et al., 2017)","previouslyFormattedCitation":"(Morioka et al., 2017)"},"properties":{"noteIndex":0},"schema":"https://github.com/citation-style-language/schema/raw/master/csl-citation.json"}</w:instrText>
      </w:r>
      <w:r w:rsidR="00DE1F0F" w:rsidRPr="009601F2">
        <w:rPr>
          <w:lang w:val="en-GB" w:bidi="en-US"/>
        </w:rPr>
        <w:fldChar w:fldCharType="separate"/>
      </w:r>
      <w:r w:rsidR="00DE1F0F" w:rsidRPr="00402AEC">
        <w:rPr>
          <w:noProof/>
          <w:lang w:val="en-GB" w:bidi="en-US"/>
        </w:rPr>
        <w:t>Morioka et al. 2017)</w:t>
      </w:r>
      <w:r w:rsidR="00DE1F0F" w:rsidRPr="009601F2">
        <w:rPr>
          <w:lang w:val="en-GB" w:bidi="en-US"/>
        </w:rPr>
        <w:fldChar w:fldCharType="end"/>
      </w:r>
      <w:r w:rsidR="00DE1F0F">
        <w:rPr>
          <w:lang w:val="en-GB" w:bidi="en-US"/>
        </w:rPr>
        <w:t>, v)</w:t>
      </w:r>
      <w:r w:rsidR="001701E5">
        <w:rPr>
          <w:lang w:val="en-GB" w:bidi="en-US"/>
        </w:rPr>
        <w:t xml:space="preserve"> </w:t>
      </w:r>
      <w:r w:rsidR="0096144A">
        <w:rPr>
          <w:lang w:val="en-GB" w:bidi="en-US"/>
        </w:rPr>
        <w:t xml:space="preserve">implementing </w:t>
      </w:r>
      <w:r w:rsidR="001701E5">
        <w:rPr>
          <w:lang w:val="en-GB" w:bidi="en-US"/>
        </w:rPr>
        <w:t>innovators practices</w:t>
      </w:r>
      <w:r w:rsidR="003B0117" w:rsidRPr="003B0117">
        <w:rPr>
          <w:lang w:val="en-GB" w:bidi="en-US"/>
        </w:rPr>
        <w:t xml:space="preserve"> </w:t>
      </w:r>
      <w:r w:rsidR="003B0117" w:rsidRPr="00402AEC">
        <w:rPr>
          <w:lang w:val="en-GB" w:bidi="en-US"/>
        </w:rPr>
        <w:t>for closing materials loop</w:t>
      </w:r>
      <w:r w:rsidR="003B0117">
        <w:rPr>
          <w:lang w:val="en-GB" w:bidi="en-US"/>
        </w:rPr>
        <w:t>s (</w:t>
      </w:r>
      <w:r w:rsidR="003B0117" w:rsidRPr="009601F2">
        <w:rPr>
          <w:lang w:val="en-GB" w:bidi="en-US"/>
        </w:rPr>
        <w:fldChar w:fldCharType="begin" w:fldLock="1"/>
      </w:r>
      <w:r w:rsidR="00BF2F60">
        <w:rPr>
          <w:lang w:val="en-GB" w:bidi="en-US"/>
        </w:rPr>
        <w:instrText>ADDIN CSL_CITATION {"citationItems":[{"id":"ITEM-1","itemData":{"DOI":"10.1109/EGG.2016.7829847","ISBN":"9783000537639","author":[{"dropping-particle":"","family":"Regenfelder","given":"Max","non-dropping-particle":"","parse-names":false,"suffix":""},{"dropping-particle":"","family":"Slowak","given":"André P","non-dropping-particle":"","parse-names":false,"suffix":""},{"dropping-particle":"","family":"Santacreu","given":"Alejandro","non-dropping-particle":"","parse-names":false,"suffix":""}],"container-title":"EGG 2016 - Electronics Goes Green 2016+","id":"ITEM-1","issued":{"date-parts":[["2016"]]},"page":"1-6","publisher-place":"Berlin, Germany","title":"Closed-Loop Innovation for Mobile Electronics – the Business Model Innovation Approach of the sustainablySMART Project","type":"paper-conference"},"uris":["http://www.mendeley.com/documents/?uuid=7c2c3ddf-91de-44c1-84ad-51e46538c214","http://www.mendeley.com/documents/?uuid=946e2d54-5505-4703-955c-06e4f2013f8e"]}],"mendeley":{"formattedCitation":"(Regenfelder et al., 2016)","manualFormatting":"Regenfelder et al. 2016)","plainTextFormattedCitation":"(Regenfelder et al., 2016)","previouslyFormattedCitation":"(Regenfelder et al., 2016)"},"properties":{"noteIndex":0},"schema":"https://github.com/citation-style-language/schema/raw/master/csl-citation.json"}</w:instrText>
      </w:r>
      <w:r w:rsidR="003B0117" w:rsidRPr="009601F2">
        <w:rPr>
          <w:lang w:val="en-GB" w:bidi="en-US"/>
        </w:rPr>
        <w:fldChar w:fldCharType="separate"/>
      </w:r>
      <w:r w:rsidR="003B0117" w:rsidRPr="00402AEC">
        <w:rPr>
          <w:noProof/>
          <w:lang w:val="en-GB" w:bidi="en-US"/>
        </w:rPr>
        <w:t>Regenfelder et al. 2016)</w:t>
      </w:r>
      <w:r w:rsidR="003B0117" w:rsidRPr="009601F2">
        <w:rPr>
          <w:lang w:val="en-GB" w:bidi="en-US"/>
        </w:rPr>
        <w:fldChar w:fldCharType="end"/>
      </w:r>
      <w:r w:rsidR="00C42849">
        <w:rPr>
          <w:lang w:val="en-GB" w:bidi="en-US"/>
        </w:rPr>
        <w:t>, vi)</w:t>
      </w:r>
      <w:r w:rsidR="006D0E5D">
        <w:rPr>
          <w:lang w:val="en-GB" w:bidi="en-US"/>
        </w:rPr>
        <w:t xml:space="preserve"> </w:t>
      </w:r>
      <w:r w:rsidR="00F14B7E">
        <w:rPr>
          <w:lang w:val="en-GB" w:bidi="en-US"/>
        </w:rPr>
        <w:t xml:space="preserve">describing </w:t>
      </w:r>
      <w:r w:rsidR="00C42849" w:rsidRPr="00402AEC">
        <w:rPr>
          <w:lang w:val="en-GB" w:bidi="en-US"/>
        </w:rPr>
        <w:t>SME</w:t>
      </w:r>
      <w:r w:rsidR="006D0E5D">
        <w:rPr>
          <w:lang w:val="en-GB" w:bidi="en-US"/>
        </w:rPr>
        <w:t>-oriented</w:t>
      </w:r>
      <w:r w:rsidR="00C42849" w:rsidRPr="00402AEC">
        <w:rPr>
          <w:lang w:val="en-GB" w:bidi="en-US"/>
        </w:rPr>
        <w:t xml:space="preserve"> </w:t>
      </w:r>
      <w:r w:rsidR="006D0E5D">
        <w:rPr>
          <w:lang w:val="en-GB" w:bidi="en-US"/>
        </w:rPr>
        <w:t>methods for</w:t>
      </w:r>
      <w:r w:rsidR="00C42849" w:rsidRPr="00402AEC">
        <w:rPr>
          <w:lang w:val="en-GB" w:bidi="en-US"/>
        </w:rPr>
        <w:t xml:space="preserve"> adopt</w:t>
      </w:r>
      <w:r w:rsidR="006D0E5D">
        <w:rPr>
          <w:lang w:val="en-GB" w:bidi="en-US"/>
        </w:rPr>
        <w:t>ing</w:t>
      </w:r>
      <w:r w:rsidR="00C42849" w:rsidRPr="00402AEC">
        <w:rPr>
          <w:lang w:val="en-GB" w:bidi="en-US"/>
        </w:rPr>
        <w:t xml:space="preserve"> reuse principles</w:t>
      </w:r>
      <w:r w:rsidR="006D0E5D">
        <w:rPr>
          <w:lang w:val="en-GB" w:bidi="en-US"/>
        </w:rPr>
        <w:t xml:space="preserve"> (</w:t>
      </w:r>
      <w:r w:rsidR="006D0E5D" w:rsidRPr="009601F2">
        <w:rPr>
          <w:lang w:val="en-GB" w:bidi="en-US"/>
        </w:rPr>
        <w:fldChar w:fldCharType="begin" w:fldLock="1"/>
      </w:r>
      <w:r w:rsidR="003445CC">
        <w:rPr>
          <w:lang w:val="en-GB" w:bidi="en-US"/>
        </w:rPr>
        <w:instrText>ADDIN CSL_CITATION {"citationItems":[{"id":"ITEM-1","itemData":{"author":[{"dropping-particle":"","family":"Venselaar","given":"Jan","non-dropping-particle":"","parse-names":false,"suffix":""},{"dropping-particle":"","family":"Kelft","given":"Dimitri","non-dropping-particle":"van de","parse-names":false,"suffix":""}],"container-title":"TII 2014 - Technology, Innovation, International Annual Conference","id":"ITEM-1","issued":{"date-parts":[["2014"]]},"page":"1-4","publisher-place":"Utrecht","title":"A practice based approach to further high level reuse in equipment manufacturing offering business opportunities in a circular economy","type":"paper-conference"},"uris":["http://www.mendeley.com/documents/?uuid=e72bb440-bebf-4dfd-bd3a-29256e761386","http://www.mendeley.com/documents/?uuid=d4b0a8d9-be2e-4a40-bc80-75e8efe47a52"]}],"mendeley":{"formattedCitation":"(Venselaar and van de Kelft, 2014)","manualFormatting":"Venselaar and Kelft 2014)","plainTextFormattedCitation":"(Venselaar and van de Kelft, 2014)","previouslyFormattedCitation":"(Venselaar and van de Kelft, 2014)"},"properties":{"noteIndex":0},"schema":"https://github.com/citation-style-language/schema/raw/master/csl-citation.json"}</w:instrText>
      </w:r>
      <w:r w:rsidR="006D0E5D" w:rsidRPr="009601F2">
        <w:rPr>
          <w:lang w:val="en-GB" w:bidi="en-US"/>
        </w:rPr>
        <w:fldChar w:fldCharType="separate"/>
      </w:r>
      <w:r w:rsidR="006D0E5D" w:rsidRPr="00402AEC">
        <w:rPr>
          <w:noProof/>
          <w:lang w:val="en-GB" w:bidi="en-US"/>
        </w:rPr>
        <w:t>Venselaar and Kelft 2014)</w:t>
      </w:r>
      <w:r w:rsidR="006D0E5D" w:rsidRPr="009601F2">
        <w:rPr>
          <w:lang w:val="en-GB" w:bidi="en-US"/>
        </w:rPr>
        <w:fldChar w:fldCharType="end"/>
      </w:r>
      <w:r w:rsidR="006D0E5D">
        <w:rPr>
          <w:lang w:val="en-GB" w:bidi="en-US"/>
        </w:rPr>
        <w:t xml:space="preserve"> and vii)</w:t>
      </w:r>
      <w:r w:rsidR="005A26AD" w:rsidRPr="005A26AD">
        <w:rPr>
          <w:lang w:val="en-GB" w:bidi="en-US"/>
        </w:rPr>
        <w:t xml:space="preserve"> </w:t>
      </w:r>
      <w:r w:rsidR="00F14B7E">
        <w:rPr>
          <w:lang w:val="en-GB" w:bidi="en-US"/>
        </w:rPr>
        <w:t xml:space="preserve">presenting </w:t>
      </w:r>
      <w:r w:rsidR="005A26AD" w:rsidRPr="00402AEC">
        <w:rPr>
          <w:lang w:val="en-GB" w:bidi="en-US"/>
        </w:rPr>
        <w:t>wealth creation framework</w:t>
      </w:r>
      <w:r w:rsidR="005A26AD">
        <w:rPr>
          <w:lang w:val="en-GB" w:bidi="en-US"/>
        </w:rPr>
        <w:t>s for</w:t>
      </w:r>
      <w:r w:rsidR="005A26AD" w:rsidRPr="00402AEC">
        <w:rPr>
          <w:lang w:val="en-GB" w:bidi="en-US"/>
        </w:rPr>
        <w:t xml:space="preserve"> developing countries</w:t>
      </w:r>
      <w:r w:rsidR="005A26AD">
        <w:rPr>
          <w:lang w:val="en-GB" w:bidi="en-US"/>
        </w:rPr>
        <w:t xml:space="preserve"> (</w:t>
      </w:r>
      <w:r w:rsidR="005A26AD" w:rsidRPr="009601F2">
        <w:rPr>
          <w:lang w:val="en-GB" w:bidi="en-US"/>
        </w:rPr>
        <w:fldChar w:fldCharType="begin" w:fldLock="1"/>
      </w:r>
      <w:r w:rsidR="00BF2F60">
        <w:rPr>
          <w:lang w:val="en-GB" w:bidi="en-US"/>
        </w:rPr>
        <w:instrText>ADDIN CSL_CITATION {"citationItems":[{"id":"ITEM-1","itemData":{"DOI":"10.1016/j.jclepro.2016.05.018","ISBN":"0959-6526","ISSN":"09596526","abstract":"Excessive industrialization is creating enormous economic gaps, chaos and unequal societies that are approaching dangerous limits. Simultaneously, large quantities of residues, waste and ecological footprints have been created in detriment to the natural environment and the quality of life of most of the planet's population, mainly in developing regions. This presents most innovators with a new dilemma: Invest in sustainable long-Term projects with low economic returns, or innovate in short-Term incremental production and negotiate the environmental harm caused by an excessive industrialization. In fact, a significant milestone emerges from these arguments. Somehow, we must reverse the perverse cycle created by industrialization and transform the current ecological footprint into valuable assets, for all sub-systems of the biosphere. A proposal has been designed to go beyond sustainability and create sustainable wealth, based on the modification of the conventional growth paradigm, that can be used to regenerate regional natural resources and simultaneously be economically competitive and capable of offering important social benefits to the community. The proposed framework, SWIT (Sustainable Wealth creation based on Innovation and Technology) has been developed to provide multiple businesses of zero-value residue industrial ecology processes (ZRIES), inserted into circular value ecosystems (CVES), all managed and governed by a sustainable sharing value system for the benefit of a community. Several cases of the application of the sustainable wealth creation framework, mainly in developing countries, are described.","author":[{"dropping-particle":"","family":"Scheel","given":"Carlos","non-dropping-particle":"","parse-names":false,"suffix":""}],"container-title":"Journal of Cleaner Production","id":"ITEM-1","issued":{"date-parts":[["2016"]]},"page":"376-386","publisher":"Elsevier Ltd","title":"Beyond sustainability. Transforming industrial zero-valued residues into increasing economic returns","type":"article-journal","volume":"131"},"uris":["http://www.mendeley.com/documents/?uuid=49e6adf2-7120-4abd-a556-34e147482589","http://www.mendeley.com/documents/?uuid=78e94954-0404-439b-8425-7ba03faefc78"]}],"mendeley":{"formattedCitation":"(Scheel, 2016)","manualFormatting":"Scheel 2016)","plainTextFormattedCitation":"(Scheel, 2016)","previouslyFormattedCitation":"(Scheel, 2016)"},"properties":{"noteIndex":0},"schema":"https://github.com/citation-style-language/schema/raw/master/csl-citation.json"}</w:instrText>
      </w:r>
      <w:r w:rsidR="005A26AD" w:rsidRPr="009601F2">
        <w:rPr>
          <w:lang w:val="en-GB" w:bidi="en-US"/>
        </w:rPr>
        <w:fldChar w:fldCharType="separate"/>
      </w:r>
      <w:r w:rsidR="005A26AD" w:rsidRPr="00402AEC">
        <w:rPr>
          <w:noProof/>
          <w:lang w:val="en-GB" w:bidi="en-US"/>
        </w:rPr>
        <w:t>Scheel 2016)</w:t>
      </w:r>
      <w:r w:rsidR="005A26AD" w:rsidRPr="009601F2">
        <w:rPr>
          <w:lang w:val="en-GB" w:bidi="en-US"/>
        </w:rPr>
        <w:fldChar w:fldCharType="end"/>
      </w:r>
      <w:r w:rsidR="005A26AD">
        <w:rPr>
          <w:lang w:val="en-GB" w:bidi="en-US"/>
        </w:rPr>
        <w:t>.</w:t>
      </w:r>
    </w:p>
    <w:p w14:paraId="77A563CB" w14:textId="41C1575A" w:rsidR="00C505DA" w:rsidRPr="00402AEC" w:rsidRDefault="00C505DA" w:rsidP="00C505DA">
      <w:pPr>
        <w:pStyle w:val="Didascalia"/>
        <w:spacing w:after="240" w:line="360" w:lineRule="auto"/>
        <w:jc w:val="center"/>
        <w:rPr>
          <w:b w:val="0"/>
          <w:sz w:val="24"/>
          <w:lang w:val="en-GB"/>
        </w:rPr>
      </w:pPr>
      <w:r w:rsidRPr="00402AEC">
        <w:rPr>
          <w:caps w:val="0"/>
          <w:sz w:val="24"/>
          <w:lang w:val="en-GB"/>
        </w:rPr>
        <w:t xml:space="preserve">Table </w:t>
      </w:r>
      <w:r w:rsidRPr="009601F2">
        <w:rPr>
          <w:sz w:val="24"/>
          <w:lang w:val="en-GB"/>
        </w:rPr>
        <w:fldChar w:fldCharType="begin"/>
      </w:r>
      <w:r w:rsidRPr="00402AEC">
        <w:rPr>
          <w:sz w:val="24"/>
          <w:lang w:val="en-GB"/>
        </w:rPr>
        <w:instrText xml:space="preserve"> SEQ Table \* ARABIC </w:instrText>
      </w:r>
      <w:r w:rsidRPr="009601F2">
        <w:rPr>
          <w:sz w:val="24"/>
          <w:lang w:val="en-GB"/>
        </w:rPr>
        <w:fldChar w:fldCharType="separate"/>
      </w:r>
      <w:r w:rsidR="008F7F15">
        <w:rPr>
          <w:noProof/>
          <w:sz w:val="24"/>
          <w:lang w:val="en-GB"/>
        </w:rPr>
        <w:t>2</w:t>
      </w:r>
      <w:r w:rsidRPr="009601F2">
        <w:rPr>
          <w:sz w:val="24"/>
          <w:lang w:val="en-GB"/>
        </w:rPr>
        <w:fldChar w:fldCharType="end"/>
      </w:r>
      <w:r w:rsidRPr="00402AEC">
        <w:rPr>
          <w:caps w:val="0"/>
          <w:sz w:val="24"/>
          <w:lang w:val="en-GB"/>
        </w:rPr>
        <w:t>.</w:t>
      </w:r>
      <w:r w:rsidRPr="00402AEC">
        <w:rPr>
          <w:b w:val="0"/>
          <w:caps w:val="0"/>
          <w:sz w:val="24"/>
          <w:lang w:val="en-GB"/>
        </w:rPr>
        <w:t xml:space="preserve"> CBM best practice</w:t>
      </w:r>
      <w:r w:rsidR="0001070D">
        <w:rPr>
          <w:b w:val="0"/>
          <w:caps w:val="0"/>
          <w:sz w:val="24"/>
          <w:lang w:val="en-GB"/>
        </w:rPr>
        <w:t xml:space="preserve"> classification</w:t>
      </w:r>
    </w:p>
    <w:tbl>
      <w:tblPr>
        <w:tblStyle w:val="Grigliatabella"/>
        <w:tblW w:w="5000" w:type="pct"/>
        <w:tblLayout w:type="fixed"/>
        <w:tblLook w:val="01E0" w:firstRow="1" w:lastRow="1" w:firstColumn="1" w:lastColumn="1" w:noHBand="0" w:noVBand="0"/>
      </w:tblPr>
      <w:tblGrid>
        <w:gridCol w:w="2426"/>
        <w:gridCol w:w="1733"/>
        <w:gridCol w:w="1359"/>
        <w:gridCol w:w="1359"/>
        <w:gridCol w:w="1359"/>
        <w:gridCol w:w="1386"/>
      </w:tblGrid>
      <w:tr w:rsidR="000C6B2D" w:rsidRPr="00402AEC" w14:paraId="61399D81" w14:textId="77777777" w:rsidTr="00746DB3">
        <w:tc>
          <w:tcPr>
            <w:tcW w:w="1261" w:type="pct"/>
            <w:vMerge w:val="restart"/>
          </w:tcPr>
          <w:p w14:paraId="1EF24AE6" w14:textId="77777777" w:rsidR="00C505DA" w:rsidRPr="00402AEC" w:rsidRDefault="00C505DA" w:rsidP="00D62E44">
            <w:pPr>
              <w:rPr>
                <w:b/>
                <w:lang w:val="en-GB"/>
              </w:rPr>
            </w:pPr>
            <w:r w:rsidRPr="00402AEC">
              <w:rPr>
                <w:b/>
                <w:lang w:val="en-GB"/>
              </w:rPr>
              <w:t>Author</w:t>
            </w:r>
          </w:p>
        </w:tc>
        <w:tc>
          <w:tcPr>
            <w:tcW w:w="3739" w:type="pct"/>
            <w:gridSpan w:val="5"/>
          </w:tcPr>
          <w:p w14:paraId="50301F9D" w14:textId="56460F45" w:rsidR="00C505DA" w:rsidRPr="00402AEC" w:rsidRDefault="00C505DA" w:rsidP="00D62E44">
            <w:pPr>
              <w:jc w:val="center"/>
              <w:rPr>
                <w:b/>
                <w:lang w:val="en-GB"/>
              </w:rPr>
            </w:pPr>
            <w:r w:rsidRPr="00402AEC">
              <w:rPr>
                <w:b/>
                <w:lang w:val="en-GB"/>
              </w:rPr>
              <w:t>CBM best practice</w:t>
            </w:r>
            <w:r w:rsidR="0001070D">
              <w:rPr>
                <w:b/>
                <w:lang w:val="en-GB"/>
              </w:rPr>
              <w:t xml:space="preserve"> classification</w:t>
            </w:r>
          </w:p>
        </w:tc>
      </w:tr>
      <w:tr w:rsidR="00763A9F" w:rsidRPr="00402AEC" w14:paraId="17A1AEF9" w14:textId="77777777" w:rsidTr="00746DB3">
        <w:tc>
          <w:tcPr>
            <w:tcW w:w="1261" w:type="pct"/>
            <w:vMerge/>
          </w:tcPr>
          <w:p w14:paraId="7A5C4509" w14:textId="77777777" w:rsidR="00974E69" w:rsidRPr="00402AEC" w:rsidRDefault="00974E69" w:rsidP="00D62E44">
            <w:pPr>
              <w:rPr>
                <w:b/>
                <w:lang w:val="en-GB"/>
              </w:rPr>
            </w:pPr>
          </w:p>
        </w:tc>
        <w:tc>
          <w:tcPr>
            <w:tcW w:w="901" w:type="pct"/>
          </w:tcPr>
          <w:p w14:paraId="40D16F0B" w14:textId="60C2B0EC" w:rsidR="00974E69" w:rsidRPr="00402AEC" w:rsidRDefault="00837AB4" w:rsidP="00D62E44">
            <w:pPr>
              <w:jc w:val="center"/>
              <w:rPr>
                <w:b/>
                <w:lang w:val="en-GB"/>
              </w:rPr>
            </w:pPr>
            <w:r>
              <w:rPr>
                <w:b/>
                <w:lang w:val="en-GB"/>
              </w:rPr>
              <w:t>Paradigm-based</w:t>
            </w:r>
          </w:p>
        </w:tc>
        <w:tc>
          <w:tcPr>
            <w:tcW w:w="706" w:type="pct"/>
          </w:tcPr>
          <w:p w14:paraId="3D9DCDBE" w14:textId="21523FA0" w:rsidR="00974E69" w:rsidRPr="00402AEC" w:rsidRDefault="00BE3176" w:rsidP="00D62E44">
            <w:pPr>
              <w:jc w:val="center"/>
              <w:rPr>
                <w:b/>
                <w:lang w:val="en-GB"/>
              </w:rPr>
            </w:pPr>
            <w:r w:rsidRPr="00402AEC">
              <w:rPr>
                <w:b/>
                <w:lang w:val="en-GB"/>
              </w:rPr>
              <w:t>Service</w:t>
            </w:r>
            <w:r w:rsidR="00837AB4">
              <w:rPr>
                <w:b/>
                <w:lang w:val="en-GB"/>
              </w:rPr>
              <w:t>-based</w:t>
            </w:r>
          </w:p>
        </w:tc>
        <w:tc>
          <w:tcPr>
            <w:tcW w:w="706" w:type="pct"/>
          </w:tcPr>
          <w:p w14:paraId="69EAB635" w14:textId="38E22235" w:rsidR="00974E69" w:rsidRPr="00402AEC" w:rsidRDefault="008870D0" w:rsidP="00D62E44">
            <w:pPr>
              <w:jc w:val="center"/>
              <w:rPr>
                <w:b/>
                <w:lang w:val="en-GB"/>
              </w:rPr>
            </w:pPr>
            <w:r w:rsidRPr="00402AEC">
              <w:rPr>
                <w:b/>
                <w:lang w:val="en-GB"/>
              </w:rPr>
              <w:t>P</w:t>
            </w:r>
            <w:r w:rsidR="00974E69" w:rsidRPr="00402AEC">
              <w:rPr>
                <w:b/>
                <w:lang w:val="en-GB"/>
              </w:rPr>
              <w:t>roduct</w:t>
            </w:r>
            <w:r w:rsidR="00837AB4">
              <w:rPr>
                <w:b/>
                <w:lang w:val="en-GB"/>
              </w:rPr>
              <w:t>-based</w:t>
            </w:r>
          </w:p>
        </w:tc>
        <w:tc>
          <w:tcPr>
            <w:tcW w:w="706" w:type="pct"/>
          </w:tcPr>
          <w:p w14:paraId="6C5CF454" w14:textId="6A25C0FE" w:rsidR="00974E69" w:rsidRPr="00402AEC" w:rsidRDefault="008870D0" w:rsidP="00D62E44">
            <w:pPr>
              <w:jc w:val="center"/>
              <w:rPr>
                <w:b/>
                <w:lang w:val="en-GB"/>
              </w:rPr>
            </w:pPr>
            <w:r w:rsidRPr="00402AEC">
              <w:rPr>
                <w:b/>
                <w:lang w:val="en-GB"/>
              </w:rPr>
              <w:t>S</w:t>
            </w:r>
            <w:r w:rsidR="00974E69" w:rsidRPr="00402AEC">
              <w:rPr>
                <w:b/>
                <w:lang w:val="en-GB"/>
              </w:rPr>
              <w:t>ector</w:t>
            </w:r>
            <w:r w:rsidR="00837AB4">
              <w:rPr>
                <w:b/>
                <w:lang w:val="en-GB"/>
              </w:rPr>
              <w:t>-based</w:t>
            </w:r>
          </w:p>
        </w:tc>
        <w:tc>
          <w:tcPr>
            <w:tcW w:w="720" w:type="pct"/>
          </w:tcPr>
          <w:p w14:paraId="5CC89FA7" w14:textId="59BDE780" w:rsidR="00974E69" w:rsidRPr="00402AEC" w:rsidRDefault="00763A9F" w:rsidP="00D62E44">
            <w:pPr>
              <w:jc w:val="center"/>
              <w:rPr>
                <w:b/>
                <w:lang w:val="en-GB"/>
              </w:rPr>
            </w:pPr>
            <w:r>
              <w:rPr>
                <w:b/>
                <w:lang w:val="en-GB"/>
              </w:rPr>
              <w:t>Pattern-based</w:t>
            </w:r>
          </w:p>
        </w:tc>
      </w:tr>
      <w:tr w:rsidR="00763A9F" w:rsidRPr="00402AEC" w14:paraId="4B91D4AE" w14:textId="77777777" w:rsidTr="00746DB3">
        <w:tc>
          <w:tcPr>
            <w:tcW w:w="1261" w:type="pct"/>
          </w:tcPr>
          <w:p w14:paraId="30C2501D" w14:textId="7BB60529" w:rsidR="00974E69" w:rsidRPr="00C03A6B" w:rsidRDefault="00974E69" w:rsidP="00D62E44">
            <w:pPr>
              <w:rPr>
                <w:sz w:val="20"/>
                <w:szCs w:val="20"/>
                <w:highlight w:val="yellow"/>
                <w:lang w:val="en-GB"/>
              </w:rPr>
            </w:pPr>
            <w:r w:rsidRPr="00746DB3">
              <w:rPr>
                <w:sz w:val="20"/>
                <w:szCs w:val="20"/>
                <w:lang w:val="en-GB" w:bidi="en-US"/>
              </w:rPr>
              <w:t>(</w:t>
            </w:r>
            <w:r w:rsidRPr="00746DB3">
              <w:rPr>
                <w:sz w:val="20"/>
                <w:szCs w:val="20"/>
                <w:lang w:val="en-GB" w:bidi="en-US"/>
              </w:rPr>
              <w:fldChar w:fldCharType="begin" w:fldLock="1"/>
            </w:r>
            <w:r w:rsidR="003445CC">
              <w:rPr>
                <w:sz w:val="20"/>
                <w:szCs w:val="20"/>
                <w:lang w:val="en-GB" w:bidi="en-US"/>
              </w:rPr>
              <w:instrText>ADDIN CSL_CITATION {"citationItems":[{"id":"ITEM-1","itemData":{"DOI":"http://dx.doi.org/10.2139/ssrn.2908107","ISBN":"9589721869","ISSN":"9780983648703","abstract":"The traditional “take-make-dispose” consumption model cannot sustain in the long run and companies need to adapt their business models to find more sustainable ways to create, deliver and capture value. Business models that decouple economic growth from raw material input, using a circular approach, will become essential in the near future. This idea has come to be known as the circular economy. In the circular economy, recourses are kept in use for as long as possible, by for example reusing or repairing products that would have been thrown away in a linear economy. To illustrate how companies can implement circular business models in practice, we provide examples from the do-it-yourself-construction retail industry in Norway - a traditional industry known for its wasteful “take-make-dispose” approach. We propose four business model designs that offer different ways for companies to become more circular rooted in the ideas of product life extension, resource recovery and product-as-service logic. As we will discuss, while some of these practices can be added to the retailer's existing business model, others require a more radical change in the traditional business model. By means of our findings, we intend to encourage retailers to change their business models towards greater sustainability and eventually steer their suppliers and customers towards more sustainable production and consumption patterns. -","author":[{"dropping-particle":"","family":"Adam","given":"Sunniva","non-dropping-particle":"","parse-names":false,"suffix":""},{"dropping-particle":"","family":"Bücker","given":"Christian","non-dropping-particle":"","parse-names":false,"suffix":""},{"dropping-particle":"","family":"Desguin","given":"Samuel","non-dropping-particle":"","parse-names":false,"suffix":""},{"dropping-particle":"","family":"Madsen","given":"Nicolai","non-dropping-particle":"","parse-names":false,"suffix":""},{"dropping-particle":"","family":"Saebi","given":"Tina","non-dropping-particle":"","parse-names":false,"suffix":""}],"container-title":"SSRN Electronic Journal","id":"ITEM-1","issued":{"date-parts":[["2017"]]},"page":"1-21","title":"Taking part in the circular economy: four ways to designing circular business models","type":"article-journal"},"uris":["http://www.mendeley.com/documents/?uuid=2a09cf36-9084-43af-8021-c12bd41689b6","http://www.mendeley.com/documents/?uuid=d9f89004-426d-4ed4-99f3-9968f703df49"]}],"mendeley":{"formattedCitation":"(Adam et al., 2017)","manualFormatting":"Adam et al. 2017)","plainTextFormattedCitation":"(Adam et al., 2017)","previouslyFormattedCitation":"(Adam et al., 2017)"},"properties":{"noteIndex":0},"schema":"https://github.com/citation-style-language/schema/raw/master/csl-citation.json"}</w:instrText>
            </w:r>
            <w:r w:rsidRPr="00746DB3">
              <w:rPr>
                <w:sz w:val="20"/>
                <w:szCs w:val="20"/>
                <w:lang w:val="en-GB" w:bidi="en-US"/>
              </w:rPr>
              <w:fldChar w:fldCharType="separate"/>
            </w:r>
            <w:r w:rsidRPr="00746DB3">
              <w:rPr>
                <w:noProof/>
                <w:sz w:val="20"/>
                <w:szCs w:val="20"/>
                <w:lang w:val="en-GB" w:bidi="en-US"/>
              </w:rPr>
              <w:t>Adam et al. 2017)</w:t>
            </w:r>
            <w:r w:rsidRPr="00746DB3">
              <w:rPr>
                <w:sz w:val="20"/>
                <w:szCs w:val="20"/>
                <w:lang w:val="en-GB" w:bidi="en-US"/>
              </w:rPr>
              <w:fldChar w:fldCharType="end"/>
            </w:r>
          </w:p>
        </w:tc>
        <w:tc>
          <w:tcPr>
            <w:tcW w:w="901" w:type="pct"/>
          </w:tcPr>
          <w:p w14:paraId="29883138" w14:textId="18393AE0" w:rsidR="00974E69" w:rsidRPr="00746DB3" w:rsidRDefault="00974E69" w:rsidP="00D62E44">
            <w:pPr>
              <w:jc w:val="center"/>
              <w:rPr>
                <w:sz w:val="20"/>
                <w:szCs w:val="20"/>
                <w:lang w:val="en-GB"/>
              </w:rPr>
            </w:pPr>
            <w:r w:rsidRPr="00746DB3">
              <w:rPr>
                <w:sz w:val="20"/>
                <w:szCs w:val="20"/>
                <w:lang w:val="en-GB"/>
              </w:rPr>
              <w:t>x</w:t>
            </w:r>
          </w:p>
        </w:tc>
        <w:tc>
          <w:tcPr>
            <w:tcW w:w="706" w:type="pct"/>
          </w:tcPr>
          <w:p w14:paraId="68D4EC29" w14:textId="3DEFC6C0" w:rsidR="00974E69" w:rsidRPr="00746DB3" w:rsidRDefault="00974E69" w:rsidP="00D62E44">
            <w:pPr>
              <w:jc w:val="center"/>
              <w:rPr>
                <w:sz w:val="20"/>
                <w:szCs w:val="20"/>
                <w:lang w:val="en-GB"/>
              </w:rPr>
            </w:pPr>
          </w:p>
        </w:tc>
        <w:tc>
          <w:tcPr>
            <w:tcW w:w="706" w:type="pct"/>
          </w:tcPr>
          <w:p w14:paraId="4B74D149" w14:textId="77777777" w:rsidR="00974E69" w:rsidRPr="00746DB3" w:rsidRDefault="00974E69" w:rsidP="00D62E44">
            <w:pPr>
              <w:jc w:val="center"/>
              <w:rPr>
                <w:sz w:val="20"/>
                <w:szCs w:val="20"/>
                <w:lang w:val="en-GB"/>
              </w:rPr>
            </w:pPr>
          </w:p>
        </w:tc>
        <w:tc>
          <w:tcPr>
            <w:tcW w:w="706" w:type="pct"/>
          </w:tcPr>
          <w:p w14:paraId="5B8DC90A" w14:textId="77777777" w:rsidR="00974E69" w:rsidRPr="00746DB3" w:rsidRDefault="00974E69" w:rsidP="00D62E44">
            <w:pPr>
              <w:jc w:val="center"/>
              <w:rPr>
                <w:sz w:val="20"/>
                <w:szCs w:val="20"/>
                <w:lang w:val="en-GB"/>
              </w:rPr>
            </w:pPr>
          </w:p>
        </w:tc>
        <w:tc>
          <w:tcPr>
            <w:tcW w:w="720" w:type="pct"/>
          </w:tcPr>
          <w:p w14:paraId="6D03F318" w14:textId="77777777" w:rsidR="00974E69" w:rsidRPr="00746DB3" w:rsidRDefault="00974E69" w:rsidP="00D62E44">
            <w:pPr>
              <w:jc w:val="center"/>
              <w:rPr>
                <w:sz w:val="20"/>
                <w:szCs w:val="20"/>
                <w:lang w:val="en-GB"/>
              </w:rPr>
            </w:pPr>
          </w:p>
        </w:tc>
      </w:tr>
      <w:tr w:rsidR="004E2E83" w:rsidRPr="00402AEC" w14:paraId="4E8D958D" w14:textId="77777777" w:rsidTr="00746DB3">
        <w:tc>
          <w:tcPr>
            <w:tcW w:w="1261" w:type="pct"/>
          </w:tcPr>
          <w:p w14:paraId="5546A3BA" w14:textId="2020B19A" w:rsidR="004E2E83" w:rsidRPr="00C03A6B" w:rsidRDefault="004E2E83" w:rsidP="004E2E83">
            <w:pPr>
              <w:rPr>
                <w:sz w:val="20"/>
                <w:szCs w:val="20"/>
                <w:lang w:val="en-GB" w:bidi="en-US"/>
              </w:rPr>
            </w:pPr>
            <w:r w:rsidRPr="00B75C31">
              <w:rPr>
                <w:sz w:val="20"/>
                <w:szCs w:val="20"/>
                <w:lang w:val="en-GB" w:bidi="en-US"/>
              </w:rPr>
              <w:t>(</w:t>
            </w:r>
            <w:r w:rsidRPr="00B75C31">
              <w:rPr>
                <w:sz w:val="20"/>
                <w:szCs w:val="20"/>
                <w:lang w:val="en-GB" w:bidi="en-US"/>
              </w:rPr>
              <w:fldChar w:fldCharType="begin" w:fldLock="1"/>
            </w:r>
            <w:r w:rsidR="003445CC">
              <w:rPr>
                <w:sz w:val="20"/>
                <w:szCs w:val="20"/>
                <w:lang w:val="en-GB" w:bidi="en-US"/>
              </w:rPr>
              <w:instrText>ADDIN CSL_CITATION {"citationItems":[{"id":"ITEM-1","itemData":{"author":[{"dropping-particle":"","family":"Beulque","given":"Rémi","non-dropping-particle":"","parse-names":false,"suffix":""},{"dropping-particle":"","family":"Aggeri","given":"Franck","non-dropping-particle":"","parse-names":false,"suffix":""}],"container-title":"Egos Confernce","id":"ITEM-1","issued":{"date-parts":[["2016"]]},"page":"1-29","publisher-place":"Naples","title":"Circular Business Model Innovation: Key Patterns and Challenges to unleash recycling value creation potential","type":"paper-conference"},"uris":["http://www.mendeley.com/documents/?uuid=97101278-fa59-412a-aade-d20ea6343143","http://www.mendeley.com/documents/?uuid=421bde00-743f-42fc-a1bc-55e843bc74f3"]}],"mendeley":{"formattedCitation":"(Beulque and Aggeri, 2016)","manualFormatting":"Beulque and Aggeri 2016)","plainTextFormattedCitation":"(Beulque and Aggeri, 2016)","previouslyFormattedCitation":"(Beulque and Aggeri, 2016)"},"properties":{"noteIndex":0},"schema":"https://github.com/citation-style-language/schema/raw/master/csl-citation.json"}</w:instrText>
            </w:r>
            <w:r w:rsidRPr="00B75C31">
              <w:rPr>
                <w:sz w:val="20"/>
                <w:szCs w:val="20"/>
                <w:lang w:val="en-GB" w:bidi="en-US"/>
              </w:rPr>
              <w:fldChar w:fldCharType="separate"/>
            </w:r>
            <w:r w:rsidRPr="00B75C31">
              <w:rPr>
                <w:noProof/>
                <w:sz w:val="20"/>
                <w:szCs w:val="20"/>
                <w:lang w:val="en-GB" w:bidi="en-US"/>
              </w:rPr>
              <w:t>Beulque and Aggeri 2016)</w:t>
            </w:r>
            <w:r w:rsidRPr="00B75C31">
              <w:rPr>
                <w:sz w:val="20"/>
                <w:szCs w:val="20"/>
                <w:lang w:val="en-GB" w:bidi="en-US"/>
              </w:rPr>
              <w:fldChar w:fldCharType="end"/>
            </w:r>
          </w:p>
        </w:tc>
        <w:tc>
          <w:tcPr>
            <w:tcW w:w="901" w:type="pct"/>
          </w:tcPr>
          <w:p w14:paraId="120409AA" w14:textId="77777777" w:rsidR="004E2E83" w:rsidRPr="00C03A6B" w:rsidRDefault="004E2E83" w:rsidP="004E2E83">
            <w:pPr>
              <w:jc w:val="center"/>
              <w:rPr>
                <w:sz w:val="20"/>
                <w:szCs w:val="20"/>
                <w:lang w:val="en-GB"/>
              </w:rPr>
            </w:pPr>
          </w:p>
        </w:tc>
        <w:tc>
          <w:tcPr>
            <w:tcW w:w="706" w:type="pct"/>
          </w:tcPr>
          <w:p w14:paraId="3FF3723C" w14:textId="77777777" w:rsidR="004E2E83" w:rsidRPr="00C03A6B" w:rsidRDefault="004E2E83" w:rsidP="004E2E83">
            <w:pPr>
              <w:jc w:val="center"/>
              <w:rPr>
                <w:sz w:val="20"/>
                <w:szCs w:val="20"/>
                <w:lang w:val="en-GB"/>
              </w:rPr>
            </w:pPr>
          </w:p>
        </w:tc>
        <w:tc>
          <w:tcPr>
            <w:tcW w:w="706" w:type="pct"/>
          </w:tcPr>
          <w:p w14:paraId="79723977" w14:textId="77777777" w:rsidR="004E2E83" w:rsidRPr="00C03A6B" w:rsidRDefault="004E2E83" w:rsidP="004E2E83">
            <w:pPr>
              <w:jc w:val="center"/>
              <w:rPr>
                <w:sz w:val="20"/>
                <w:szCs w:val="20"/>
                <w:lang w:val="en-GB"/>
              </w:rPr>
            </w:pPr>
          </w:p>
        </w:tc>
        <w:tc>
          <w:tcPr>
            <w:tcW w:w="706" w:type="pct"/>
          </w:tcPr>
          <w:p w14:paraId="2E1389FC" w14:textId="77777777" w:rsidR="004E2E83" w:rsidRPr="00C03A6B" w:rsidRDefault="004E2E83" w:rsidP="004E2E83">
            <w:pPr>
              <w:jc w:val="center"/>
              <w:rPr>
                <w:sz w:val="20"/>
                <w:szCs w:val="20"/>
                <w:lang w:val="en-GB"/>
              </w:rPr>
            </w:pPr>
          </w:p>
        </w:tc>
        <w:tc>
          <w:tcPr>
            <w:tcW w:w="720" w:type="pct"/>
          </w:tcPr>
          <w:p w14:paraId="3EA156D9" w14:textId="313C73B0" w:rsidR="004E2E83" w:rsidRPr="00C03A6B" w:rsidRDefault="004E2E83" w:rsidP="004E2E83">
            <w:pPr>
              <w:jc w:val="center"/>
              <w:rPr>
                <w:sz w:val="20"/>
                <w:szCs w:val="20"/>
                <w:lang w:val="en-GB"/>
              </w:rPr>
            </w:pPr>
            <w:r w:rsidRPr="00B75C31">
              <w:rPr>
                <w:sz w:val="20"/>
                <w:szCs w:val="20"/>
                <w:lang w:val="en-GB"/>
              </w:rPr>
              <w:t>x</w:t>
            </w:r>
          </w:p>
        </w:tc>
      </w:tr>
      <w:tr w:rsidR="004E2E83" w:rsidRPr="00402AEC" w14:paraId="51ED6B5D" w14:textId="77777777" w:rsidTr="00746DB3">
        <w:tc>
          <w:tcPr>
            <w:tcW w:w="1261" w:type="pct"/>
          </w:tcPr>
          <w:p w14:paraId="242FFF0C" w14:textId="434B72BF" w:rsidR="004E2E83" w:rsidRPr="00C03A6B" w:rsidRDefault="004E2E83" w:rsidP="004E2E83">
            <w:pPr>
              <w:rPr>
                <w:sz w:val="20"/>
                <w:szCs w:val="20"/>
                <w:lang w:val="en-GB" w:bidi="en-US"/>
              </w:rPr>
            </w:pPr>
            <w:r w:rsidRPr="003E2829">
              <w:rPr>
                <w:sz w:val="20"/>
                <w:szCs w:val="20"/>
                <w:lang w:val="en-GB" w:bidi="en-US"/>
              </w:rPr>
              <w:t>(</w:t>
            </w:r>
            <w:r w:rsidRPr="003E2829">
              <w:rPr>
                <w:sz w:val="20"/>
                <w:szCs w:val="20"/>
                <w:lang w:val="en-GB" w:bidi="en-US"/>
              </w:rPr>
              <w:fldChar w:fldCharType="begin" w:fldLock="1"/>
            </w:r>
            <w:r w:rsidR="00BF2F60">
              <w:rPr>
                <w:sz w:val="20"/>
                <w:szCs w:val="20"/>
                <w:lang w:val="en-GB" w:bidi="en-US"/>
              </w:rPr>
              <w:instrText>ADDIN CSL_CITATION {"citationItems":[{"id":"ITEM-1","itemData":{"DOI":"10.3233/978-1-61499-820-4-41","ISBN":"9781614998204","author":[{"dropping-particle":"","family":"Bocken","given":"Nancy M.P.","non-dropping-particle":"","parse-names":false,"suffix":""},{"dropping-particle":"","family":"Bom","given":"C.A.","non-dropping-particle":"","parse-names":false,"suffix":""},{"dropping-particle":"","family":"Lemstra","given":"H.J.","non-dropping-particle":"","parse-names":false,"suffix":""}],"container-title":"PLATE 2017 - Product Lifetimes And The Environment Conference","id":"ITEM-1","issued":{"date-parts":[["2017"]]},"page":"1-7","publisher":"TU Delft","publisher-place":"Delft","title":"Business experiments as an approach to drive sustainable consumption: the case of HOMIE","type":"paper-conference"},"uris":["http://www.mendeley.com/documents/?uuid=ff40fd80-e52b-4f97-8579-eb42b388692a","http://www.mendeley.com/documents/?uuid=4f80fc05-2d85-441b-a337-9e9393ab2069"]}],"mendeley":{"formattedCitation":"(Bocken et al., 2017)","manualFormatting":"Bocken et al. (2017)","plainTextFormattedCitation":"(Bocken et al., 2017)","previouslyFormattedCitation":"(Bocken et al., 2017)"},"properties":{"noteIndex":0},"schema":"https://github.com/citation-style-language/schema/raw/master/csl-citation.json"}</w:instrText>
            </w:r>
            <w:r w:rsidRPr="003E2829">
              <w:rPr>
                <w:sz w:val="20"/>
                <w:szCs w:val="20"/>
                <w:lang w:val="en-GB" w:bidi="en-US"/>
              </w:rPr>
              <w:fldChar w:fldCharType="separate"/>
            </w:r>
            <w:r w:rsidRPr="003E2829">
              <w:rPr>
                <w:noProof/>
                <w:sz w:val="20"/>
                <w:szCs w:val="20"/>
                <w:lang w:val="en-GB" w:bidi="en-US"/>
              </w:rPr>
              <w:t>Bocken et al. (2017)</w:t>
            </w:r>
            <w:r w:rsidRPr="003E2829">
              <w:rPr>
                <w:sz w:val="20"/>
                <w:szCs w:val="20"/>
                <w:lang w:val="en-GB" w:bidi="en-US"/>
              </w:rPr>
              <w:fldChar w:fldCharType="end"/>
            </w:r>
          </w:p>
        </w:tc>
        <w:tc>
          <w:tcPr>
            <w:tcW w:w="901" w:type="pct"/>
          </w:tcPr>
          <w:p w14:paraId="60582B73" w14:textId="77777777" w:rsidR="004E2E83" w:rsidRPr="00C03A6B" w:rsidRDefault="004E2E83" w:rsidP="004E2E83">
            <w:pPr>
              <w:jc w:val="center"/>
              <w:rPr>
                <w:sz w:val="20"/>
                <w:szCs w:val="20"/>
                <w:lang w:val="en-GB"/>
              </w:rPr>
            </w:pPr>
          </w:p>
        </w:tc>
        <w:tc>
          <w:tcPr>
            <w:tcW w:w="706" w:type="pct"/>
          </w:tcPr>
          <w:p w14:paraId="3187CE8B" w14:textId="77777777" w:rsidR="004E2E83" w:rsidRPr="00C03A6B" w:rsidRDefault="004E2E83" w:rsidP="004E2E83">
            <w:pPr>
              <w:jc w:val="center"/>
              <w:rPr>
                <w:sz w:val="20"/>
                <w:szCs w:val="20"/>
                <w:lang w:val="en-GB"/>
              </w:rPr>
            </w:pPr>
          </w:p>
        </w:tc>
        <w:tc>
          <w:tcPr>
            <w:tcW w:w="706" w:type="pct"/>
          </w:tcPr>
          <w:p w14:paraId="420B7653" w14:textId="25F7AC8B" w:rsidR="004E2E83" w:rsidRPr="00C03A6B" w:rsidRDefault="004E2E83" w:rsidP="004E2E83">
            <w:pPr>
              <w:jc w:val="center"/>
              <w:rPr>
                <w:sz w:val="20"/>
                <w:szCs w:val="20"/>
                <w:lang w:val="en-GB"/>
              </w:rPr>
            </w:pPr>
            <w:r w:rsidRPr="003E2829">
              <w:rPr>
                <w:sz w:val="20"/>
                <w:szCs w:val="20"/>
                <w:lang w:val="en-GB"/>
              </w:rPr>
              <w:t>x</w:t>
            </w:r>
          </w:p>
        </w:tc>
        <w:tc>
          <w:tcPr>
            <w:tcW w:w="706" w:type="pct"/>
          </w:tcPr>
          <w:p w14:paraId="4CC72119" w14:textId="77777777" w:rsidR="004E2E83" w:rsidRPr="00C03A6B" w:rsidRDefault="004E2E83" w:rsidP="004E2E83">
            <w:pPr>
              <w:jc w:val="center"/>
              <w:rPr>
                <w:sz w:val="20"/>
                <w:szCs w:val="20"/>
                <w:lang w:val="en-GB"/>
              </w:rPr>
            </w:pPr>
          </w:p>
        </w:tc>
        <w:tc>
          <w:tcPr>
            <w:tcW w:w="720" w:type="pct"/>
          </w:tcPr>
          <w:p w14:paraId="0E4D98D9" w14:textId="77777777" w:rsidR="004E2E83" w:rsidRPr="00C03A6B" w:rsidRDefault="004E2E83" w:rsidP="004E2E83">
            <w:pPr>
              <w:jc w:val="center"/>
              <w:rPr>
                <w:sz w:val="20"/>
                <w:szCs w:val="20"/>
                <w:lang w:val="en-GB"/>
              </w:rPr>
            </w:pPr>
          </w:p>
        </w:tc>
      </w:tr>
      <w:tr w:rsidR="004E2E83" w:rsidRPr="00402AEC" w14:paraId="747D3B5A" w14:textId="77777777" w:rsidTr="00746DB3">
        <w:tc>
          <w:tcPr>
            <w:tcW w:w="1261" w:type="pct"/>
          </w:tcPr>
          <w:p w14:paraId="3A17A88E" w14:textId="637AF584" w:rsidR="004E2E83" w:rsidRPr="00A3401D" w:rsidRDefault="004E2E83" w:rsidP="004E2E83">
            <w:pPr>
              <w:rPr>
                <w:sz w:val="20"/>
                <w:szCs w:val="20"/>
                <w:lang w:val="en-GB" w:bidi="en-US"/>
              </w:rPr>
            </w:pPr>
            <w:r w:rsidRPr="00A3401D">
              <w:rPr>
                <w:sz w:val="20"/>
                <w:szCs w:val="20"/>
                <w:lang w:val="en-GB" w:bidi="en-US"/>
              </w:rPr>
              <w:t>(</w:t>
            </w:r>
            <w:r w:rsidRPr="00A3401D">
              <w:rPr>
                <w:sz w:val="20"/>
                <w:szCs w:val="20"/>
                <w:lang w:val="en-GB" w:bidi="en-US"/>
              </w:rPr>
              <w:fldChar w:fldCharType="begin" w:fldLock="1"/>
            </w:r>
            <w:r w:rsidR="00BF2F60">
              <w:rPr>
                <w:sz w:val="20"/>
                <w:szCs w:val="20"/>
                <w:lang w:val="en-GB" w:bidi="en-US"/>
              </w:rPr>
              <w:instrText>ADDIN CSL_CITATION {"citationItems":[{"id":"ITEM-1","itemData":{"DOI":"10.1016/j.procir.2017.03.065","ISBN":"22128271 (ISSN)","ISSN":"22128271","abstract":"Although circular economy is usually indicated as a way to reconcile economic growth and sustainability, circular business models and related product-service systems are not implemented on a large scale yet. Providing information about how to develop circular business models and methods to evaluate their expected impacts, can support stakeholders to embrace this transition. To this regard, the aim of this paper is to propose and discuss the actions required for reshaping the washing machine industry towards a circular economy scenario. The paper, based on a recently launched research project, describes a set of actions and develops very preliminary computations of their expected impact. Results show that customers could benefit from an average yearly saving of almost 30% of the current washing cost, while country total electricity generation and water consumption could be reduced of about 0.6% and 1% respectively. Albeit they are only preliminary estimates and further research and empirical validation are certainly needed, these outcomes gives an idea about the order of magnitude of benefits gathered by a circular economy transition for a mass durable consumer goods industry such as washing machines.","author":[{"dropping-particle":"","family":"Bressanelli","given":"Gianmarco","non-dropping-particle":"","parse-names":false,"suffix":""},{"dropping-particle":"","family":"Perona","given":"Marco","non-dropping-particle":"","parse-names":false,"suffix":""},{"dropping-particle":"","family":"Saccani","given":"Nicola","non-dropping-particle":"","parse-names":false,"suffix":""}],"container-title":"Procedia CIRP","id":"ITEM-1","issued":{"date-parts":[["2017"]]},"page":"43-48","publisher":"The Author(s)","title":"Reshaping the Washing Machine Industry through Circular Economy and Product-Service System Business Models","type":"article-journal","volume":"64"},"uris":["http://www.mendeley.com/documents/?uuid=7f6fa3f0-48d2-43d8-a682-95b50d63dbf1","http://www.mendeley.com/documents/?uuid=e3011812-e5c5-4920-ac49-f3032dfd4b5b"]}],"mendeley":{"formattedCitation":"(Bressanelli et al., 2017)","manualFormatting":"Bressanelli et al. (2017)","plainTextFormattedCitation":"(Bressanelli et al., 2017)","previouslyFormattedCitation":"(Bressanelli et al., 2017)"},"properties":{"noteIndex":0},"schema":"https://github.com/citation-style-language/schema/raw/master/csl-citation.json"}</w:instrText>
            </w:r>
            <w:r w:rsidRPr="00A3401D">
              <w:rPr>
                <w:sz w:val="20"/>
                <w:szCs w:val="20"/>
                <w:lang w:val="en-GB" w:bidi="en-US"/>
              </w:rPr>
              <w:fldChar w:fldCharType="separate"/>
            </w:r>
            <w:r w:rsidRPr="00A3401D">
              <w:rPr>
                <w:noProof/>
                <w:sz w:val="20"/>
                <w:szCs w:val="20"/>
                <w:lang w:val="en-GB" w:bidi="en-US"/>
              </w:rPr>
              <w:t>Bressanelli et al. (2017)</w:t>
            </w:r>
            <w:r w:rsidRPr="00A3401D">
              <w:rPr>
                <w:sz w:val="20"/>
                <w:szCs w:val="20"/>
                <w:lang w:val="en-GB" w:bidi="en-US"/>
              </w:rPr>
              <w:fldChar w:fldCharType="end"/>
            </w:r>
          </w:p>
        </w:tc>
        <w:tc>
          <w:tcPr>
            <w:tcW w:w="901" w:type="pct"/>
          </w:tcPr>
          <w:p w14:paraId="38AA1D10" w14:textId="77777777" w:rsidR="004E2E83" w:rsidRPr="00C03A6B" w:rsidRDefault="004E2E83" w:rsidP="004E2E83">
            <w:pPr>
              <w:jc w:val="center"/>
              <w:rPr>
                <w:sz w:val="20"/>
                <w:szCs w:val="20"/>
                <w:lang w:val="en-GB"/>
              </w:rPr>
            </w:pPr>
          </w:p>
        </w:tc>
        <w:tc>
          <w:tcPr>
            <w:tcW w:w="706" w:type="pct"/>
          </w:tcPr>
          <w:p w14:paraId="7129C19B" w14:textId="77777777" w:rsidR="004E2E83" w:rsidRPr="00C03A6B" w:rsidRDefault="004E2E83" w:rsidP="004E2E83">
            <w:pPr>
              <w:jc w:val="center"/>
              <w:rPr>
                <w:sz w:val="20"/>
                <w:szCs w:val="20"/>
                <w:lang w:val="en-GB"/>
              </w:rPr>
            </w:pPr>
          </w:p>
        </w:tc>
        <w:tc>
          <w:tcPr>
            <w:tcW w:w="706" w:type="pct"/>
          </w:tcPr>
          <w:p w14:paraId="69F54C7F" w14:textId="0FC1576D" w:rsidR="004E2E83" w:rsidRPr="00A3401D" w:rsidRDefault="004E2E83" w:rsidP="004E2E83">
            <w:pPr>
              <w:jc w:val="center"/>
              <w:rPr>
                <w:sz w:val="20"/>
                <w:szCs w:val="20"/>
                <w:lang w:val="en-GB"/>
              </w:rPr>
            </w:pPr>
            <w:r w:rsidRPr="00A3401D">
              <w:rPr>
                <w:sz w:val="20"/>
                <w:szCs w:val="20"/>
                <w:lang w:val="en-GB"/>
              </w:rPr>
              <w:t>x</w:t>
            </w:r>
          </w:p>
        </w:tc>
        <w:tc>
          <w:tcPr>
            <w:tcW w:w="706" w:type="pct"/>
          </w:tcPr>
          <w:p w14:paraId="02848147" w14:textId="77777777" w:rsidR="004E2E83" w:rsidRPr="00C03A6B" w:rsidRDefault="004E2E83" w:rsidP="004E2E83">
            <w:pPr>
              <w:jc w:val="center"/>
              <w:rPr>
                <w:sz w:val="20"/>
                <w:szCs w:val="20"/>
                <w:lang w:val="en-GB"/>
              </w:rPr>
            </w:pPr>
          </w:p>
        </w:tc>
        <w:tc>
          <w:tcPr>
            <w:tcW w:w="720" w:type="pct"/>
          </w:tcPr>
          <w:p w14:paraId="30602BCE" w14:textId="77777777" w:rsidR="004E2E83" w:rsidRPr="00C03A6B" w:rsidRDefault="004E2E83" w:rsidP="004E2E83">
            <w:pPr>
              <w:jc w:val="center"/>
              <w:rPr>
                <w:sz w:val="20"/>
                <w:szCs w:val="20"/>
                <w:lang w:val="en-GB"/>
              </w:rPr>
            </w:pPr>
          </w:p>
        </w:tc>
      </w:tr>
      <w:tr w:rsidR="004E2E83" w:rsidRPr="00402AEC" w14:paraId="0173152D" w14:textId="77777777" w:rsidTr="00746DB3">
        <w:tc>
          <w:tcPr>
            <w:tcW w:w="1261" w:type="pct"/>
          </w:tcPr>
          <w:p w14:paraId="06A86F69" w14:textId="31E2C7D2" w:rsidR="004E2E83" w:rsidRPr="00A3401D" w:rsidRDefault="004E2E83" w:rsidP="004E2E83">
            <w:pPr>
              <w:rPr>
                <w:sz w:val="20"/>
                <w:szCs w:val="20"/>
                <w:lang w:val="en-GB" w:bidi="en-US"/>
              </w:rPr>
            </w:pPr>
            <w:r w:rsidRPr="001769D1">
              <w:rPr>
                <w:sz w:val="20"/>
                <w:szCs w:val="20"/>
                <w:lang w:val="en-GB" w:bidi="en-US"/>
              </w:rPr>
              <w:t>(</w:t>
            </w:r>
            <w:r w:rsidRPr="001769D1">
              <w:rPr>
                <w:sz w:val="20"/>
                <w:szCs w:val="20"/>
                <w:lang w:val="en-GB" w:bidi="en-US"/>
              </w:rPr>
              <w:fldChar w:fldCharType="begin" w:fldLock="1"/>
            </w:r>
            <w:r w:rsidR="003445CC">
              <w:rPr>
                <w:sz w:val="20"/>
                <w:szCs w:val="20"/>
                <w:lang w:val="en-GB" w:bidi="en-US"/>
              </w:rPr>
              <w:instrText>ADDIN CSL_CITATION {"citationItems":[{"id":"ITEM-1","itemData":{"author":[{"dropping-particle":"","family":"Dewberry","given":"Emma","non-dropping-particle":"","parse-names":false,"suffix":""},{"dropping-particle":"","family":"Saca","given":"Lourdes","non-dropping-particle":"","parse-names":false,"suffix":""},{"dropping-particle":"","family":"Moreno","given":"Mariale","non-dropping-particle":"","parse-names":false,"suffix":""},{"dropping-particle":"","family":"Sheldrick","given":"Leila","non-dropping-particle":"","parse-names":false,"suffix":""},{"dropping-particle":"","family":"Sinclair","given":"Matt A.","non-dropping-particle":"","parse-names":false,"suffix":""}],"container-title":"Sustainable Innovation 2016","id":"ITEM-1","issued":{"date-parts":[["2016"]]},"page":"76-85","title":"A Landscape of Repair","type":"paper-conference"},"uris":["http://www.mendeley.com/documents/?uuid=82fe21f6-cdb8-434d-a418-fc47b723068d","http://www.mendeley.com/documents/?uuid=c4a0d12b-71ca-417f-8a60-56de481d9f2a"]}],"mendeley":{"formattedCitation":"(Dewberry et al., 2016)","manualFormatting":"Dewberry et al. 2016)","plainTextFormattedCitation":"(Dewberry et al., 2016)","previouslyFormattedCitation":"(Dewberry et al., 2016)"},"properties":{"noteIndex":0},"schema":"https://github.com/citation-style-language/schema/raw/master/csl-citation.json"}</w:instrText>
            </w:r>
            <w:r w:rsidRPr="001769D1">
              <w:rPr>
                <w:sz w:val="20"/>
                <w:szCs w:val="20"/>
                <w:lang w:val="en-GB" w:bidi="en-US"/>
              </w:rPr>
              <w:fldChar w:fldCharType="separate"/>
            </w:r>
            <w:r w:rsidRPr="001769D1">
              <w:rPr>
                <w:noProof/>
                <w:sz w:val="20"/>
                <w:szCs w:val="20"/>
                <w:lang w:val="en-GB" w:bidi="en-US"/>
              </w:rPr>
              <w:t>Dewberry et al. 2016)</w:t>
            </w:r>
            <w:r w:rsidRPr="001769D1">
              <w:rPr>
                <w:sz w:val="20"/>
                <w:szCs w:val="20"/>
                <w:lang w:val="en-GB" w:bidi="en-US"/>
              </w:rPr>
              <w:fldChar w:fldCharType="end"/>
            </w:r>
          </w:p>
        </w:tc>
        <w:tc>
          <w:tcPr>
            <w:tcW w:w="901" w:type="pct"/>
          </w:tcPr>
          <w:p w14:paraId="06C6B6A3" w14:textId="77777777" w:rsidR="004E2E83" w:rsidRPr="00C03A6B" w:rsidRDefault="004E2E83" w:rsidP="004E2E83">
            <w:pPr>
              <w:jc w:val="center"/>
              <w:rPr>
                <w:sz w:val="20"/>
                <w:szCs w:val="20"/>
                <w:lang w:val="en-GB"/>
              </w:rPr>
            </w:pPr>
          </w:p>
        </w:tc>
        <w:tc>
          <w:tcPr>
            <w:tcW w:w="706" w:type="pct"/>
          </w:tcPr>
          <w:p w14:paraId="10593421" w14:textId="77777777" w:rsidR="004E2E83" w:rsidRPr="00C03A6B" w:rsidRDefault="004E2E83" w:rsidP="004E2E83">
            <w:pPr>
              <w:jc w:val="center"/>
              <w:rPr>
                <w:sz w:val="20"/>
                <w:szCs w:val="20"/>
                <w:lang w:val="en-GB"/>
              </w:rPr>
            </w:pPr>
          </w:p>
        </w:tc>
        <w:tc>
          <w:tcPr>
            <w:tcW w:w="706" w:type="pct"/>
          </w:tcPr>
          <w:p w14:paraId="49319035" w14:textId="77777777" w:rsidR="004E2E83" w:rsidRPr="00A3401D" w:rsidRDefault="004E2E83" w:rsidP="004E2E83">
            <w:pPr>
              <w:jc w:val="center"/>
              <w:rPr>
                <w:sz w:val="20"/>
                <w:szCs w:val="20"/>
                <w:lang w:val="en-GB"/>
              </w:rPr>
            </w:pPr>
          </w:p>
        </w:tc>
        <w:tc>
          <w:tcPr>
            <w:tcW w:w="706" w:type="pct"/>
          </w:tcPr>
          <w:p w14:paraId="0D762044" w14:textId="77777777" w:rsidR="004E2E83" w:rsidRPr="00C03A6B" w:rsidRDefault="004E2E83" w:rsidP="004E2E83">
            <w:pPr>
              <w:jc w:val="center"/>
              <w:rPr>
                <w:sz w:val="20"/>
                <w:szCs w:val="20"/>
                <w:lang w:val="en-GB"/>
              </w:rPr>
            </w:pPr>
          </w:p>
        </w:tc>
        <w:tc>
          <w:tcPr>
            <w:tcW w:w="720" w:type="pct"/>
          </w:tcPr>
          <w:p w14:paraId="07C09079" w14:textId="1DC53391" w:rsidR="004E2E83" w:rsidRPr="00C03A6B" w:rsidRDefault="004E2E83" w:rsidP="004E2E83">
            <w:pPr>
              <w:jc w:val="center"/>
              <w:rPr>
                <w:sz w:val="20"/>
                <w:szCs w:val="20"/>
                <w:lang w:val="en-GB"/>
              </w:rPr>
            </w:pPr>
            <w:r w:rsidRPr="001769D1">
              <w:rPr>
                <w:sz w:val="20"/>
                <w:szCs w:val="20"/>
                <w:lang w:val="en-GB"/>
              </w:rPr>
              <w:t>x</w:t>
            </w:r>
          </w:p>
        </w:tc>
      </w:tr>
      <w:tr w:rsidR="000C6B2D" w:rsidRPr="00402AEC" w14:paraId="31A702AD" w14:textId="77777777" w:rsidTr="00746DB3">
        <w:tc>
          <w:tcPr>
            <w:tcW w:w="1261" w:type="pct"/>
          </w:tcPr>
          <w:p w14:paraId="1784C268" w14:textId="571FB485" w:rsidR="000C6B2D" w:rsidRPr="001769D1" w:rsidRDefault="000C6B2D" w:rsidP="000C6B2D">
            <w:pPr>
              <w:rPr>
                <w:sz w:val="20"/>
                <w:szCs w:val="20"/>
                <w:lang w:val="en-GB" w:bidi="en-US"/>
              </w:rPr>
            </w:pPr>
            <w:r w:rsidRPr="00A43386">
              <w:rPr>
                <w:sz w:val="20"/>
                <w:szCs w:val="20"/>
                <w:lang w:val="en-GB" w:bidi="en-US"/>
              </w:rPr>
              <w:t>(</w:t>
            </w:r>
            <w:r w:rsidRPr="00A43386">
              <w:rPr>
                <w:sz w:val="20"/>
                <w:szCs w:val="20"/>
                <w:lang w:val="en-GB" w:bidi="en-US"/>
              </w:rPr>
              <w:fldChar w:fldCharType="begin" w:fldLock="1"/>
            </w:r>
            <w:r w:rsidR="00BF2F60">
              <w:rPr>
                <w:sz w:val="20"/>
                <w:szCs w:val="20"/>
                <w:lang w:val="en-GB" w:bidi="en-US"/>
              </w:rPr>
              <w:instrText>ADDIN CSL_CITATION {"citationItems":[{"id":"ITEM-1","itemData":{"DOI":"10.1016/j.procir.2017.03.018","ISBN":"22128271 (ISSN)","ISSN":"22128271","abstract":"The circular economy paradigm is being widely studied as a possible path to a sustainable development, decoupling economic growth from material consumption and environmental impacts. The introduction of new business models, based on use rather than ownership, has been identified as one of the possible enabling actions for the implementation of circular economy strategies. Thus, product-service systems (PSS) can represent a viable way for companies and customers to switch from a linear to a circular scheme, keeping together the advantages of a customer-oriented offer to those of dematerialization. In this work, an example of innovative, circular business model for the large appliances sector is proposed, based on a PSS and a closed-loop supply chain. A context study, supported by a deep literature analysis, is performed to identify the main changes involved in the transition from a traditional to a circular supply chain in the sector, as well as the main impacts on the actors involved, through causal loop diagrams. The study is a first step for the realization of a system dynamics model, for a further research on impact assessment.","author":[{"dropping-particle":"","family":"Gnoni","given":"Maria Grazia","non-dropping-particle":"","parse-names":false,"suffix":""},{"dropping-particle":"","family":"Mossa","given":"Giorgio","non-dropping-particle":"","parse-names":false,"suffix":""},{"dropping-particle":"","family":"Mummolo","given":"Giovanni","non-dropping-particle":"","parse-names":false,"suffix":""},{"dropping-particle":"","family":"Tornese","given":"Fabiana","non-dropping-particle":"","parse-names":false,"suffix":""},{"dropping-particle":"","family":"Verriello","given":"Rossella","non-dropping-particle":"","parse-names":false,"suffix":""}],"container-title":"Procedia CIRP","id":"ITEM-1","issued":{"date-parts":[["2017"]]},"page":"49-54","publisher":"The Author(s)","title":"Supporting Circular Economy through Use-Based Business Models: The Washing Machines Case","type":"article-journal","volume":"64"},"uris":["http://www.mendeley.com/documents/?uuid=fb3cf6dd-6e39-4d5a-b5ff-a7d581b88b5b","http://www.mendeley.com/documents/?uuid=f3ace924-c39f-4a29-8cfe-524aa08ea77b"]}],"mendeley":{"formattedCitation":"(Gnoni et al., 2017)","manualFormatting":"Gnoni et al. 2017)","plainTextFormattedCitation":"(Gnoni et al., 2017)","previouslyFormattedCitation":"(Gnoni et al., 2017)"},"properties":{"noteIndex":0},"schema":"https://github.com/citation-style-language/schema/raw/master/csl-citation.json"}</w:instrText>
            </w:r>
            <w:r w:rsidRPr="00A43386">
              <w:rPr>
                <w:sz w:val="20"/>
                <w:szCs w:val="20"/>
                <w:lang w:val="en-GB" w:bidi="en-US"/>
              </w:rPr>
              <w:fldChar w:fldCharType="separate"/>
            </w:r>
            <w:r w:rsidRPr="00A43386">
              <w:rPr>
                <w:noProof/>
                <w:sz w:val="20"/>
                <w:szCs w:val="20"/>
                <w:lang w:val="en-GB" w:bidi="en-US"/>
              </w:rPr>
              <w:t>Gnoni et al. 2017)</w:t>
            </w:r>
            <w:r w:rsidRPr="00A43386">
              <w:rPr>
                <w:sz w:val="20"/>
                <w:szCs w:val="20"/>
                <w:lang w:val="en-GB" w:bidi="en-US"/>
              </w:rPr>
              <w:fldChar w:fldCharType="end"/>
            </w:r>
          </w:p>
        </w:tc>
        <w:tc>
          <w:tcPr>
            <w:tcW w:w="901" w:type="pct"/>
          </w:tcPr>
          <w:p w14:paraId="5B22BB2A" w14:textId="77777777" w:rsidR="000C6B2D" w:rsidRPr="00C03A6B" w:rsidRDefault="000C6B2D" w:rsidP="000C6B2D">
            <w:pPr>
              <w:jc w:val="center"/>
              <w:rPr>
                <w:sz w:val="20"/>
                <w:szCs w:val="20"/>
                <w:lang w:val="en-GB"/>
              </w:rPr>
            </w:pPr>
          </w:p>
        </w:tc>
        <w:tc>
          <w:tcPr>
            <w:tcW w:w="706" w:type="pct"/>
          </w:tcPr>
          <w:p w14:paraId="5E731A9D" w14:textId="77777777" w:rsidR="000C6B2D" w:rsidRPr="00C03A6B" w:rsidRDefault="000C6B2D" w:rsidP="000C6B2D">
            <w:pPr>
              <w:jc w:val="center"/>
              <w:rPr>
                <w:sz w:val="20"/>
                <w:szCs w:val="20"/>
                <w:lang w:val="en-GB"/>
              </w:rPr>
            </w:pPr>
          </w:p>
        </w:tc>
        <w:tc>
          <w:tcPr>
            <w:tcW w:w="706" w:type="pct"/>
          </w:tcPr>
          <w:p w14:paraId="00D0E982" w14:textId="770D5155" w:rsidR="000C6B2D" w:rsidRPr="00A3401D" w:rsidRDefault="000C6B2D" w:rsidP="000C6B2D">
            <w:pPr>
              <w:jc w:val="center"/>
              <w:rPr>
                <w:sz w:val="20"/>
                <w:szCs w:val="20"/>
                <w:lang w:val="en-GB"/>
              </w:rPr>
            </w:pPr>
            <w:r w:rsidRPr="00A43386">
              <w:rPr>
                <w:sz w:val="20"/>
                <w:szCs w:val="20"/>
                <w:lang w:val="en-GB"/>
              </w:rPr>
              <w:t>x</w:t>
            </w:r>
          </w:p>
        </w:tc>
        <w:tc>
          <w:tcPr>
            <w:tcW w:w="706" w:type="pct"/>
          </w:tcPr>
          <w:p w14:paraId="699AC5FD" w14:textId="77777777" w:rsidR="000C6B2D" w:rsidRPr="00C03A6B" w:rsidRDefault="000C6B2D" w:rsidP="000C6B2D">
            <w:pPr>
              <w:jc w:val="center"/>
              <w:rPr>
                <w:sz w:val="20"/>
                <w:szCs w:val="20"/>
                <w:lang w:val="en-GB"/>
              </w:rPr>
            </w:pPr>
          </w:p>
        </w:tc>
        <w:tc>
          <w:tcPr>
            <w:tcW w:w="720" w:type="pct"/>
          </w:tcPr>
          <w:p w14:paraId="71AA69BA" w14:textId="77777777" w:rsidR="000C6B2D" w:rsidRPr="001769D1" w:rsidRDefault="000C6B2D" w:rsidP="000C6B2D">
            <w:pPr>
              <w:jc w:val="center"/>
              <w:rPr>
                <w:sz w:val="20"/>
                <w:szCs w:val="20"/>
                <w:lang w:val="en-GB"/>
              </w:rPr>
            </w:pPr>
          </w:p>
        </w:tc>
      </w:tr>
      <w:tr w:rsidR="000C6B2D" w:rsidRPr="00402AEC" w14:paraId="43AB48FA" w14:textId="77777777" w:rsidTr="00746DB3">
        <w:tc>
          <w:tcPr>
            <w:tcW w:w="1261" w:type="pct"/>
          </w:tcPr>
          <w:p w14:paraId="1CAC9E8D" w14:textId="5DC66E9A" w:rsidR="000C6B2D" w:rsidRPr="001769D1" w:rsidRDefault="000C6B2D" w:rsidP="000C6B2D">
            <w:pPr>
              <w:rPr>
                <w:sz w:val="20"/>
                <w:szCs w:val="20"/>
                <w:lang w:val="en-GB" w:bidi="en-US"/>
              </w:rPr>
            </w:pPr>
            <w:r w:rsidRPr="00F0366B">
              <w:rPr>
                <w:sz w:val="20"/>
                <w:szCs w:val="20"/>
                <w:lang w:val="en-GB" w:bidi="en-US"/>
              </w:rPr>
              <w:t>(</w:t>
            </w:r>
            <w:r w:rsidRPr="00F0366B">
              <w:rPr>
                <w:sz w:val="20"/>
                <w:szCs w:val="20"/>
                <w:lang w:val="en-GB" w:bidi="en-US"/>
              </w:rPr>
              <w:fldChar w:fldCharType="begin" w:fldLock="1"/>
            </w:r>
            <w:r w:rsidR="00BF2F60">
              <w:rPr>
                <w:sz w:val="20"/>
                <w:szCs w:val="20"/>
                <w:lang w:val="en-GB" w:bidi="en-US"/>
              </w:rPr>
              <w:instrText>ADDIN CSL_CITATION {"citationItems":[{"id":"ITEM-1","itemData":{"DOI":"10.1002/tie","ISBN":"10964762","ISSN":"10964762","PMID":"84540683","abstract":"The article presents a case study to examine the Vietnamese business custom of gift giving to mark the beginning or end of a business relationship. A group of American businesspeople visiting Vietnam to scout for investment opportunities. Face to face meetings are considered a vital prelude to business dealings in Vietnam, and the American group had a positive experience. At the final meeting between the group and the Vietnamese officials with whom they had met, however, the group committed several social gaffes in the matter of their parting gift for the woman government employee who had been their tour guide and handled all its arrangements. It is suggested that Americans visting Vietnam need to plan gift-giving and similar social acknowledgements before leaving the U.S. It is also advised that American groups should appoint one person to act as their group's social spokesman.","author":[{"dropping-particle":"","family":"Goyal","given":"Sandeep","non-dropping-particle":"","parse-names":false,"suffix":""},{"dropping-particle":"","family":"Esposito","given":"Mark","non-dropping-particle":"","parse-names":false,"suffix":""},{"dropping-particle":"","family":"Kapoor","given":"Amit","non-dropping-particle":"","parse-names":false,"suffix":""}],"container-title":"Thunderbird International Business Review","id":"ITEM-1","issued":{"date-parts":[["2016"]]},"page":"1-15","title":"Circular Economy Business Models in Developing Economies: Lessons from India on Reduce, Recycle, and Reuse Paradigms","type":"article-journal"},"uris":["http://www.mendeley.com/documents/?uuid=733effa7-0da4-441b-be70-c4559304148e","http://www.mendeley.com/documents/?uuid=2fe6ad3e-efc5-4a85-abfe-c04e1d2c40e2"]}],"mendeley":{"formattedCitation":"(Goyal et al., 2016)","manualFormatting":"Goyal et al. 2016)","plainTextFormattedCitation":"(Goyal et al., 2016)","previouslyFormattedCitation":"(Goyal et al., 2016)"},"properties":{"noteIndex":0},"schema":"https://github.com/citation-style-language/schema/raw/master/csl-citation.json"}</w:instrText>
            </w:r>
            <w:r w:rsidRPr="00F0366B">
              <w:rPr>
                <w:sz w:val="20"/>
                <w:szCs w:val="20"/>
                <w:lang w:val="en-GB" w:bidi="en-US"/>
              </w:rPr>
              <w:fldChar w:fldCharType="separate"/>
            </w:r>
            <w:r w:rsidRPr="00F0366B">
              <w:rPr>
                <w:noProof/>
                <w:sz w:val="20"/>
                <w:szCs w:val="20"/>
                <w:lang w:val="en-GB" w:bidi="en-US"/>
              </w:rPr>
              <w:t>Goyal et al. 2016)</w:t>
            </w:r>
            <w:r w:rsidRPr="00F0366B">
              <w:rPr>
                <w:sz w:val="20"/>
                <w:szCs w:val="20"/>
                <w:lang w:val="en-GB" w:bidi="en-US"/>
              </w:rPr>
              <w:fldChar w:fldCharType="end"/>
            </w:r>
          </w:p>
        </w:tc>
        <w:tc>
          <w:tcPr>
            <w:tcW w:w="901" w:type="pct"/>
          </w:tcPr>
          <w:p w14:paraId="254B5527" w14:textId="77777777" w:rsidR="000C6B2D" w:rsidRPr="00C03A6B" w:rsidRDefault="000C6B2D" w:rsidP="000C6B2D">
            <w:pPr>
              <w:jc w:val="center"/>
              <w:rPr>
                <w:sz w:val="20"/>
                <w:szCs w:val="20"/>
                <w:lang w:val="en-GB"/>
              </w:rPr>
            </w:pPr>
          </w:p>
        </w:tc>
        <w:tc>
          <w:tcPr>
            <w:tcW w:w="706" w:type="pct"/>
          </w:tcPr>
          <w:p w14:paraId="560E800D" w14:textId="77777777" w:rsidR="000C6B2D" w:rsidRPr="00C03A6B" w:rsidRDefault="000C6B2D" w:rsidP="000C6B2D">
            <w:pPr>
              <w:jc w:val="center"/>
              <w:rPr>
                <w:sz w:val="20"/>
                <w:szCs w:val="20"/>
                <w:lang w:val="en-GB"/>
              </w:rPr>
            </w:pPr>
          </w:p>
        </w:tc>
        <w:tc>
          <w:tcPr>
            <w:tcW w:w="706" w:type="pct"/>
          </w:tcPr>
          <w:p w14:paraId="0553461F" w14:textId="77777777" w:rsidR="000C6B2D" w:rsidRPr="00A3401D" w:rsidRDefault="000C6B2D" w:rsidP="000C6B2D">
            <w:pPr>
              <w:jc w:val="center"/>
              <w:rPr>
                <w:sz w:val="20"/>
                <w:szCs w:val="20"/>
                <w:lang w:val="en-GB"/>
              </w:rPr>
            </w:pPr>
          </w:p>
        </w:tc>
        <w:tc>
          <w:tcPr>
            <w:tcW w:w="706" w:type="pct"/>
          </w:tcPr>
          <w:p w14:paraId="66B5CD1B" w14:textId="77777777" w:rsidR="000C6B2D" w:rsidRPr="00C03A6B" w:rsidRDefault="000C6B2D" w:rsidP="000C6B2D">
            <w:pPr>
              <w:jc w:val="center"/>
              <w:rPr>
                <w:sz w:val="20"/>
                <w:szCs w:val="20"/>
                <w:lang w:val="en-GB"/>
              </w:rPr>
            </w:pPr>
          </w:p>
        </w:tc>
        <w:tc>
          <w:tcPr>
            <w:tcW w:w="720" w:type="pct"/>
          </w:tcPr>
          <w:p w14:paraId="678A6756" w14:textId="60FFFF7F" w:rsidR="000C6B2D" w:rsidRPr="001769D1" w:rsidRDefault="000C6B2D" w:rsidP="000C6B2D">
            <w:pPr>
              <w:jc w:val="center"/>
              <w:rPr>
                <w:sz w:val="20"/>
                <w:szCs w:val="20"/>
                <w:lang w:val="en-GB"/>
              </w:rPr>
            </w:pPr>
            <w:r w:rsidRPr="00F0366B">
              <w:rPr>
                <w:sz w:val="20"/>
                <w:szCs w:val="20"/>
                <w:lang w:val="en-GB"/>
              </w:rPr>
              <w:t>x</w:t>
            </w:r>
          </w:p>
        </w:tc>
      </w:tr>
      <w:tr w:rsidR="000C6B2D" w:rsidRPr="00402AEC" w14:paraId="3CEA16ED" w14:textId="77777777" w:rsidTr="00746DB3">
        <w:tc>
          <w:tcPr>
            <w:tcW w:w="1261" w:type="pct"/>
          </w:tcPr>
          <w:p w14:paraId="51E646AA" w14:textId="3659D7F0" w:rsidR="000C6B2D" w:rsidRPr="00F0366B" w:rsidRDefault="000C6B2D" w:rsidP="000C6B2D">
            <w:pPr>
              <w:rPr>
                <w:sz w:val="20"/>
                <w:szCs w:val="20"/>
                <w:lang w:val="en-GB" w:bidi="en-US"/>
              </w:rPr>
            </w:pPr>
            <w:r w:rsidRPr="002217A9">
              <w:rPr>
                <w:sz w:val="20"/>
                <w:szCs w:val="20"/>
                <w:lang w:val="en-GB" w:bidi="en-US"/>
              </w:rPr>
              <w:t>(</w:t>
            </w:r>
            <w:r w:rsidRPr="002217A9">
              <w:rPr>
                <w:sz w:val="20"/>
                <w:szCs w:val="20"/>
                <w:lang w:val="en-GB" w:bidi="en-US"/>
              </w:rPr>
              <w:fldChar w:fldCharType="begin" w:fldLock="1"/>
            </w:r>
            <w:r w:rsidR="00BF2F60">
              <w:rPr>
                <w:sz w:val="20"/>
                <w:szCs w:val="20"/>
                <w:lang w:val="en-GB" w:bidi="en-US"/>
              </w:rPr>
              <w:instrText>ADDIN CSL_CITATION {"citationItems":[{"id":"ITEM-1","itemData":{"ISBN":"9788793435865","abstract":"Best practice examples of circular business models are presented in this report. The purpose is to inform and inspire interested readers, in particular companies that aspire to examine the potentials of the circular economy. Circular business models in two different sectors are examined, namely the textile and clothing sector as well as the durable goods sector. In order to appreciate the notion of circular business models, the basics of the circular economy are outlined along with three frameworks for categorizing the various types of circular business models. The frameworks take point of departure in resource loops, value bases and business model archetypes respectively, and they are applied for analysing and organizing the business models that are presented throughout the report. The investigations in the report show that circular business models are relevant to businesses because they hold the potential to provide significant economic benefits in addition to new ways of forming partnerships with suppliers and connecting with customers. Furthermore, circular business models generate essential environmental benefits as a result of the improved resource productivity they offer. These benefits are, however, not the key focus of the current report. The point of the study is to describe the diverse and unique circular business models that companies around the globe have established already within the textile and clothing sector and within the durable goods sector. Even though these two sectors are different, circular business models can be found in both. These models operate in both young and mature firms, small and large, which points to the fact that circular business models can be successfully implemented in a wide range of business settings as long as they are individually tailored to each company. The notion of individually tailored business models is important. Hence, the business models are found to be versatile in both industries, and speading across all of the aforementioned resource loops, value bases and business model archetypes. Some companies choose to focus on just one resource loop, while others are involved in several loops. Some work with resource loops in relation to their supply chain, invisible to the end-user, but others built relationships with end-users through new circular offerings. Moreover, in some of the best practice examples presented, resource loops are tightly closed, whereas in other cases they are more open due to initia…","author":[{"dropping-particle":"","family":"Guldmann","given":"Eva","non-dropping-particle":"","parse-names":false,"suffix":""}],"id":"ITEM-1","issued":{"date-parts":[["2016"]]},"number-of-pages":"56","title":"Best Practice Examples of Circular Business Models","type":"report"},"uris":["http://www.mendeley.com/documents/?uuid=467f7256-4330-4f3e-94e3-86fbc876b6e0","http://www.mendeley.com/documents/?uuid=6258e57f-2f23-4b2e-a719-8d90db390f3e"]}],"mendeley":{"formattedCitation":"(Guldmann, 2016)","manualFormatting":"Guldmann 2016)","plainTextFormattedCitation":"(Guldmann, 2016)","previouslyFormattedCitation":"(Guldmann, 2016)"},"properties":{"noteIndex":0},"schema":"https://github.com/citation-style-language/schema/raw/master/csl-citation.json"}</w:instrText>
            </w:r>
            <w:r w:rsidRPr="002217A9">
              <w:rPr>
                <w:sz w:val="20"/>
                <w:szCs w:val="20"/>
                <w:lang w:val="en-GB" w:bidi="en-US"/>
              </w:rPr>
              <w:fldChar w:fldCharType="separate"/>
            </w:r>
            <w:r w:rsidRPr="002217A9">
              <w:rPr>
                <w:noProof/>
                <w:sz w:val="20"/>
                <w:szCs w:val="20"/>
                <w:lang w:val="en-GB" w:bidi="en-US"/>
              </w:rPr>
              <w:t>Guldmann 2016)</w:t>
            </w:r>
            <w:r w:rsidRPr="002217A9">
              <w:rPr>
                <w:sz w:val="20"/>
                <w:szCs w:val="20"/>
                <w:lang w:val="en-GB" w:bidi="en-US"/>
              </w:rPr>
              <w:fldChar w:fldCharType="end"/>
            </w:r>
          </w:p>
        </w:tc>
        <w:tc>
          <w:tcPr>
            <w:tcW w:w="901" w:type="pct"/>
          </w:tcPr>
          <w:p w14:paraId="0A31CBCA" w14:textId="77777777" w:rsidR="000C6B2D" w:rsidRPr="00C03A6B" w:rsidRDefault="000C6B2D" w:rsidP="000C6B2D">
            <w:pPr>
              <w:jc w:val="center"/>
              <w:rPr>
                <w:sz w:val="20"/>
                <w:szCs w:val="20"/>
                <w:lang w:val="en-GB"/>
              </w:rPr>
            </w:pPr>
          </w:p>
        </w:tc>
        <w:tc>
          <w:tcPr>
            <w:tcW w:w="706" w:type="pct"/>
          </w:tcPr>
          <w:p w14:paraId="3363CAAB" w14:textId="77777777" w:rsidR="000C6B2D" w:rsidRPr="00C03A6B" w:rsidRDefault="000C6B2D" w:rsidP="000C6B2D">
            <w:pPr>
              <w:jc w:val="center"/>
              <w:rPr>
                <w:sz w:val="20"/>
                <w:szCs w:val="20"/>
                <w:lang w:val="en-GB"/>
              </w:rPr>
            </w:pPr>
          </w:p>
        </w:tc>
        <w:tc>
          <w:tcPr>
            <w:tcW w:w="706" w:type="pct"/>
          </w:tcPr>
          <w:p w14:paraId="1662C423" w14:textId="77777777" w:rsidR="000C6B2D" w:rsidRPr="00A3401D" w:rsidRDefault="000C6B2D" w:rsidP="000C6B2D">
            <w:pPr>
              <w:jc w:val="center"/>
              <w:rPr>
                <w:sz w:val="20"/>
                <w:szCs w:val="20"/>
                <w:lang w:val="en-GB"/>
              </w:rPr>
            </w:pPr>
          </w:p>
        </w:tc>
        <w:tc>
          <w:tcPr>
            <w:tcW w:w="706" w:type="pct"/>
          </w:tcPr>
          <w:p w14:paraId="660B272A" w14:textId="77777777" w:rsidR="000C6B2D" w:rsidRPr="00C03A6B" w:rsidRDefault="000C6B2D" w:rsidP="000C6B2D">
            <w:pPr>
              <w:jc w:val="center"/>
              <w:rPr>
                <w:sz w:val="20"/>
                <w:szCs w:val="20"/>
                <w:lang w:val="en-GB"/>
              </w:rPr>
            </w:pPr>
          </w:p>
        </w:tc>
        <w:tc>
          <w:tcPr>
            <w:tcW w:w="720" w:type="pct"/>
          </w:tcPr>
          <w:p w14:paraId="54EA55CA" w14:textId="543F5F78" w:rsidR="000C6B2D" w:rsidRPr="00F0366B" w:rsidRDefault="000C6B2D" w:rsidP="000C6B2D">
            <w:pPr>
              <w:jc w:val="center"/>
              <w:rPr>
                <w:sz w:val="20"/>
                <w:szCs w:val="20"/>
                <w:lang w:val="en-GB"/>
              </w:rPr>
            </w:pPr>
            <w:r w:rsidRPr="002217A9">
              <w:rPr>
                <w:sz w:val="20"/>
                <w:szCs w:val="20"/>
                <w:lang w:val="en-GB"/>
              </w:rPr>
              <w:t>x</w:t>
            </w:r>
          </w:p>
        </w:tc>
      </w:tr>
      <w:tr w:rsidR="00043B2B" w:rsidRPr="00402AEC" w14:paraId="63B7EBCD" w14:textId="77777777" w:rsidTr="00746DB3">
        <w:tc>
          <w:tcPr>
            <w:tcW w:w="1261" w:type="pct"/>
          </w:tcPr>
          <w:p w14:paraId="349905E2" w14:textId="3D65BFBB" w:rsidR="00043B2B" w:rsidRPr="00C03A6B" w:rsidRDefault="00043B2B" w:rsidP="00043B2B">
            <w:pPr>
              <w:rPr>
                <w:sz w:val="20"/>
                <w:szCs w:val="20"/>
                <w:highlight w:val="yellow"/>
                <w:lang w:val="en-GB"/>
              </w:rPr>
            </w:pPr>
            <w:r w:rsidRPr="00FC16EB">
              <w:rPr>
                <w:sz w:val="20"/>
                <w:szCs w:val="20"/>
                <w:lang w:val="en-GB" w:bidi="en-US"/>
              </w:rPr>
              <w:t>(</w:t>
            </w:r>
            <w:r w:rsidRPr="00FC16EB">
              <w:rPr>
                <w:sz w:val="20"/>
                <w:szCs w:val="20"/>
                <w:lang w:val="en-GB" w:bidi="en-US"/>
              </w:rPr>
              <w:fldChar w:fldCharType="begin" w:fldLock="1"/>
            </w:r>
            <w:r w:rsidR="00BF2F60">
              <w:rPr>
                <w:sz w:val="20"/>
                <w:szCs w:val="20"/>
                <w:lang w:val="en-GB" w:bidi="en-US"/>
              </w:rPr>
              <w:instrText>ADDIN CSL_CITATION {"citationItems":[{"id":"ITEM-1","itemData":{"author":[{"dropping-particle":"","family":"Hindley","given":"Rick","non-dropping-particle":"","parse-names":false,"suffix":""}],"container-title":"Aluminium International Today","id":"ITEM-1","issue":"April","issued":{"date-parts":[["2016"]]},"page":"1-4","title":"Putting the Circular Economy in Motion","type":"article-magazine"},"uris":["http://www.mendeley.com/documents/?uuid=8776b2bf-12e2-4052-822e-c24c9e0e2966","http://www.mendeley.com/documents/?uuid=bb69182d-9953-4504-916f-68f2d74aa9b8"]}],"mendeley":{"formattedCitation":"(Hindley, 2016)","manualFormatting":"Hindley 2016)","plainTextFormattedCitation":"(Hindley, 2016)","previouslyFormattedCitation":"(Hindley, 2016)"},"properties":{"noteIndex":0},"schema":"https://github.com/citation-style-language/schema/raw/master/csl-citation.json"}</w:instrText>
            </w:r>
            <w:r w:rsidRPr="00FC16EB">
              <w:rPr>
                <w:sz w:val="20"/>
                <w:szCs w:val="20"/>
                <w:lang w:val="en-GB" w:bidi="en-US"/>
              </w:rPr>
              <w:fldChar w:fldCharType="separate"/>
            </w:r>
            <w:r w:rsidRPr="00FC16EB">
              <w:rPr>
                <w:noProof/>
                <w:sz w:val="20"/>
                <w:szCs w:val="20"/>
                <w:lang w:val="en-GB" w:bidi="en-US"/>
              </w:rPr>
              <w:t>Hindley 2016)</w:t>
            </w:r>
            <w:r w:rsidRPr="00FC16EB">
              <w:rPr>
                <w:sz w:val="20"/>
                <w:szCs w:val="20"/>
                <w:lang w:val="en-GB" w:bidi="en-US"/>
              </w:rPr>
              <w:fldChar w:fldCharType="end"/>
            </w:r>
          </w:p>
        </w:tc>
        <w:tc>
          <w:tcPr>
            <w:tcW w:w="901" w:type="pct"/>
          </w:tcPr>
          <w:p w14:paraId="6D836D70" w14:textId="68988E69" w:rsidR="00043B2B" w:rsidRPr="00746DB3" w:rsidRDefault="00043B2B" w:rsidP="00043B2B">
            <w:pPr>
              <w:jc w:val="center"/>
              <w:rPr>
                <w:sz w:val="20"/>
                <w:szCs w:val="20"/>
                <w:lang w:val="en-GB"/>
              </w:rPr>
            </w:pPr>
          </w:p>
        </w:tc>
        <w:tc>
          <w:tcPr>
            <w:tcW w:w="706" w:type="pct"/>
          </w:tcPr>
          <w:p w14:paraId="660A66AF" w14:textId="77777777" w:rsidR="00043B2B" w:rsidRPr="00746DB3" w:rsidRDefault="00043B2B" w:rsidP="00043B2B">
            <w:pPr>
              <w:jc w:val="center"/>
              <w:rPr>
                <w:sz w:val="20"/>
                <w:szCs w:val="20"/>
                <w:lang w:val="en-GB"/>
              </w:rPr>
            </w:pPr>
          </w:p>
        </w:tc>
        <w:tc>
          <w:tcPr>
            <w:tcW w:w="706" w:type="pct"/>
          </w:tcPr>
          <w:p w14:paraId="3812314D" w14:textId="32A897DB" w:rsidR="00043B2B" w:rsidRPr="00746DB3" w:rsidRDefault="00043B2B" w:rsidP="00043B2B">
            <w:pPr>
              <w:jc w:val="center"/>
              <w:rPr>
                <w:sz w:val="20"/>
                <w:szCs w:val="20"/>
                <w:lang w:val="en-GB"/>
              </w:rPr>
            </w:pPr>
          </w:p>
        </w:tc>
        <w:tc>
          <w:tcPr>
            <w:tcW w:w="706" w:type="pct"/>
          </w:tcPr>
          <w:p w14:paraId="2CFA15C4" w14:textId="0FE74546" w:rsidR="00043B2B" w:rsidRPr="00746DB3" w:rsidRDefault="00043B2B" w:rsidP="00043B2B">
            <w:pPr>
              <w:jc w:val="center"/>
              <w:rPr>
                <w:sz w:val="20"/>
                <w:szCs w:val="20"/>
                <w:lang w:val="en-GB"/>
              </w:rPr>
            </w:pPr>
            <w:r w:rsidRPr="00FC16EB">
              <w:rPr>
                <w:sz w:val="20"/>
                <w:szCs w:val="20"/>
                <w:lang w:val="en-GB"/>
              </w:rPr>
              <w:t>x</w:t>
            </w:r>
          </w:p>
        </w:tc>
        <w:tc>
          <w:tcPr>
            <w:tcW w:w="720" w:type="pct"/>
          </w:tcPr>
          <w:p w14:paraId="21FF8C59" w14:textId="77777777" w:rsidR="00043B2B" w:rsidRPr="00746DB3" w:rsidRDefault="00043B2B" w:rsidP="00043B2B">
            <w:pPr>
              <w:jc w:val="center"/>
              <w:rPr>
                <w:sz w:val="20"/>
                <w:szCs w:val="20"/>
                <w:lang w:val="en-GB"/>
              </w:rPr>
            </w:pPr>
          </w:p>
        </w:tc>
      </w:tr>
      <w:tr w:rsidR="00043B2B" w:rsidRPr="00402AEC" w14:paraId="2084B0B9" w14:textId="77777777" w:rsidTr="00746DB3">
        <w:tc>
          <w:tcPr>
            <w:tcW w:w="1261" w:type="pct"/>
          </w:tcPr>
          <w:p w14:paraId="31183D88" w14:textId="100D502D" w:rsidR="00043B2B" w:rsidRPr="00FC16EB" w:rsidRDefault="00043B2B" w:rsidP="00043B2B">
            <w:pPr>
              <w:rPr>
                <w:sz w:val="20"/>
                <w:szCs w:val="20"/>
                <w:lang w:val="en-GB" w:bidi="en-US"/>
              </w:rPr>
            </w:pPr>
            <w:r w:rsidRPr="005E1003">
              <w:rPr>
                <w:sz w:val="20"/>
                <w:szCs w:val="20"/>
                <w:lang w:val="en-GB" w:bidi="en-US"/>
              </w:rPr>
              <w:t>(</w:t>
            </w:r>
            <w:r w:rsidRPr="005E1003">
              <w:rPr>
                <w:sz w:val="20"/>
                <w:szCs w:val="20"/>
                <w:lang w:val="en-GB" w:bidi="en-US"/>
              </w:rPr>
              <w:fldChar w:fldCharType="begin" w:fldLock="1"/>
            </w:r>
            <w:r w:rsidR="003445CC">
              <w:rPr>
                <w:sz w:val="20"/>
                <w:szCs w:val="20"/>
                <w:lang w:val="en-GB" w:bidi="en-US"/>
              </w:rPr>
              <w:instrText>ADDIN CSL_CITATION {"citationItems":[{"id":"ITEM-1","itemData":{"DOI":"10.1002/bbb","ISBN":"1932-104X","ISSN":"1932104X","PMID":"2571","abstract":"Together with 106 farmers who started growing Jatropha (Jatropha curcas\\nL.) in 20042006, this research sought to increase the knowledge around\\nthe real-life experience of Jatropha farming in the southern India\\nstates of Tamil Nadu and Andhra Pradesh. Launched as an alternative for\\ndiesel in India, Jatropha has been promoted as a non-edible plant that\\ncould grow on poor soils, yield oil-rich seeds for production of\\nbio-diesel, and not compete directly with food production. Through\\ninterviews with the farmers, information was gathered regarding their\\nsocio-economic situation, the implementation and performance of their\\nJatropha plantations, and their reasons for continuing or discontinuing\\nJatropha cultivation. Results reveal that 82% of the farmers had\\nsubstituted former cropland for their Jatropha cultivation. By 2010,\\n85% (n = 90) of the farmers who cultivated Jatropha in 2004 had\\nstopped. Cultivating the crop did not give the economic returns the\\nfarmers anticipated, mainly due to a lack of information about the crop\\nand its maintenance during cultivation and due to water scarcity. A\\nmajority of the farmers irrigated and applied fertilizer, and even\\npesticides. Many problems experienced by the farmers were due to limited\\nknowledge about cultivating Jatropha caused by poor planning and\\nimplementation of the national Jatropha program. Extension services,\\nsubsidies, and other support were not provided as promised. The farmers\\nwho continued cultivation had means of income other than Jatropha and\\nheld hopes of a future Jatropha market. The lack of market structures,\\nsuch as purchase agreements and buyers, as well as a low retail price\\nfor the seeds, were frequently stated as barriers to Jatropha\\ncultivation. For Jatropha biodiesel to perform well, efforts are needed\\nto improve yield levels and stability through genetic improvements and\\ndrought tolerance, as well as agriculture extension services to support\\nadoption of the crop. Government programs will -probably be more\\neffective if implementing biodiesel production is conjoined with\\nstimulating the demand for Jatropha biodiesel. To avoid food-biofuel\\ncompetition, additional measures may be needed such as land-use\\nrestrictions for Jatropha producers and taxes on biofuels or biofuel\\nfeedstocks to improve the competitiveness of the food sector compared to\\nthe bioenergy sector. (c) 2012 Society of Chemical Industry and John\\nWiley &amp; Sons, Ltd","author":[{"dropping-particle":"","family":"Jagger","given":"Anna","non-dropping-particle":"","parse-names":false,"suffix":""}],"container-title":"Biofuels, Bioproducts &amp; Biorefining","id":"ITEM-1","issue":"3","issued":{"date-parts":[["2016"]]},"page":"202-203","title":"A circular economy: combined food and power projects","type":"article-journal","volume":"10"},"uris":["http://www.mendeley.com/documents/?uuid=21575d24-ec53-4770-9186-caa8fe880699","http://www.mendeley.com/documents/?uuid=55af513f-595b-4558-8ee9-f75025996077"]}],"mendeley":{"formattedCitation":"(Jagger, 2016)","manualFormatting":"Jagger 2016)","plainTextFormattedCitation":"(Jagger, 2016)","previouslyFormattedCitation":"(Jagger, 2016)"},"properties":{"noteIndex":0},"schema":"https://github.com/citation-style-language/schema/raw/master/csl-citation.json"}</w:instrText>
            </w:r>
            <w:r w:rsidRPr="005E1003">
              <w:rPr>
                <w:sz w:val="20"/>
                <w:szCs w:val="20"/>
                <w:lang w:val="en-GB" w:bidi="en-US"/>
              </w:rPr>
              <w:fldChar w:fldCharType="separate"/>
            </w:r>
            <w:r w:rsidRPr="005E1003">
              <w:rPr>
                <w:noProof/>
                <w:sz w:val="20"/>
                <w:szCs w:val="20"/>
                <w:lang w:val="en-GB" w:bidi="en-US"/>
              </w:rPr>
              <w:t>Jagger 2016)</w:t>
            </w:r>
            <w:r w:rsidRPr="005E1003">
              <w:rPr>
                <w:sz w:val="20"/>
                <w:szCs w:val="20"/>
                <w:lang w:val="en-GB" w:bidi="en-US"/>
              </w:rPr>
              <w:fldChar w:fldCharType="end"/>
            </w:r>
          </w:p>
        </w:tc>
        <w:tc>
          <w:tcPr>
            <w:tcW w:w="901" w:type="pct"/>
          </w:tcPr>
          <w:p w14:paraId="09FD5184" w14:textId="77777777" w:rsidR="00043B2B" w:rsidRPr="00C03A6B" w:rsidRDefault="00043B2B" w:rsidP="00043B2B">
            <w:pPr>
              <w:jc w:val="center"/>
              <w:rPr>
                <w:sz w:val="20"/>
                <w:szCs w:val="20"/>
                <w:lang w:val="en-GB"/>
              </w:rPr>
            </w:pPr>
          </w:p>
        </w:tc>
        <w:tc>
          <w:tcPr>
            <w:tcW w:w="706" w:type="pct"/>
          </w:tcPr>
          <w:p w14:paraId="562CF6E4" w14:textId="77777777" w:rsidR="00043B2B" w:rsidRPr="00C03A6B" w:rsidRDefault="00043B2B" w:rsidP="00043B2B">
            <w:pPr>
              <w:jc w:val="center"/>
              <w:rPr>
                <w:sz w:val="20"/>
                <w:szCs w:val="20"/>
                <w:lang w:val="en-GB"/>
              </w:rPr>
            </w:pPr>
          </w:p>
        </w:tc>
        <w:tc>
          <w:tcPr>
            <w:tcW w:w="706" w:type="pct"/>
          </w:tcPr>
          <w:p w14:paraId="16085CAD" w14:textId="77777777" w:rsidR="00043B2B" w:rsidRPr="00C03A6B" w:rsidRDefault="00043B2B" w:rsidP="00043B2B">
            <w:pPr>
              <w:jc w:val="center"/>
              <w:rPr>
                <w:sz w:val="20"/>
                <w:szCs w:val="20"/>
                <w:lang w:val="en-GB"/>
              </w:rPr>
            </w:pPr>
          </w:p>
        </w:tc>
        <w:tc>
          <w:tcPr>
            <w:tcW w:w="706" w:type="pct"/>
          </w:tcPr>
          <w:p w14:paraId="59D81623" w14:textId="0DCBB786" w:rsidR="00043B2B" w:rsidRPr="00FC16EB" w:rsidRDefault="00043B2B" w:rsidP="00043B2B">
            <w:pPr>
              <w:jc w:val="center"/>
              <w:rPr>
                <w:sz w:val="20"/>
                <w:szCs w:val="20"/>
                <w:lang w:val="en-GB"/>
              </w:rPr>
            </w:pPr>
            <w:r w:rsidRPr="005E1003">
              <w:rPr>
                <w:sz w:val="20"/>
                <w:szCs w:val="20"/>
                <w:lang w:val="en-GB"/>
              </w:rPr>
              <w:t>x</w:t>
            </w:r>
          </w:p>
        </w:tc>
        <w:tc>
          <w:tcPr>
            <w:tcW w:w="720" w:type="pct"/>
          </w:tcPr>
          <w:p w14:paraId="51D62CE2" w14:textId="77777777" w:rsidR="00043B2B" w:rsidRPr="00C03A6B" w:rsidRDefault="00043B2B" w:rsidP="00043B2B">
            <w:pPr>
              <w:jc w:val="center"/>
              <w:rPr>
                <w:sz w:val="20"/>
                <w:szCs w:val="20"/>
                <w:lang w:val="en-GB"/>
              </w:rPr>
            </w:pPr>
          </w:p>
        </w:tc>
      </w:tr>
      <w:tr w:rsidR="00043B2B" w:rsidRPr="00402AEC" w14:paraId="59EBE0A6" w14:textId="77777777" w:rsidTr="00746DB3">
        <w:tc>
          <w:tcPr>
            <w:tcW w:w="1261" w:type="pct"/>
          </w:tcPr>
          <w:p w14:paraId="21DDFD87" w14:textId="27A3A064" w:rsidR="00043B2B" w:rsidRPr="00C03A6B" w:rsidRDefault="00043B2B" w:rsidP="00043B2B">
            <w:pPr>
              <w:rPr>
                <w:sz w:val="20"/>
                <w:szCs w:val="20"/>
                <w:highlight w:val="yellow"/>
                <w:lang w:val="en-GB"/>
              </w:rPr>
            </w:pPr>
            <w:r w:rsidRPr="004E6A5C">
              <w:rPr>
                <w:sz w:val="20"/>
                <w:szCs w:val="20"/>
                <w:lang w:val="en-GB" w:bidi="en-US"/>
              </w:rPr>
              <w:t>(</w:t>
            </w:r>
            <w:r w:rsidRPr="004E6A5C">
              <w:rPr>
                <w:sz w:val="20"/>
                <w:szCs w:val="20"/>
                <w:lang w:val="en-GB" w:bidi="en-US"/>
              </w:rPr>
              <w:fldChar w:fldCharType="begin" w:fldLock="1"/>
            </w:r>
            <w:r w:rsidR="00BF2F60">
              <w:rPr>
                <w:sz w:val="20"/>
                <w:szCs w:val="20"/>
                <w:lang w:val="en-GB" w:bidi="en-US"/>
              </w:rPr>
              <w:instrText>ADDIN CSL_CITATION {"citationItems":[{"id":"ITEM-1","itemData":{"abstract":"The transition to a circular economy is a unique opportunity for fast-growing Asian economies to be resource efficient, competitive, and innovative. The circular economy aims to eradicate wasteful use of raw materials and energy from the manufacturing process as well as systematically throughout the various life cycles, and to reuse the by-products. By creating an enabling policy framework for circular economy, government can also motivate corporate leaders to achieve greater benefits for sustainable development. This book investigates the challenges and opportunities of how countries and corporations are able to strike a better balance between economic growth and resource efficiency stewardship in the context of the emerging paradigm on circular economy policy. Through analysis of a number of case studies, this book also highlights immediate and relatively easy-to-implement circular thinking based on current policy approaches and market trends.","author":[{"dropping-particle":"","family":"Kim","given":"Jootae","non-dropping-particle":"","parse-names":false,"suffix":""},{"dropping-particle":"","family":"Ahn","given":"Yoonki","non-dropping-particle":"","parse-names":false,"suffix":""},{"dropping-particle":"","family":"Roh","given":"Taewoo","non-dropping-particle":"","parse-names":false,"suffix":""}],"container-title":"Towards a Circular Economy: Corporate Management and Policy Pathways. ERIA Research Project Report 2014-44","id":"ITEM-1","issued":{"date-parts":[["2016"]]},"number-of-pages":"185-199","title":"Low-carbon Management of POSCO in Circular Economy: Current Status and Limitations","type":"report"},"uris":["http://www.mendeley.com/documents/?uuid=ff7d2961-20e7-489c-a1ed-8388173190b9","http://www.mendeley.com/documents/?uuid=b5c83ba3-8973-42f4-873d-be894e1fd14d"]}],"mendeley":{"formattedCitation":"(Kim et al., 2016)","manualFormatting":"Kim et al. 2016)","plainTextFormattedCitation":"(Kim et al., 2016)","previouslyFormattedCitation":"(Kim et al., 2016)"},"properties":{"noteIndex":0},"schema":"https://github.com/citation-style-language/schema/raw/master/csl-citation.json"}</w:instrText>
            </w:r>
            <w:r w:rsidRPr="004E6A5C">
              <w:rPr>
                <w:sz w:val="20"/>
                <w:szCs w:val="20"/>
                <w:lang w:val="en-GB" w:bidi="en-US"/>
              </w:rPr>
              <w:fldChar w:fldCharType="separate"/>
            </w:r>
            <w:r w:rsidRPr="004E6A5C">
              <w:rPr>
                <w:noProof/>
                <w:sz w:val="20"/>
                <w:szCs w:val="20"/>
                <w:lang w:val="en-GB" w:bidi="en-US"/>
              </w:rPr>
              <w:t>Kim et al. 2016)</w:t>
            </w:r>
            <w:r w:rsidRPr="004E6A5C">
              <w:rPr>
                <w:sz w:val="20"/>
                <w:szCs w:val="20"/>
                <w:lang w:val="en-GB" w:bidi="en-US"/>
              </w:rPr>
              <w:fldChar w:fldCharType="end"/>
            </w:r>
          </w:p>
        </w:tc>
        <w:tc>
          <w:tcPr>
            <w:tcW w:w="901" w:type="pct"/>
          </w:tcPr>
          <w:p w14:paraId="5C53E6A7" w14:textId="388BA519" w:rsidR="00043B2B" w:rsidRPr="00746DB3" w:rsidRDefault="00043B2B" w:rsidP="00043B2B">
            <w:pPr>
              <w:jc w:val="center"/>
              <w:rPr>
                <w:sz w:val="20"/>
                <w:szCs w:val="20"/>
                <w:lang w:val="en-GB"/>
              </w:rPr>
            </w:pPr>
          </w:p>
        </w:tc>
        <w:tc>
          <w:tcPr>
            <w:tcW w:w="706" w:type="pct"/>
          </w:tcPr>
          <w:p w14:paraId="19C480DE" w14:textId="77777777" w:rsidR="00043B2B" w:rsidRPr="00746DB3" w:rsidRDefault="00043B2B" w:rsidP="00043B2B">
            <w:pPr>
              <w:jc w:val="center"/>
              <w:rPr>
                <w:sz w:val="20"/>
                <w:szCs w:val="20"/>
                <w:lang w:val="en-GB"/>
              </w:rPr>
            </w:pPr>
          </w:p>
        </w:tc>
        <w:tc>
          <w:tcPr>
            <w:tcW w:w="706" w:type="pct"/>
          </w:tcPr>
          <w:p w14:paraId="22908337" w14:textId="77777777" w:rsidR="00043B2B" w:rsidRPr="00746DB3" w:rsidRDefault="00043B2B" w:rsidP="00043B2B">
            <w:pPr>
              <w:jc w:val="center"/>
              <w:rPr>
                <w:sz w:val="20"/>
                <w:szCs w:val="20"/>
                <w:lang w:val="en-GB"/>
              </w:rPr>
            </w:pPr>
          </w:p>
        </w:tc>
        <w:tc>
          <w:tcPr>
            <w:tcW w:w="706" w:type="pct"/>
          </w:tcPr>
          <w:p w14:paraId="1D06A229" w14:textId="37FBEDE7" w:rsidR="00043B2B" w:rsidRPr="00746DB3" w:rsidRDefault="00043B2B" w:rsidP="00043B2B">
            <w:pPr>
              <w:jc w:val="center"/>
              <w:rPr>
                <w:sz w:val="20"/>
                <w:szCs w:val="20"/>
                <w:lang w:val="en-GB"/>
              </w:rPr>
            </w:pPr>
            <w:r w:rsidRPr="004E6A5C">
              <w:rPr>
                <w:sz w:val="20"/>
                <w:szCs w:val="20"/>
                <w:lang w:val="en-GB"/>
              </w:rPr>
              <w:t>x</w:t>
            </w:r>
          </w:p>
        </w:tc>
        <w:tc>
          <w:tcPr>
            <w:tcW w:w="720" w:type="pct"/>
          </w:tcPr>
          <w:p w14:paraId="7E27DA3A" w14:textId="77777777" w:rsidR="00043B2B" w:rsidRPr="00746DB3" w:rsidRDefault="00043B2B" w:rsidP="00043B2B">
            <w:pPr>
              <w:jc w:val="center"/>
              <w:rPr>
                <w:sz w:val="20"/>
                <w:szCs w:val="20"/>
                <w:lang w:val="en-GB"/>
              </w:rPr>
            </w:pPr>
          </w:p>
        </w:tc>
      </w:tr>
      <w:tr w:rsidR="00043B2B" w:rsidRPr="00402AEC" w14:paraId="5D48B1BE" w14:textId="77777777" w:rsidTr="00746DB3">
        <w:tc>
          <w:tcPr>
            <w:tcW w:w="1261" w:type="pct"/>
          </w:tcPr>
          <w:p w14:paraId="6CBEEB1F" w14:textId="08A72371" w:rsidR="00043B2B" w:rsidRPr="004E6A5C" w:rsidRDefault="00043B2B" w:rsidP="00043B2B">
            <w:pPr>
              <w:rPr>
                <w:sz w:val="20"/>
                <w:szCs w:val="20"/>
                <w:lang w:val="en-GB" w:bidi="en-US"/>
              </w:rPr>
            </w:pPr>
            <w:r w:rsidRPr="00854364">
              <w:rPr>
                <w:sz w:val="20"/>
                <w:szCs w:val="20"/>
                <w:lang w:val="en-GB" w:bidi="en-US"/>
              </w:rPr>
              <w:t>(</w:t>
            </w:r>
            <w:r w:rsidRPr="00854364">
              <w:rPr>
                <w:sz w:val="20"/>
                <w:szCs w:val="20"/>
                <w:lang w:val="en-GB" w:bidi="en-US"/>
              </w:rPr>
              <w:fldChar w:fldCharType="begin" w:fldLock="1"/>
            </w:r>
            <w:r w:rsidR="00BF2F60">
              <w:rPr>
                <w:sz w:val="20"/>
                <w:szCs w:val="20"/>
                <w:lang w:val="en-GB" w:bidi="en-US"/>
              </w:rPr>
              <w:instrText>ADDIN CSL_CITATION {"citationItems":[{"id":"ITEM-1","itemData":{"author":[{"dropping-particle":"","family":"Laubscher","given":"Markus","non-dropping-particle":"","parse-names":false,"suffix":""},{"dropping-particle":"","family":"Marinelli","given":"Thomas","non-dropping-particle":"","parse-names":false,"suffix":""}],"container-title":"Going Green - Care Innovation 2014","id":"ITEM-1","issued":{"date-parts":[["2014"]]},"page":"1-6","title":"Integration of Circular Economy in Business","type":"paper-conference"},"uris":["http://www.mendeley.com/documents/?uuid=04ea6bf1-8153-4473-bb7b-b9a9b98d1d0a","http://www.mendeley.com/documents/?uuid=15ae8a05-939a-40c5-be9b-32a50da40133"]}],"mendeley":{"formattedCitation":"(Laubscher and Marinelli, 2014)","manualFormatting":"Laubscher et al. 2014)","plainTextFormattedCitation":"(Laubscher and Marinelli, 2014)","previouslyFormattedCitation":"(Laubscher and Marinelli, 2014)"},"properties":{"noteIndex":0},"schema":"https://github.com/citation-style-language/schema/raw/master/csl-citation.json"}</w:instrText>
            </w:r>
            <w:r w:rsidRPr="00854364">
              <w:rPr>
                <w:sz w:val="20"/>
                <w:szCs w:val="20"/>
                <w:lang w:val="en-GB" w:bidi="en-US"/>
              </w:rPr>
              <w:fldChar w:fldCharType="separate"/>
            </w:r>
            <w:r w:rsidRPr="00854364">
              <w:rPr>
                <w:noProof/>
                <w:sz w:val="20"/>
                <w:szCs w:val="20"/>
                <w:lang w:val="en-GB" w:bidi="en-US"/>
              </w:rPr>
              <w:t>Laubscher et al. 2014)</w:t>
            </w:r>
            <w:r w:rsidRPr="00854364">
              <w:rPr>
                <w:sz w:val="20"/>
                <w:szCs w:val="20"/>
                <w:lang w:val="en-GB" w:bidi="en-US"/>
              </w:rPr>
              <w:fldChar w:fldCharType="end"/>
            </w:r>
          </w:p>
        </w:tc>
        <w:tc>
          <w:tcPr>
            <w:tcW w:w="901" w:type="pct"/>
          </w:tcPr>
          <w:p w14:paraId="734EF4F3" w14:textId="77777777" w:rsidR="00043B2B" w:rsidRPr="00C03A6B" w:rsidRDefault="00043B2B" w:rsidP="00043B2B">
            <w:pPr>
              <w:jc w:val="center"/>
              <w:rPr>
                <w:sz w:val="20"/>
                <w:szCs w:val="20"/>
                <w:lang w:val="en-GB"/>
              </w:rPr>
            </w:pPr>
          </w:p>
        </w:tc>
        <w:tc>
          <w:tcPr>
            <w:tcW w:w="706" w:type="pct"/>
          </w:tcPr>
          <w:p w14:paraId="371815AC" w14:textId="77777777" w:rsidR="00043B2B" w:rsidRPr="00C03A6B" w:rsidRDefault="00043B2B" w:rsidP="00043B2B">
            <w:pPr>
              <w:jc w:val="center"/>
              <w:rPr>
                <w:sz w:val="20"/>
                <w:szCs w:val="20"/>
                <w:lang w:val="en-GB"/>
              </w:rPr>
            </w:pPr>
          </w:p>
        </w:tc>
        <w:tc>
          <w:tcPr>
            <w:tcW w:w="706" w:type="pct"/>
          </w:tcPr>
          <w:p w14:paraId="32044A04" w14:textId="77777777" w:rsidR="00043B2B" w:rsidRPr="00C03A6B" w:rsidRDefault="00043B2B" w:rsidP="00043B2B">
            <w:pPr>
              <w:jc w:val="center"/>
              <w:rPr>
                <w:sz w:val="20"/>
                <w:szCs w:val="20"/>
                <w:lang w:val="en-GB"/>
              </w:rPr>
            </w:pPr>
          </w:p>
        </w:tc>
        <w:tc>
          <w:tcPr>
            <w:tcW w:w="706" w:type="pct"/>
          </w:tcPr>
          <w:p w14:paraId="69984FD2" w14:textId="55FE74D2" w:rsidR="00043B2B" w:rsidRPr="004E6A5C" w:rsidRDefault="00043B2B" w:rsidP="00043B2B">
            <w:pPr>
              <w:jc w:val="center"/>
              <w:rPr>
                <w:sz w:val="20"/>
                <w:szCs w:val="20"/>
                <w:lang w:val="en-GB"/>
              </w:rPr>
            </w:pPr>
            <w:r w:rsidRPr="00854364">
              <w:rPr>
                <w:sz w:val="20"/>
                <w:szCs w:val="20"/>
                <w:lang w:val="en-GB"/>
              </w:rPr>
              <w:t>x</w:t>
            </w:r>
          </w:p>
        </w:tc>
        <w:tc>
          <w:tcPr>
            <w:tcW w:w="720" w:type="pct"/>
          </w:tcPr>
          <w:p w14:paraId="133B195D" w14:textId="77777777" w:rsidR="00043B2B" w:rsidRPr="00C03A6B" w:rsidRDefault="00043B2B" w:rsidP="00043B2B">
            <w:pPr>
              <w:jc w:val="center"/>
              <w:rPr>
                <w:sz w:val="20"/>
                <w:szCs w:val="20"/>
                <w:lang w:val="en-GB"/>
              </w:rPr>
            </w:pPr>
          </w:p>
        </w:tc>
      </w:tr>
      <w:tr w:rsidR="00043B2B" w:rsidRPr="00402AEC" w14:paraId="45AD4D49" w14:textId="77777777" w:rsidTr="00746DB3">
        <w:tc>
          <w:tcPr>
            <w:tcW w:w="1261" w:type="pct"/>
          </w:tcPr>
          <w:p w14:paraId="49162AA1" w14:textId="7779F81A" w:rsidR="00043B2B" w:rsidRPr="00C03A6B" w:rsidRDefault="00043B2B" w:rsidP="00043B2B">
            <w:pPr>
              <w:rPr>
                <w:sz w:val="20"/>
                <w:szCs w:val="20"/>
                <w:highlight w:val="yellow"/>
                <w:lang w:val="en-GB"/>
              </w:rPr>
            </w:pPr>
            <w:r w:rsidRPr="00916DD9">
              <w:rPr>
                <w:sz w:val="20"/>
                <w:szCs w:val="20"/>
                <w:lang w:val="en-GB" w:bidi="en-US"/>
              </w:rPr>
              <w:t>(</w:t>
            </w:r>
            <w:r w:rsidRPr="00916DD9">
              <w:rPr>
                <w:sz w:val="20"/>
                <w:szCs w:val="20"/>
                <w:lang w:val="en-GB" w:bidi="en-US"/>
              </w:rPr>
              <w:fldChar w:fldCharType="begin" w:fldLock="1"/>
            </w:r>
            <w:r>
              <w:rPr>
                <w:sz w:val="20"/>
                <w:szCs w:val="20"/>
                <w:lang w:val="en-GB" w:bidi="en-US"/>
              </w:rPr>
              <w:instrText>ADDIN CSL_CITATION {"citationItems":[{"id":"ITEM-1","itemData":{"DOI":"10.1016/j.jclepro.2013.10.008","ISBN":"0959-6526","ISSN":"09596526","abstract":"The iron and steel industry is a resource and energy intensive industry; in China, it also produces high pollution and emissions. Therefore, the iron and steel industry in China is inevitably developing a circular economy. This study focuses on private steel enterprises in China, whose annual pig iron output comprised more than half the total national output of 2010. Firstly, this study provides a historical perspective on the circular economy mode inherent in this sector, explains how significant reductions in energy consumption and pollutant emissions have been realized, and offers guidance for future initiatives. Then, the states of various circular economy development pathways for the Wu'an Iron and Steel Group (WISG), a typical private steel enterprise based in North China, are examined as a case study. To assess the circular economy of the WISG, an evaluation system used by this industry to estimate circular economy performance - that is, a system that uses circular economy efficiency composite index (CEECI) values - is introduced. Our results indicate that the CEECI values of the WISG were 0.72 and 0.89 in 2007 and 2010, respectively, which were lower than those of the national large and medium-sized key iron and steel enterprises (NKISE) in China. Although the implementation of a circular economy has greatly enhanced the WISG with respect to reducing pollution, further measures, such as improving the utilization rates of coke oven gas, converter gas, and converter slag, as well as reducing sulfur dioxide emissions, are urgently required. The integration of these measures into the current circumstances is not only possible in the future but is inevitably essential to achieving sustainable development in the steel industry. © 2013 Elsevier Ltd. All rights reserved.","author":[{"dropping-particle":"","family":"Ma","given":"Shu-hua","non-dropping-particle":"","parse-names":false,"suffix":""},{"dropping-particle":"","family":"Wen","given":"Zong-guo","non-dropping-particle":"","parse-names":false,"suffix":""},{"dropping-particle":"","family":"Chen","given":"Ji-ning","non-dropping-particle":"","parse-names":false,"suffix":""},{"dropping-particle":"","family":"Wen","given":"Zhi-chao","non-dropping-particle":"","parse-names":false,"suffix":""}],"container-title":"Journal of Cleaner Production","id":"ITEM-1","issued":{"date-parts":[["2014"]]},"page":"505-512","publisher":"Elsevier Ltd","title":"Mode of circular economy in China's iron and steel industry: A case study in Wu'an city","type":"article-journal","volume":"64"},"uris":["http://www.mendeley.com/documents/?uuid=c822087e-323e-43a4-98b0-f9177a9c2d97","http://www.mendeley.com/documents/?uuid=ee8b50ed-d1b9-4277-9797-46cd494208e3"]}],"mendeley":{"formattedCitation":"(Ma et al., 2014)","manualFormatting":"Ma et al. 2014)","plainTextFormattedCitation":"(Ma et al., 2014)","previouslyFormattedCitation":"(Ma et al., 2014)"},"properties":{"noteIndex":0},"schema":"https://github.com/citation-style-language/schema/raw/master/csl-citation.json"}</w:instrText>
            </w:r>
            <w:r w:rsidRPr="00916DD9">
              <w:rPr>
                <w:sz w:val="20"/>
                <w:szCs w:val="20"/>
                <w:lang w:val="en-GB" w:bidi="en-US"/>
              </w:rPr>
              <w:fldChar w:fldCharType="separate"/>
            </w:r>
            <w:r w:rsidRPr="00916DD9">
              <w:rPr>
                <w:noProof/>
                <w:sz w:val="20"/>
                <w:szCs w:val="20"/>
                <w:lang w:val="en-GB" w:bidi="en-US"/>
              </w:rPr>
              <w:t>Ma et al. 2014)</w:t>
            </w:r>
            <w:r w:rsidRPr="00916DD9">
              <w:rPr>
                <w:sz w:val="20"/>
                <w:szCs w:val="20"/>
                <w:lang w:val="en-GB" w:bidi="en-US"/>
              </w:rPr>
              <w:fldChar w:fldCharType="end"/>
            </w:r>
          </w:p>
        </w:tc>
        <w:tc>
          <w:tcPr>
            <w:tcW w:w="901" w:type="pct"/>
          </w:tcPr>
          <w:p w14:paraId="726E32A9" w14:textId="77777777" w:rsidR="00043B2B" w:rsidRPr="00746DB3" w:rsidRDefault="00043B2B" w:rsidP="00043B2B">
            <w:pPr>
              <w:jc w:val="center"/>
              <w:rPr>
                <w:sz w:val="20"/>
                <w:szCs w:val="20"/>
                <w:lang w:val="en-GB"/>
              </w:rPr>
            </w:pPr>
          </w:p>
        </w:tc>
        <w:tc>
          <w:tcPr>
            <w:tcW w:w="706" w:type="pct"/>
          </w:tcPr>
          <w:p w14:paraId="089A64E0" w14:textId="24814421" w:rsidR="00043B2B" w:rsidRPr="00746DB3" w:rsidRDefault="00043B2B" w:rsidP="00043B2B">
            <w:pPr>
              <w:jc w:val="center"/>
              <w:rPr>
                <w:sz w:val="20"/>
                <w:szCs w:val="20"/>
                <w:lang w:val="en-GB"/>
              </w:rPr>
            </w:pPr>
          </w:p>
        </w:tc>
        <w:tc>
          <w:tcPr>
            <w:tcW w:w="706" w:type="pct"/>
          </w:tcPr>
          <w:p w14:paraId="261C9302" w14:textId="77777777" w:rsidR="00043B2B" w:rsidRPr="00746DB3" w:rsidRDefault="00043B2B" w:rsidP="00043B2B">
            <w:pPr>
              <w:jc w:val="center"/>
              <w:rPr>
                <w:sz w:val="20"/>
                <w:szCs w:val="20"/>
                <w:lang w:val="en-GB"/>
              </w:rPr>
            </w:pPr>
          </w:p>
        </w:tc>
        <w:tc>
          <w:tcPr>
            <w:tcW w:w="706" w:type="pct"/>
          </w:tcPr>
          <w:p w14:paraId="31407EF5" w14:textId="1D2FF017" w:rsidR="00043B2B" w:rsidRPr="00746DB3" w:rsidRDefault="00043B2B" w:rsidP="00043B2B">
            <w:pPr>
              <w:jc w:val="center"/>
              <w:rPr>
                <w:sz w:val="20"/>
                <w:szCs w:val="20"/>
                <w:lang w:val="en-GB"/>
              </w:rPr>
            </w:pPr>
            <w:r w:rsidRPr="00916DD9">
              <w:rPr>
                <w:sz w:val="20"/>
                <w:szCs w:val="20"/>
                <w:lang w:val="en-GB"/>
              </w:rPr>
              <w:t>x</w:t>
            </w:r>
          </w:p>
        </w:tc>
        <w:tc>
          <w:tcPr>
            <w:tcW w:w="720" w:type="pct"/>
          </w:tcPr>
          <w:p w14:paraId="41BE897D" w14:textId="39962629" w:rsidR="00043B2B" w:rsidRPr="00746DB3" w:rsidRDefault="00043B2B" w:rsidP="00043B2B">
            <w:pPr>
              <w:jc w:val="center"/>
              <w:rPr>
                <w:sz w:val="20"/>
                <w:szCs w:val="20"/>
                <w:lang w:val="en-GB"/>
              </w:rPr>
            </w:pPr>
          </w:p>
        </w:tc>
      </w:tr>
      <w:tr w:rsidR="00043B2B" w:rsidRPr="00402AEC" w14:paraId="185C6AB7" w14:textId="77777777" w:rsidTr="00746DB3">
        <w:tc>
          <w:tcPr>
            <w:tcW w:w="1261" w:type="pct"/>
          </w:tcPr>
          <w:p w14:paraId="247AD14C" w14:textId="0019E52C" w:rsidR="00043B2B" w:rsidRPr="00C03A6B" w:rsidRDefault="00043B2B" w:rsidP="00043B2B">
            <w:pPr>
              <w:rPr>
                <w:sz w:val="20"/>
                <w:szCs w:val="20"/>
                <w:highlight w:val="yellow"/>
                <w:lang w:val="en-GB"/>
              </w:rPr>
            </w:pPr>
            <w:r w:rsidRPr="002E63E1">
              <w:rPr>
                <w:sz w:val="20"/>
                <w:szCs w:val="20"/>
                <w:lang w:val="en-GB" w:bidi="en-US"/>
              </w:rPr>
              <w:t>(</w:t>
            </w:r>
            <w:r w:rsidRPr="002E63E1">
              <w:rPr>
                <w:sz w:val="20"/>
                <w:szCs w:val="20"/>
                <w:lang w:val="en-GB" w:bidi="en-US"/>
              </w:rPr>
              <w:fldChar w:fldCharType="begin" w:fldLock="1"/>
            </w:r>
            <w:r w:rsidR="00BF2F60">
              <w:rPr>
                <w:sz w:val="20"/>
                <w:szCs w:val="20"/>
                <w:lang w:val="en-GB" w:bidi="en-US"/>
              </w:rPr>
              <w:instrText>ADDIN CSL_CITATION {"citationItems":[{"id":"ITEM-1","itemData":{"DOI":"10.1007/978-3-319-20571-7","ISBN":"9783319205717","PMID":"18857557","abstract":"The study of cities, or urban systems, in Industrial Ecology has a peculiar history. In the 1960s, there was a false dawn for green cities in the United States under the Experimental City project, the unfulfi lled plans for which included numer-ous aspects of Industrial Ecology (IE). When IE eventually began to form as a dis-cipline in the 1990s, cities or urban systems were at best a fringe topic, although their importance was recognized by thought leaders in the fi eld. The development of research on cities as a theme within IE perhaps followed with the broadening of IE to include Social Ecology. Then the study of urban metabolism, which had its own separate literature, arguably became one of the three metabolisms within IE – along with industrial and socio-economic. In this review of work on IE and cities, a Scopus search of ISI-rated publications fi nds over 200 papers on the topic, many of which are in the Journal of Industrial Ecology . Amongst the common themes are papers on urban industrial symbiosis, urban infrastructure frameworks, transportation, waste, energy, greenhouse gas emissions, other urban contaminants, metals, phos-phorus and food in cities. The great ongoing challenge for work on IE and cities remains to understand the environmental impacts related to urban metabolism and attempt to reduce them. More specifi c examples of possible future work include determining potentials for city-scale industrial symbiosis and uncovering how much is occurring and exploring theoretical limits to the sustainability of cities using non-equilibrium thermodynamics.","author":[{"dropping-particle":"","family":"McIntyre","given":"Kirstie","non-dropping-particle":"","parse-names":false,"suffix":""},{"dropping-particle":"","family":"Ortiz","given":"John A.","non-dropping-particle":"","parse-names":false,"suffix":""}],"container-title":"Taking Stock of Industrial Ecology","id":"ITEM-1","issued":{"date-parts":[["2015"]]},"page":"317-330","title":"Multinational Corporations and the Circular Economy: How Hewlett Packard Scales Innovation and Technology in Its Global Supply Chain","type":"chapter"},"uris":["http://www.mendeley.com/documents/?uuid=1bd33abe-29c8-4c11-b29c-36748fafcc20","http://www.mendeley.com/documents/?uuid=cde568cc-6074-4613-ad1c-d8077347c98b"]}],"mendeley":{"formattedCitation":"(McIntyre and Ortiz, 2015)","manualFormatting":"McIntyre and Ortiz 2015)","plainTextFormattedCitation":"(McIntyre and Ortiz, 2015)","previouslyFormattedCitation":"(McIntyre and Ortiz, 2015)"},"properties":{"noteIndex":0},"schema":"https://github.com/citation-style-language/schema/raw/master/csl-citation.json"}</w:instrText>
            </w:r>
            <w:r w:rsidRPr="002E63E1">
              <w:rPr>
                <w:sz w:val="20"/>
                <w:szCs w:val="20"/>
                <w:lang w:val="en-GB" w:bidi="en-US"/>
              </w:rPr>
              <w:fldChar w:fldCharType="separate"/>
            </w:r>
            <w:r w:rsidRPr="002E63E1">
              <w:rPr>
                <w:noProof/>
                <w:sz w:val="20"/>
                <w:szCs w:val="20"/>
                <w:lang w:val="en-GB" w:bidi="en-US"/>
              </w:rPr>
              <w:t>McIntyre and Ortiz 2015)</w:t>
            </w:r>
            <w:r w:rsidRPr="002E63E1">
              <w:rPr>
                <w:sz w:val="20"/>
                <w:szCs w:val="20"/>
                <w:lang w:val="en-GB" w:bidi="en-US"/>
              </w:rPr>
              <w:fldChar w:fldCharType="end"/>
            </w:r>
          </w:p>
        </w:tc>
        <w:tc>
          <w:tcPr>
            <w:tcW w:w="901" w:type="pct"/>
          </w:tcPr>
          <w:p w14:paraId="16BC1A0B" w14:textId="77777777" w:rsidR="00043B2B" w:rsidRPr="00746DB3" w:rsidRDefault="00043B2B" w:rsidP="00043B2B">
            <w:pPr>
              <w:jc w:val="center"/>
              <w:rPr>
                <w:sz w:val="20"/>
                <w:szCs w:val="20"/>
                <w:lang w:val="en-GB"/>
              </w:rPr>
            </w:pPr>
          </w:p>
        </w:tc>
        <w:tc>
          <w:tcPr>
            <w:tcW w:w="706" w:type="pct"/>
          </w:tcPr>
          <w:p w14:paraId="493FCBC5" w14:textId="0D61E355" w:rsidR="00043B2B" w:rsidRPr="00746DB3" w:rsidRDefault="00043B2B" w:rsidP="00043B2B">
            <w:pPr>
              <w:jc w:val="center"/>
              <w:rPr>
                <w:sz w:val="20"/>
                <w:szCs w:val="20"/>
                <w:lang w:val="en-GB"/>
              </w:rPr>
            </w:pPr>
          </w:p>
        </w:tc>
        <w:tc>
          <w:tcPr>
            <w:tcW w:w="706" w:type="pct"/>
          </w:tcPr>
          <w:p w14:paraId="2F79321D" w14:textId="78BC00FC" w:rsidR="00043B2B" w:rsidRPr="00746DB3" w:rsidRDefault="00043B2B" w:rsidP="00043B2B">
            <w:pPr>
              <w:jc w:val="center"/>
              <w:rPr>
                <w:sz w:val="20"/>
                <w:szCs w:val="20"/>
                <w:lang w:val="en-GB"/>
              </w:rPr>
            </w:pPr>
          </w:p>
        </w:tc>
        <w:tc>
          <w:tcPr>
            <w:tcW w:w="706" w:type="pct"/>
          </w:tcPr>
          <w:p w14:paraId="57844B70" w14:textId="102E6289" w:rsidR="00043B2B" w:rsidRPr="00746DB3" w:rsidRDefault="00043B2B" w:rsidP="00043B2B">
            <w:pPr>
              <w:jc w:val="center"/>
              <w:rPr>
                <w:sz w:val="20"/>
                <w:szCs w:val="20"/>
                <w:lang w:val="en-GB"/>
              </w:rPr>
            </w:pPr>
            <w:r w:rsidRPr="002E63E1">
              <w:rPr>
                <w:sz w:val="20"/>
                <w:szCs w:val="20"/>
                <w:lang w:val="en-GB"/>
              </w:rPr>
              <w:t>x</w:t>
            </w:r>
          </w:p>
        </w:tc>
        <w:tc>
          <w:tcPr>
            <w:tcW w:w="720" w:type="pct"/>
          </w:tcPr>
          <w:p w14:paraId="55B4E906" w14:textId="77777777" w:rsidR="00043B2B" w:rsidRPr="00746DB3" w:rsidRDefault="00043B2B" w:rsidP="00043B2B">
            <w:pPr>
              <w:jc w:val="center"/>
              <w:rPr>
                <w:sz w:val="20"/>
                <w:szCs w:val="20"/>
                <w:lang w:val="en-GB"/>
              </w:rPr>
            </w:pPr>
          </w:p>
        </w:tc>
      </w:tr>
      <w:tr w:rsidR="00043B2B" w:rsidRPr="00402AEC" w14:paraId="625A6057" w14:textId="77777777" w:rsidTr="00746DB3">
        <w:tc>
          <w:tcPr>
            <w:tcW w:w="1261" w:type="pct"/>
          </w:tcPr>
          <w:p w14:paraId="2C76B8A9" w14:textId="2FFC1C5B" w:rsidR="00043B2B" w:rsidRPr="00C03A6B" w:rsidRDefault="00043B2B" w:rsidP="00043B2B">
            <w:pPr>
              <w:rPr>
                <w:sz w:val="20"/>
                <w:szCs w:val="20"/>
                <w:highlight w:val="yellow"/>
                <w:lang w:val="en-GB"/>
              </w:rPr>
            </w:pPr>
            <w:r w:rsidRPr="000306B7">
              <w:rPr>
                <w:sz w:val="20"/>
                <w:szCs w:val="20"/>
                <w:lang w:val="en-GB" w:bidi="en-US"/>
              </w:rPr>
              <w:t>(</w:t>
            </w:r>
            <w:r w:rsidRPr="000306B7">
              <w:rPr>
                <w:sz w:val="20"/>
                <w:szCs w:val="20"/>
                <w:lang w:val="en-GB" w:bidi="en-US"/>
              </w:rPr>
              <w:fldChar w:fldCharType="begin" w:fldLock="1"/>
            </w:r>
            <w:r w:rsidR="00BF2F60">
              <w:rPr>
                <w:sz w:val="20"/>
                <w:szCs w:val="20"/>
                <w:lang w:val="en-GB" w:bidi="en-US"/>
              </w:rPr>
              <w:instrText>ADDIN CSL_CITATION {"citationItems":[{"id":"ITEM-1","itemData":{"DOI":"10.1016/j.jclepro.2017.08.118","ISSN":"09596526","abstract":"Recent tendency has been pushing organizations to rethink their role in society and making organization reflect that profit may not be the only and foremost important business performance criteria. Thus recent literature has been exploring the sustainable business models (SBM's), as a way to insert sustainability goals into the core of business decisions. This research aims to advance in this body of knowledge and proposes a theory and practice-based framework to support organizations towards more SBM, making explicit main elements to align business to sustainability performance goals. To support the argument that there is no unique solution to design SBM, this research performs a multiple case studies in eleven organizations from diverse sectors, situated in Brazil and in the United Kingdom. Results show that SBM is not an attempt to deny business-as-usual perspective, but rather it seeks to complement this view, by adding a more axiological and systemic approach. In particular, three convergent aspects were identified in the case studies as relevant efforts support the integration of sustainability into SBM's value creation and delivery system: (1) the connection between business purpose and employees’ values and believes; (2) the pro-active and clear engagement in solving sustainability problems; and (3) the need for system-level changes to enable successful SBM's. This systemic thinking is highlighted by the concept emerged from the research, the cascaded sustainable value captured, representing that, as SBM's are part of a value network, value delivered by the organizations is captured not only by stakeholders to which they have direct contact, but rather this is also deployed to stakeholders of focal company's stakeholders. This distinction is not always trivial for companies, so the proposed concept can support advances in SBM discussions. Further studies are called to the challenge of making explicit that SBM's are not only companies that directly addresses a specific social and/or environmental problem, but rather is an emerging paradigm on how to manage efficient businesses in any sector to add positive value to the globe.","author":[{"dropping-particle":"","family":"Morioka","given":"Sandra Naomi","non-dropping-particle":"","parse-names":false,"suffix":""},{"dropping-particle":"","family":"Bolis","given":"Ivan","non-dropping-particle":"","parse-names":false,"suffix":""},{"dropping-particle":"","family":"Evans","given":"Steve","non-dropping-particle":"","parse-names":false,"suffix":""},{"dropping-particle":"","family":"Monteiro de Carvalho","given":"Marly","non-dropping-particle":"","parse-names":false,"suffix":""}],"container-title":"Journal of Cleaner Production","id":"ITEM-1","issued":{"date-parts":[["2017"]]},"page":"723-738","publisher":"Elsevier Ltd","title":"Transforming sustainability challenges into competitive advantage: Multiple case studies kaleidoscope converging into sustainable business models","type":"article-journal","volume":"167"},"uris":["http://www.mendeley.com/documents/?uuid=9b337c8c-3502-4b46-853f-92ab17fb1606","http://www.mendeley.com/documents/?uuid=b72d2860-e2cf-47f1-8662-ba6db3543d24"]}],"mendeley":{"formattedCitation":"(Morioka et al., 2017)","manualFormatting":"Morioka et al. 2017)","plainTextFormattedCitation":"(Morioka et al., 2017)","previouslyFormattedCitation":"(Morioka et al., 2017)"},"properties":{"noteIndex":0},"schema":"https://github.com/citation-style-language/schema/raw/master/csl-citation.json"}</w:instrText>
            </w:r>
            <w:r w:rsidRPr="000306B7">
              <w:rPr>
                <w:sz w:val="20"/>
                <w:szCs w:val="20"/>
                <w:lang w:val="en-GB" w:bidi="en-US"/>
              </w:rPr>
              <w:fldChar w:fldCharType="separate"/>
            </w:r>
            <w:r w:rsidRPr="000306B7">
              <w:rPr>
                <w:noProof/>
                <w:sz w:val="20"/>
                <w:szCs w:val="20"/>
                <w:lang w:val="en-GB" w:bidi="en-US"/>
              </w:rPr>
              <w:t>Morioka et al. 2017)</w:t>
            </w:r>
            <w:r w:rsidRPr="000306B7">
              <w:rPr>
                <w:sz w:val="20"/>
                <w:szCs w:val="20"/>
                <w:lang w:val="en-GB" w:bidi="en-US"/>
              </w:rPr>
              <w:fldChar w:fldCharType="end"/>
            </w:r>
          </w:p>
        </w:tc>
        <w:tc>
          <w:tcPr>
            <w:tcW w:w="901" w:type="pct"/>
          </w:tcPr>
          <w:p w14:paraId="6196FE7D" w14:textId="7F5AE986" w:rsidR="00043B2B" w:rsidRPr="00746DB3" w:rsidRDefault="00043B2B" w:rsidP="00043B2B">
            <w:pPr>
              <w:jc w:val="center"/>
              <w:rPr>
                <w:sz w:val="20"/>
                <w:szCs w:val="20"/>
                <w:lang w:val="en-GB"/>
              </w:rPr>
            </w:pPr>
          </w:p>
        </w:tc>
        <w:tc>
          <w:tcPr>
            <w:tcW w:w="706" w:type="pct"/>
          </w:tcPr>
          <w:p w14:paraId="78ADEC1B" w14:textId="77777777" w:rsidR="00043B2B" w:rsidRPr="00746DB3" w:rsidRDefault="00043B2B" w:rsidP="00043B2B">
            <w:pPr>
              <w:jc w:val="center"/>
              <w:rPr>
                <w:sz w:val="20"/>
                <w:szCs w:val="20"/>
                <w:lang w:val="en-GB"/>
              </w:rPr>
            </w:pPr>
          </w:p>
        </w:tc>
        <w:tc>
          <w:tcPr>
            <w:tcW w:w="706" w:type="pct"/>
          </w:tcPr>
          <w:p w14:paraId="4347BAD3" w14:textId="301FF69D" w:rsidR="00043B2B" w:rsidRPr="00746DB3" w:rsidRDefault="00043B2B" w:rsidP="00043B2B">
            <w:pPr>
              <w:jc w:val="center"/>
              <w:rPr>
                <w:sz w:val="20"/>
                <w:szCs w:val="20"/>
                <w:lang w:val="en-GB"/>
              </w:rPr>
            </w:pPr>
          </w:p>
        </w:tc>
        <w:tc>
          <w:tcPr>
            <w:tcW w:w="706" w:type="pct"/>
          </w:tcPr>
          <w:p w14:paraId="31D70399" w14:textId="77777777" w:rsidR="00043B2B" w:rsidRPr="00746DB3" w:rsidRDefault="00043B2B" w:rsidP="00043B2B">
            <w:pPr>
              <w:jc w:val="center"/>
              <w:rPr>
                <w:sz w:val="20"/>
                <w:szCs w:val="20"/>
                <w:lang w:val="en-GB"/>
              </w:rPr>
            </w:pPr>
          </w:p>
        </w:tc>
        <w:tc>
          <w:tcPr>
            <w:tcW w:w="720" w:type="pct"/>
          </w:tcPr>
          <w:p w14:paraId="08092844" w14:textId="37BCF084" w:rsidR="00043B2B" w:rsidRPr="00746DB3" w:rsidRDefault="00043B2B" w:rsidP="00043B2B">
            <w:pPr>
              <w:jc w:val="center"/>
              <w:rPr>
                <w:sz w:val="20"/>
                <w:szCs w:val="20"/>
                <w:lang w:val="en-GB"/>
              </w:rPr>
            </w:pPr>
            <w:r w:rsidRPr="000306B7">
              <w:rPr>
                <w:sz w:val="20"/>
                <w:szCs w:val="20"/>
                <w:lang w:val="en-GB"/>
              </w:rPr>
              <w:t>x</w:t>
            </w:r>
          </w:p>
        </w:tc>
      </w:tr>
      <w:tr w:rsidR="00B71CA3" w:rsidRPr="00402AEC" w14:paraId="6F53B9C2" w14:textId="77777777" w:rsidTr="00746DB3">
        <w:tc>
          <w:tcPr>
            <w:tcW w:w="1261" w:type="pct"/>
          </w:tcPr>
          <w:p w14:paraId="402EC6D1" w14:textId="4432557E" w:rsidR="00B71CA3" w:rsidRPr="00C03A6B" w:rsidRDefault="00B71CA3" w:rsidP="00B71CA3">
            <w:pPr>
              <w:rPr>
                <w:sz w:val="20"/>
                <w:szCs w:val="20"/>
                <w:highlight w:val="yellow"/>
                <w:lang w:val="en-GB"/>
              </w:rPr>
            </w:pPr>
            <w:r w:rsidRPr="00A07D92">
              <w:rPr>
                <w:sz w:val="20"/>
                <w:szCs w:val="20"/>
                <w:lang w:val="en-GB" w:bidi="en-US"/>
              </w:rPr>
              <w:t>(</w:t>
            </w:r>
            <w:r w:rsidRPr="00A07D92">
              <w:rPr>
                <w:sz w:val="20"/>
                <w:szCs w:val="20"/>
                <w:lang w:val="en-GB" w:bidi="en-US"/>
              </w:rPr>
              <w:fldChar w:fldCharType="begin" w:fldLock="1"/>
            </w:r>
            <w:r w:rsidR="00BF2F60">
              <w:rPr>
                <w:sz w:val="20"/>
                <w:szCs w:val="20"/>
                <w:lang w:val="en-GB" w:bidi="en-US"/>
              </w:rPr>
              <w:instrText>ADDIN CSL_CITATION {"citationItems":[{"id":"ITEM-1","itemData":{"author":[{"dropping-particle":"","family":"Piciu","given":"Gabriela Cornelia","non-dropping-particle":"","parse-names":false,"suffix":""}],"container-title":"The Journal Contemporary Economy","id":"ITEM-1","issue":"2","issued":{"date-parts":[["2016"]]},"page":"85-117","title":"Business Models of Circular Economy","type":"article-journal","volume":"1"},"uris":["http://www.mendeley.com/documents/?uuid=7aad7c38-c34b-4bab-bf9f-675654aa4d4e","http://www.mendeley.com/documents/?uuid=5c62b1d8-a549-4407-8b61-3aa5add58135"]}],"mendeley":{"formattedCitation":"(Piciu, 2016)","manualFormatting":"Piciu 2016)","plainTextFormattedCitation":"(Piciu, 2016)","previouslyFormattedCitation":"(Piciu, 2016)"},"properties":{"noteIndex":0},"schema":"https://github.com/citation-style-language/schema/raw/master/csl-citation.json"}</w:instrText>
            </w:r>
            <w:r w:rsidRPr="00A07D92">
              <w:rPr>
                <w:sz w:val="20"/>
                <w:szCs w:val="20"/>
                <w:lang w:val="en-GB" w:bidi="en-US"/>
              </w:rPr>
              <w:fldChar w:fldCharType="separate"/>
            </w:r>
            <w:r w:rsidRPr="00A07D92">
              <w:rPr>
                <w:noProof/>
                <w:sz w:val="20"/>
                <w:szCs w:val="20"/>
                <w:lang w:val="en-GB" w:bidi="en-US"/>
              </w:rPr>
              <w:t>Piciu 2016)</w:t>
            </w:r>
            <w:r w:rsidRPr="00A07D92">
              <w:rPr>
                <w:sz w:val="20"/>
                <w:szCs w:val="20"/>
                <w:lang w:val="en-GB" w:bidi="en-US"/>
              </w:rPr>
              <w:fldChar w:fldCharType="end"/>
            </w:r>
          </w:p>
        </w:tc>
        <w:tc>
          <w:tcPr>
            <w:tcW w:w="901" w:type="pct"/>
          </w:tcPr>
          <w:p w14:paraId="5D8E1844" w14:textId="77777777" w:rsidR="00B71CA3" w:rsidRPr="00746DB3" w:rsidRDefault="00B71CA3" w:rsidP="00B71CA3">
            <w:pPr>
              <w:jc w:val="center"/>
              <w:rPr>
                <w:sz w:val="20"/>
                <w:szCs w:val="20"/>
                <w:lang w:val="en-GB"/>
              </w:rPr>
            </w:pPr>
          </w:p>
        </w:tc>
        <w:tc>
          <w:tcPr>
            <w:tcW w:w="706" w:type="pct"/>
          </w:tcPr>
          <w:p w14:paraId="2F45C876" w14:textId="52AC8E75" w:rsidR="00B71CA3" w:rsidRPr="00746DB3" w:rsidRDefault="00B71CA3" w:rsidP="00B71CA3">
            <w:pPr>
              <w:jc w:val="center"/>
              <w:rPr>
                <w:sz w:val="20"/>
                <w:szCs w:val="20"/>
                <w:lang w:val="en-GB"/>
              </w:rPr>
            </w:pPr>
            <w:r w:rsidRPr="00A07D92">
              <w:rPr>
                <w:sz w:val="20"/>
                <w:szCs w:val="20"/>
                <w:lang w:val="en-GB"/>
              </w:rPr>
              <w:t>x</w:t>
            </w:r>
          </w:p>
        </w:tc>
        <w:tc>
          <w:tcPr>
            <w:tcW w:w="706" w:type="pct"/>
          </w:tcPr>
          <w:p w14:paraId="232835F4" w14:textId="556F4A4E" w:rsidR="00B71CA3" w:rsidRPr="00746DB3" w:rsidRDefault="00B71CA3" w:rsidP="00B71CA3">
            <w:pPr>
              <w:jc w:val="center"/>
              <w:rPr>
                <w:sz w:val="20"/>
                <w:szCs w:val="20"/>
                <w:lang w:val="en-GB"/>
              </w:rPr>
            </w:pPr>
          </w:p>
        </w:tc>
        <w:tc>
          <w:tcPr>
            <w:tcW w:w="706" w:type="pct"/>
          </w:tcPr>
          <w:p w14:paraId="58AA985F" w14:textId="5DBDBBFA" w:rsidR="00B71CA3" w:rsidRPr="00746DB3" w:rsidRDefault="00B71CA3" w:rsidP="00B71CA3">
            <w:pPr>
              <w:jc w:val="center"/>
              <w:rPr>
                <w:sz w:val="20"/>
                <w:szCs w:val="20"/>
                <w:lang w:val="en-GB"/>
              </w:rPr>
            </w:pPr>
          </w:p>
        </w:tc>
        <w:tc>
          <w:tcPr>
            <w:tcW w:w="720" w:type="pct"/>
          </w:tcPr>
          <w:p w14:paraId="740B449A" w14:textId="77777777" w:rsidR="00B71CA3" w:rsidRPr="00746DB3" w:rsidRDefault="00B71CA3" w:rsidP="00B71CA3">
            <w:pPr>
              <w:jc w:val="center"/>
              <w:rPr>
                <w:sz w:val="20"/>
                <w:szCs w:val="20"/>
                <w:lang w:val="en-GB"/>
              </w:rPr>
            </w:pPr>
          </w:p>
        </w:tc>
      </w:tr>
      <w:tr w:rsidR="00B71CA3" w:rsidRPr="00402AEC" w14:paraId="6A632A50" w14:textId="77777777" w:rsidTr="00746DB3">
        <w:tc>
          <w:tcPr>
            <w:tcW w:w="1261" w:type="pct"/>
          </w:tcPr>
          <w:p w14:paraId="7A0A4461" w14:textId="58881B02" w:rsidR="00B71CA3" w:rsidRPr="00C03A6B" w:rsidRDefault="00B71CA3" w:rsidP="00B71CA3">
            <w:pPr>
              <w:rPr>
                <w:sz w:val="20"/>
                <w:szCs w:val="20"/>
                <w:highlight w:val="yellow"/>
                <w:lang w:val="en-GB"/>
              </w:rPr>
            </w:pPr>
            <w:r w:rsidRPr="00A07D92">
              <w:rPr>
                <w:sz w:val="20"/>
                <w:szCs w:val="20"/>
                <w:lang w:val="en-GB" w:bidi="en-US"/>
              </w:rPr>
              <w:t>(</w:t>
            </w:r>
            <w:r w:rsidRPr="00A07D92">
              <w:rPr>
                <w:sz w:val="20"/>
                <w:szCs w:val="20"/>
                <w:lang w:val="en-GB" w:bidi="en-US"/>
              </w:rPr>
              <w:fldChar w:fldCharType="begin" w:fldLock="1"/>
            </w:r>
            <w:r w:rsidR="003027D4">
              <w:rPr>
                <w:sz w:val="20"/>
                <w:szCs w:val="20"/>
                <w:lang w:val="en-GB" w:bidi="en-US"/>
              </w:rPr>
              <w:instrText>ADDIN CSL_CITATION {"citationItems":[{"id":"ITEM-1","itemData":{"DOI":"10.1080/19397038.2017.1317876","ISSN":"19397046","abstract":"Makerspaces – open access design and fabrication workshops – provide new contexts for design practice through 'distributed production' . The global community of makerspaces has evolved quickly and in turn, substantial hype is attributed to its potential for radical sustainable innovation. In this article, we explore this potential in the context of the new 'circular economy' agenda. We focus the research on the critical role of makerspace managers/founders who are recognised as gatekeepers to circular practices. The research method is action-led including expert interviews (academics and founders/managers) as well as two generative context-mapping workshops, run at selected makerspaces in collaboration with their founders/ managers. We unearth everyday 'how-to' guidance to interweave circular practices within makerspaces from the outset by: fostering an enabling culture; building local connections; nurturing individual/ community capacities; and stimulating practical know-how. However, while the research reveals immense opportunities to cultivate circular literacy from within makerspaces, the prospects to ask more profound questions about our economy, through makerspace practices, are found to be compromised by day-to-day concerns. The insights from this research can act as a starting point for future work in this emerging research area.","author":[{"dropping-particle":"","family":"Prendeville","given":"Sharon","non-dropping-particle":"","parse-names":false,"suffix":""},{"dropping-particle":"","family":"Hartung","given":"Grit","non-dropping-particle":"","parse-names":false,"suffix":""},{"dropping-particle":"","family":"Brass","given":"Clare","non-dropping-particle":"","parse-names":false,"suffix":""},{"dropping-particle":"","family":"Purvis","given":"Erica","non-dropping-particle":"","parse-names":false,"suffix":""},{"dropping-particle":"","family":"Hall","given":"Ashley","non-dropping-particle":"","parse-names":false,"suffix":""}],"container-title":"International Journal of Sustainable Engineering","id":"ITEM-1","issue":"4-5","issued":{"date-parts":[["2017"]]},"page":"272-288","publisher":"Taylor &amp; Francis","title":"Circular Makerspaces: the founder’s view","type":"article-journal","volume":"10"},"uris":["http://www.mendeley.com/documents/?uuid=ef965ef3-90c4-4f72-8316-10ef7e74be5e","http://www.mendeley.com/documents/?uuid=bc38cf62-a4fe-4204-92c4-2833cf884f77"]}],"mendeley":{"formattedCitation":"(Prendeville et al., 2017)","manualFormatting":"Prendeville et al. 2017b)","plainTextFormattedCitation":"(Prendeville et al., 2017)","previouslyFormattedCitation":"(Prendeville et al., 2017)"},"properties":{"noteIndex":0},"schema":"https://github.com/citation-style-language/schema/raw/master/csl-citation.json"}</w:instrText>
            </w:r>
            <w:r w:rsidRPr="00A07D92">
              <w:rPr>
                <w:sz w:val="20"/>
                <w:szCs w:val="20"/>
                <w:lang w:val="en-GB" w:bidi="en-US"/>
              </w:rPr>
              <w:fldChar w:fldCharType="separate"/>
            </w:r>
            <w:r w:rsidRPr="00A07D92">
              <w:rPr>
                <w:noProof/>
                <w:sz w:val="20"/>
                <w:szCs w:val="20"/>
                <w:lang w:val="en-GB" w:bidi="en-US"/>
              </w:rPr>
              <w:t>Prendeville et al. 2017b)</w:t>
            </w:r>
            <w:r w:rsidRPr="00A07D92">
              <w:rPr>
                <w:sz w:val="20"/>
                <w:szCs w:val="20"/>
                <w:lang w:val="en-GB" w:bidi="en-US"/>
              </w:rPr>
              <w:fldChar w:fldCharType="end"/>
            </w:r>
          </w:p>
        </w:tc>
        <w:tc>
          <w:tcPr>
            <w:tcW w:w="901" w:type="pct"/>
          </w:tcPr>
          <w:p w14:paraId="76EE35A5" w14:textId="60450C34" w:rsidR="00B71CA3" w:rsidRPr="00746DB3" w:rsidRDefault="00B71CA3" w:rsidP="00B71CA3">
            <w:pPr>
              <w:jc w:val="center"/>
              <w:rPr>
                <w:sz w:val="20"/>
                <w:szCs w:val="20"/>
                <w:lang w:val="en-GB"/>
              </w:rPr>
            </w:pPr>
            <w:r w:rsidRPr="00A07D92">
              <w:rPr>
                <w:sz w:val="20"/>
                <w:szCs w:val="20"/>
                <w:lang w:val="en-GB"/>
              </w:rPr>
              <w:t>x</w:t>
            </w:r>
          </w:p>
        </w:tc>
        <w:tc>
          <w:tcPr>
            <w:tcW w:w="706" w:type="pct"/>
          </w:tcPr>
          <w:p w14:paraId="2B8CF740" w14:textId="77777777" w:rsidR="00B71CA3" w:rsidRPr="00746DB3" w:rsidRDefault="00B71CA3" w:rsidP="00B71CA3">
            <w:pPr>
              <w:jc w:val="center"/>
              <w:rPr>
                <w:sz w:val="20"/>
                <w:szCs w:val="20"/>
                <w:lang w:val="en-GB"/>
              </w:rPr>
            </w:pPr>
          </w:p>
        </w:tc>
        <w:tc>
          <w:tcPr>
            <w:tcW w:w="706" w:type="pct"/>
          </w:tcPr>
          <w:p w14:paraId="59F612E9" w14:textId="77777777" w:rsidR="00B71CA3" w:rsidRPr="00746DB3" w:rsidRDefault="00B71CA3" w:rsidP="00B71CA3">
            <w:pPr>
              <w:jc w:val="center"/>
              <w:rPr>
                <w:sz w:val="20"/>
                <w:szCs w:val="20"/>
                <w:lang w:val="en-GB"/>
              </w:rPr>
            </w:pPr>
          </w:p>
        </w:tc>
        <w:tc>
          <w:tcPr>
            <w:tcW w:w="706" w:type="pct"/>
          </w:tcPr>
          <w:p w14:paraId="50406B7B" w14:textId="2A4365D9" w:rsidR="00B71CA3" w:rsidRPr="00746DB3" w:rsidRDefault="00B71CA3" w:rsidP="00B71CA3">
            <w:pPr>
              <w:jc w:val="center"/>
              <w:rPr>
                <w:sz w:val="20"/>
                <w:szCs w:val="20"/>
                <w:lang w:val="en-GB"/>
              </w:rPr>
            </w:pPr>
          </w:p>
        </w:tc>
        <w:tc>
          <w:tcPr>
            <w:tcW w:w="720" w:type="pct"/>
          </w:tcPr>
          <w:p w14:paraId="2966DE19" w14:textId="77777777" w:rsidR="00B71CA3" w:rsidRPr="00746DB3" w:rsidRDefault="00B71CA3" w:rsidP="00B71CA3">
            <w:pPr>
              <w:jc w:val="center"/>
              <w:rPr>
                <w:sz w:val="20"/>
                <w:szCs w:val="20"/>
                <w:lang w:val="en-GB"/>
              </w:rPr>
            </w:pPr>
          </w:p>
        </w:tc>
      </w:tr>
      <w:tr w:rsidR="00B71CA3" w:rsidRPr="00402AEC" w14:paraId="406140C1" w14:textId="77777777" w:rsidTr="00746DB3">
        <w:tc>
          <w:tcPr>
            <w:tcW w:w="1261" w:type="pct"/>
          </w:tcPr>
          <w:p w14:paraId="795B38F8" w14:textId="60581D3D" w:rsidR="00B71CA3" w:rsidRPr="00C03A6B" w:rsidRDefault="00B71CA3" w:rsidP="00B71CA3">
            <w:pPr>
              <w:rPr>
                <w:sz w:val="20"/>
                <w:szCs w:val="20"/>
                <w:highlight w:val="yellow"/>
                <w:lang w:val="en-GB"/>
              </w:rPr>
            </w:pPr>
            <w:r w:rsidRPr="00F05BE8">
              <w:rPr>
                <w:sz w:val="20"/>
                <w:szCs w:val="20"/>
                <w:lang w:val="en-GB" w:bidi="en-US"/>
              </w:rPr>
              <w:t>(</w:t>
            </w:r>
            <w:r w:rsidRPr="00F05BE8">
              <w:rPr>
                <w:sz w:val="20"/>
                <w:szCs w:val="20"/>
                <w:lang w:val="en-GB" w:bidi="en-US"/>
              </w:rPr>
              <w:fldChar w:fldCharType="begin" w:fldLock="1"/>
            </w:r>
            <w:r w:rsidR="00BF2F60">
              <w:rPr>
                <w:sz w:val="20"/>
                <w:szCs w:val="20"/>
                <w:lang w:val="en-GB" w:bidi="en-US"/>
              </w:rPr>
              <w:instrText>ADDIN CSL_CITATION {"citationItems":[{"id":"ITEM-1","itemData":{"DOI":"10.1002/tie.21917","ISBN":"10964762 (ISSN)","ISSN":"15206874","abstract":"For many years, companies have perceived sustainability and corporate social responsibility as annoying trends involving regulations and extra costs. A new concept of industrial organization is required to dissociate growth in resource consumption from increasing prosperity. This concept must move beyond significant efficiency gains in order to successfully deliver change-an idea that is known as a circular economy. The increasing amount of attention paid to environmental issues and pressure from stakeholders have forced businesses to embrace the complexity and interdependencies between shareholder value and sustainable value. Sustainability-driven innovation that increases the circularity of resources, as in the case of Patagonia, Inc., is the key to generating a sustainable competitive advantage that marries economic and social objectives. This article explores ways in which corporations can pursue economic, social, and environmental objectives while simultaneously embracing circularity. © 2017 Wiley Periodicals, Inc.","author":[{"dropping-particle":"","family":"Rattalino","given":"Francesco","non-dropping-particle":"","parse-names":false,"suffix":""}],"container-title":"Thunderbird International Business Review","id":"ITEM-1","issued":{"date-parts":[["2017"]]},"page":"1-9","title":"Circular advantage anyone? Sustainability-driven innovation and circularity at Patagonia, Inc.","type":"article-journal"},"uris":["http://www.mendeley.com/documents/?uuid=c3535286-92cc-438c-9a46-29d8bd5b9da3","http://www.mendeley.com/documents/?uuid=e58d468a-b0ab-43eb-8c30-d8fac202ec38"]}],"mendeley":{"formattedCitation":"(Rattalino, 2017)","manualFormatting":"Rattalino 2017)","plainTextFormattedCitation":"(Rattalino, 2017)","previouslyFormattedCitation":"(Rattalino, 2017)"},"properties":{"noteIndex":0},"schema":"https://github.com/citation-style-language/schema/raw/master/csl-citation.json"}</w:instrText>
            </w:r>
            <w:r w:rsidRPr="00F05BE8">
              <w:rPr>
                <w:sz w:val="20"/>
                <w:szCs w:val="20"/>
                <w:lang w:val="en-GB" w:bidi="en-US"/>
              </w:rPr>
              <w:fldChar w:fldCharType="separate"/>
            </w:r>
            <w:r w:rsidRPr="00F05BE8">
              <w:rPr>
                <w:noProof/>
                <w:sz w:val="20"/>
                <w:szCs w:val="20"/>
                <w:lang w:val="en-GB" w:bidi="en-US"/>
              </w:rPr>
              <w:t>Rattalino 2017)</w:t>
            </w:r>
            <w:r w:rsidRPr="00F05BE8">
              <w:rPr>
                <w:sz w:val="20"/>
                <w:szCs w:val="20"/>
                <w:lang w:val="en-GB" w:bidi="en-US"/>
              </w:rPr>
              <w:fldChar w:fldCharType="end"/>
            </w:r>
          </w:p>
        </w:tc>
        <w:tc>
          <w:tcPr>
            <w:tcW w:w="901" w:type="pct"/>
          </w:tcPr>
          <w:p w14:paraId="3BA5703D" w14:textId="77777777" w:rsidR="00B71CA3" w:rsidRPr="00746DB3" w:rsidRDefault="00B71CA3" w:rsidP="00B71CA3">
            <w:pPr>
              <w:jc w:val="center"/>
              <w:rPr>
                <w:sz w:val="20"/>
                <w:szCs w:val="20"/>
                <w:lang w:val="en-GB"/>
              </w:rPr>
            </w:pPr>
          </w:p>
        </w:tc>
        <w:tc>
          <w:tcPr>
            <w:tcW w:w="706" w:type="pct"/>
          </w:tcPr>
          <w:p w14:paraId="54CFAE99" w14:textId="2B5BCE21" w:rsidR="00B71CA3" w:rsidRPr="00746DB3" w:rsidRDefault="00B71CA3" w:rsidP="00B71CA3">
            <w:pPr>
              <w:jc w:val="center"/>
              <w:rPr>
                <w:sz w:val="20"/>
                <w:szCs w:val="20"/>
                <w:lang w:val="en-GB"/>
              </w:rPr>
            </w:pPr>
          </w:p>
        </w:tc>
        <w:tc>
          <w:tcPr>
            <w:tcW w:w="706" w:type="pct"/>
          </w:tcPr>
          <w:p w14:paraId="3E6A06A3" w14:textId="77777777" w:rsidR="00B71CA3" w:rsidRPr="00746DB3" w:rsidRDefault="00B71CA3" w:rsidP="00B71CA3">
            <w:pPr>
              <w:jc w:val="center"/>
              <w:rPr>
                <w:sz w:val="20"/>
                <w:szCs w:val="20"/>
                <w:lang w:val="en-GB"/>
              </w:rPr>
            </w:pPr>
          </w:p>
        </w:tc>
        <w:tc>
          <w:tcPr>
            <w:tcW w:w="706" w:type="pct"/>
          </w:tcPr>
          <w:p w14:paraId="048D7A01" w14:textId="02B883DD" w:rsidR="00B71CA3" w:rsidRPr="00746DB3" w:rsidRDefault="00B71CA3" w:rsidP="00B71CA3">
            <w:pPr>
              <w:jc w:val="center"/>
              <w:rPr>
                <w:sz w:val="20"/>
                <w:szCs w:val="20"/>
                <w:lang w:val="en-GB"/>
              </w:rPr>
            </w:pPr>
            <w:r w:rsidRPr="00F05BE8">
              <w:rPr>
                <w:sz w:val="20"/>
                <w:szCs w:val="20"/>
                <w:lang w:val="en-GB"/>
              </w:rPr>
              <w:t>x</w:t>
            </w:r>
          </w:p>
        </w:tc>
        <w:tc>
          <w:tcPr>
            <w:tcW w:w="720" w:type="pct"/>
          </w:tcPr>
          <w:p w14:paraId="3E28DADE" w14:textId="77777777" w:rsidR="00B71CA3" w:rsidRPr="00746DB3" w:rsidRDefault="00B71CA3" w:rsidP="00B71CA3">
            <w:pPr>
              <w:jc w:val="center"/>
              <w:rPr>
                <w:sz w:val="20"/>
                <w:szCs w:val="20"/>
                <w:lang w:val="en-GB"/>
              </w:rPr>
            </w:pPr>
          </w:p>
        </w:tc>
      </w:tr>
      <w:tr w:rsidR="00B71CA3" w:rsidRPr="00402AEC" w14:paraId="73560810" w14:textId="77777777" w:rsidTr="00746DB3">
        <w:tc>
          <w:tcPr>
            <w:tcW w:w="1261" w:type="pct"/>
          </w:tcPr>
          <w:p w14:paraId="6DFDF83D" w14:textId="2002B82D" w:rsidR="00B71CA3" w:rsidRPr="00C03A6B" w:rsidRDefault="00B71CA3" w:rsidP="00B71CA3">
            <w:pPr>
              <w:rPr>
                <w:sz w:val="20"/>
                <w:szCs w:val="20"/>
                <w:highlight w:val="yellow"/>
                <w:lang w:val="en-GB"/>
              </w:rPr>
            </w:pPr>
            <w:r w:rsidRPr="0009509E">
              <w:rPr>
                <w:sz w:val="20"/>
                <w:szCs w:val="20"/>
                <w:lang w:val="en-GB" w:bidi="en-US"/>
              </w:rPr>
              <w:t>(</w:t>
            </w:r>
            <w:r w:rsidRPr="0009509E">
              <w:rPr>
                <w:sz w:val="20"/>
                <w:szCs w:val="20"/>
                <w:lang w:val="en-GB" w:bidi="en-US"/>
              </w:rPr>
              <w:fldChar w:fldCharType="begin" w:fldLock="1"/>
            </w:r>
            <w:r w:rsidR="00BF2F60">
              <w:rPr>
                <w:sz w:val="20"/>
                <w:szCs w:val="20"/>
                <w:lang w:val="en-GB" w:bidi="en-US"/>
              </w:rPr>
              <w:instrText>ADDIN CSL_CITATION {"citationItems":[{"id":"ITEM-1","itemData":{"DOI":"10.1109/EGG.2016.7829847","ISBN":"9783000537639","author":[{"dropping-particle":"","family":"Regenfelder","given":"Max","non-dropping-particle":"","parse-names":false,"suffix":""},{"dropping-particle":"","family":"Slowak","given":"André P","non-dropping-particle":"","parse-names":false,"suffix":""},{"dropping-particle":"","family":"Santacreu","given":"Alejandro","non-dropping-particle":"","parse-names":false,"suffix":""}],"container-title":"EGG 2016 - Electronics Goes Green 2016+","id":"ITEM-1","issued":{"date-parts":[["2016"]]},"page":"1-6","publisher-place":"Berlin, Germany","title":"Closed-Loop Innovation for Mobile Electronics – the Business Model Innovation Approach of the sustainablySMART Project","type":"paper-conference"},"uris":["http://www.mendeley.com/documents/?uuid=946e2d54-5505-4703-955c-06e4f2013f8e","http://www.mendeley.com/documents/?uuid=7c2c3ddf-91de-44c1-84ad-51e46538c214"]}],"mendeley":{"formattedCitation":"(Regenfelder et al., 2016)","manualFormatting":"Regenfelder et al. 2016)","plainTextFormattedCitation":"(Regenfelder et al., 2016)","previouslyFormattedCitation":"(Regenfelder et al., 2016)"},"properties":{"noteIndex":0},"schema":"https://github.com/citation-style-language/schema/raw/master/csl-citation.json"}</w:instrText>
            </w:r>
            <w:r w:rsidRPr="0009509E">
              <w:rPr>
                <w:sz w:val="20"/>
                <w:szCs w:val="20"/>
                <w:lang w:val="en-GB" w:bidi="en-US"/>
              </w:rPr>
              <w:fldChar w:fldCharType="separate"/>
            </w:r>
            <w:r w:rsidRPr="0009509E">
              <w:rPr>
                <w:noProof/>
                <w:sz w:val="20"/>
                <w:szCs w:val="20"/>
                <w:lang w:val="en-GB" w:bidi="en-US"/>
              </w:rPr>
              <w:t>Regenfelder et al. 2016)</w:t>
            </w:r>
            <w:r w:rsidRPr="0009509E">
              <w:rPr>
                <w:sz w:val="20"/>
                <w:szCs w:val="20"/>
                <w:lang w:val="en-GB" w:bidi="en-US"/>
              </w:rPr>
              <w:fldChar w:fldCharType="end"/>
            </w:r>
          </w:p>
        </w:tc>
        <w:tc>
          <w:tcPr>
            <w:tcW w:w="901" w:type="pct"/>
          </w:tcPr>
          <w:p w14:paraId="43292AFB" w14:textId="1826DCBE" w:rsidR="00B71CA3" w:rsidRPr="00746DB3" w:rsidRDefault="00B71CA3" w:rsidP="00B71CA3">
            <w:pPr>
              <w:jc w:val="center"/>
              <w:rPr>
                <w:sz w:val="20"/>
                <w:szCs w:val="20"/>
                <w:lang w:val="en-GB"/>
              </w:rPr>
            </w:pPr>
          </w:p>
        </w:tc>
        <w:tc>
          <w:tcPr>
            <w:tcW w:w="706" w:type="pct"/>
          </w:tcPr>
          <w:p w14:paraId="1D62AB8A" w14:textId="7BFF9C94" w:rsidR="00B71CA3" w:rsidRPr="00746DB3" w:rsidRDefault="00B71CA3" w:rsidP="00B71CA3">
            <w:pPr>
              <w:jc w:val="center"/>
              <w:rPr>
                <w:sz w:val="20"/>
                <w:szCs w:val="20"/>
                <w:lang w:val="en-GB"/>
              </w:rPr>
            </w:pPr>
          </w:p>
        </w:tc>
        <w:tc>
          <w:tcPr>
            <w:tcW w:w="706" w:type="pct"/>
          </w:tcPr>
          <w:p w14:paraId="6D5B8421" w14:textId="77777777" w:rsidR="00B71CA3" w:rsidRPr="00746DB3" w:rsidRDefault="00B71CA3" w:rsidP="00B71CA3">
            <w:pPr>
              <w:jc w:val="center"/>
              <w:rPr>
                <w:sz w:val="20"/>
                <w:szCs w:val="20"/>
                <w:lang w:val="en-GB"/>
              </w:rPr>
            </w:pPr>
          </w:p>
        </w:tc>
        <w:tc>
          <w:tcPr>
            <w:tcW w:w="706" w:type="pct"/>
          </w:tcPr>
          <w:p w14:paraId="6AE8CC43" w14:textId="650B9EDB" w:rsidR="00B71CA3" w:rsidRPr="00746DB3" w:rsidRDefault="00B71CA3" w:rsidP="00B71CA3">
            <w:pPr>
              <w:jc w:val="center"/>
              <w:rPr>
                <w:sz w:val="20"/>
                <w:szCs w:val="20"/>
                <w:lang w:val="en-GB"/>
              </w:rPr>
            </w:pPr>
          </w:p>
        </w:tc>
        <w:tc>
          <w:tcPr>
            <w:tcW w:w="720" w:type="pct"/>
          </w:tcPr>
          <w:p w14:paraId="64503033" w14:textId="2F33018D" w:rsidR="00B71CA3" w:rsidRPr="00746DB3" w:rsidRDefault="00B71CA3" w:rsidP="00B71CA3">
            <w:pPr>
              <w:jc w:val="center"/>
              <w:rPr>
                <w:sz w:val="20"/>
                <w:szCs w:val="20"/>
                <w:lang w:val="en-GB"/>
              </w:rPr>
            </w:pPr>
            <w:r w:rsidRPr="0009509E">
              <w:rPr>
                <w:sz w:val="20"/>
                <w:szCs w:val="20"/>
                <w:lang w:val="en-GB"/>
              </w:rPr>
              <w:t>x</w:t>
            </w:r>
          </w:p>
        </w:tc>
      </w:tr>
      <w:tr w:rsidR="00B71CA3" w:rsidRPr="00402AEC" w14:paraId="5D531303" w14:textId="77777777" w:rsidTr="00746DB3">
        <w:tc>
          <w:tcPr>
            <w:tcW w:w="1261" w:type="pct"/>
          </w:tcPr>
          <w:p w14:paraId="628C1212" w14:textId="475EB680" w:rsidR="00B71CA3" w:rsidRPr="00746DB3" w:rsidRDefault="00B71CA3" w:rsidP="00B71CA3">
            <w:pPr>
              <w:rPr>
                <w:sz w:val="20"/>
                <w:szCs w:val="20"/>
                <w:lang w:val="en-GB" w:bidi="en-US"/>
              </w:rPr>
            </w:pPr>
            <w:r w:rsidRPr="00037E98">
              <w:rPr>
                <w:sz w:val="20"/>
                <w:szCs w:val="20"/>
                <w:lang w:val="en-GB" w:bidi="en-US"/>
              </w:rPr>
              <w:t>(</w:t>
            </w:r>
            <w:r w:rsidRPr="00037E98">
              <w:rPr>
                <w:sz w:val="20"/>
                <w:szCs w:val="20"/>
                <w:lang w:val="en-GB" w:bidi="en-US"/>
              </w:rPr>
              <w:fldChar w:fldCharType="begin" w:fldLock="1"/>
            </w:r>
            <w:r w:rsidR="00BF2F60">
              <w:rPr>
                <w:sz w:val="20"/>
                <w:szCs w:val="20"/>
                <w:lang w:val="en-GB" w:bidi="en-US"/>
              </w:rPr>
              <w:instrText>ADDIN CSL_CITATION {"citationItems":[{"id":"ITEM-1","itemData":{"author":[{"dropping-particle":"","family":"Sarasini","given":"Steven","non-dropping-particle":"","parse-names":false,"suffix":""},{"dropping-particle":"","family":"Linder","given":"Marcus","non-dropping-particle":"","parse-names":false,"suffix":""},{"dropping-particle":"","family":"Langeland","given":"Ove","non-dropping-particle":"","parse-names":false,"suffix":""},{"dropping-particle":"","family":"Julsrud","given":"Tom-Erik","non-dropping-particle":"","parse-names":false,"suffix":""}],"container-title":"IST conference 2016","id":"ITEM-1","issued":{"date-parts":[["2016"]]},"page":"1-28","title":"Integrating a business model perspective into sustainability transitions: A research agenda based on servitised mobility","type":"paper-conference"},"uris":["http://www.mendeley.com/documents/?uuid=0ae94f4d-97c1-4108-9d7a-3ec55d3d3537","http://www.mendeley.com/documents/?uuid=ac1716d2-bd56-4383-b0a2-d9706ce05740"]}],"mendeley":{"formattedCitation":"(Sarasini et al., 2016)","manualFormatting":"Sarasini et al. 2016)","plainTextFormattedCitation":"(Sarasini et al., 2016)","previouslyFormattedCitation":"(Sarasini et al., 2016)"},"properties":{"noteIndex":0},"schema":"https://github.com/citation-style-language/schema/raw/master/csl-citation.json"}</w:instrText>
            </w:r>
            <w:r w:rsidRPr="00037E98">
              <w:rPr>
                <w:sz w:val="20"/>
                <w:szCs w:val="20"/>
                <w:lang w:val="en-GB" w:bidi="en-US"/>
              </w:rPr>
              <w:fldChar w:fldCharType="separate"/>
            </w:r>
            <w:r w:rsidRPr="00037E98">
              <w:rPr>
                <w:noProof/>
                <w:sz w:val="20"/>
                <w:szCs w:val="20"/>
                <w:lang w:val="en-GB" w:bidi="en-US"/>
              </w:rPr>
              <w:t>Sarasini et al. 2016)</w:t>
            </w:r>
            <w:r w:rsidRPr="00037E98">
              <w:rPr>
                <w:sz w:val="20"/>
                <w:szCs w:val="20"/>
                <w:lang w:val="en-GB" w:bidi="en-US"/>
              </w:rPr>
              <w:fldChar w:fldCharType="end"/>
            </w:r>
          </w:p>
        </w:tc>
        <w:tc>
          <w:tcPr>
            <w:tcW w:w="901" w:type="pct"/>
          </w:tcPr>
          <w:p w14:paraId="329E1687" w14:textId="77777777" w:rsidR="00B71CA3" w:rsidRPr="00746DB3" w:rsidRDefault="00B71CA3" w:rsidP="00B71CA3">
            <w:pPr>
              <w:jc w:val="center"/>
              <w:rPr>
                <w:sz w:val="20"/>
                <w:szCs w:val="20"/>
                <w:lang w:val="en-GB"/>
              </w:rPr>
            </w:pPr>
          </w:p>
        </w:tc>
        <w:tc>
          <w:tcPr>
            <w:tcW w:w="706" w:type="pct"/>
          </w:tcPr>
          <w:p w14:paraId="75D318A6" w14:textId="77777777" w:rsidR="00B71CA3" w:rsidRPr="00746DB3" w:rsidRDefault="00B71CA3" w:rsidP="00B71CA3">
            <w:pPr>
              <w:jc w:val="center"/>
              <w:rPr>
                <w:sz w:val="20"/>
                <w:szCs w:val="20"/>
                <w:lang w:val="en-GB"/>
              </w:rPr>
            </w:pPr>
          </w:p>
        </w:tc>
        <w:tc>
          <w:tcPr>
            <w:tcW w:w="706" w:type="pct"/>
          </w:tcPr>
          <w:p w14:paraId="3E658FD1" w14:textId="77777777" w:rsidR="00B71CA3" w:rsidRPr="00746DB3" w:rsidRDefault="00B71CA3" w:rsidP="00B71CA3">
            <w:pPr>
              <w:jc w:val="center"/>
              <w:rPr>
                <w:sz w:val="20"/>
                <w:szCs w:val="20"/>
                <w:lang w:val="en-GB"/>
              </w:rPr>
            </w:pPr>
          </w:p>
        </w:tc>
        <w:tc>
          <w:tcPr>
            <w:tcW w:w="706" w:type="pct"/>
          </w:tcPr>
          <w:p w14:paraId="594B13F9" w14:textId="7843F130" w:rsidR="00B71CA3" w:rsidRPr="00746DB3" w:rsidRDefault="00B71CA3" w:rsidP="00B71CA3">
            <w:pPr>
              <w:jc w:val="center"/>
              <w:rPr>
                <w:sz w:val="20"/>
                <w:szCs w:val="20"/>
                <w:lang w:val="en-GB"/>
              </w:rPr>
            </w:pPr>
            <w:r w:rsidRPr="00037E98">
              <w:rPr>
                <w:sz w:val="20"/>
                <w:szCs w:val="20"/>
                <w:lang w:val="en-GB"/>
              </w:rPr>
              <w:t>x</w:t>
            </w:r>
          </w:p>
        </w:tc>
        <w:tc>
          <w:tcPr>
            <w:tcW w:w="720" w:type="pct"/>
          </w:tcPr>
          <w:p w14:paraId="2631BE02" w14:textId="77777777" w:rsidR="00B71CA3" w:rsidRPr="00746DB3" w:rsidRDefault="00B71CA3" w:rsidP="00B71CA3">
            <w:pPr>
              <w:jc w:val="center"/>
              <w:rPr>
                <w:sz w:val="20"/>
                <w:szCs w:val="20"/>
                <w:lang w:val="en-GB"/>
              </w:rPr>
            </w:pPr>
          </w:p>
        </w:tc>
      </w:tr>
      <w:tr w:rsidR="007F28F6" w:rsidRPr="00402AEC" w14:paraId="791D15E9" w14:textId="77777777" w:rsidTr="00746DB3">
        <w:tc>
          <w:tcPr>
            <w:tcW w:w="1261" w:type="pct"/>
          </w:tcPr>
          <w:p w14:paraId="23A64217" w14:textId="40C8FE71" w:rsidR="007F28F6" w:rsidRPr="00746DB3" w:rsidRDefault="007F28F6" w:rsidP="007F28F6">
            <w:pPr>
              <w:rPr>
                <w:sz w:val="20"/>
                <w:szCs w:val="20"/>
                <w:lang w:val="en-GB" w:bidi="en-US"/>
              </w:rPr>
            </w:pPr>
            <w:r w:rsidRPr="00A836DB">
              <w:rPr>
                <w:sz w:val="20"/>
                <w:szCs w:val="20"/>
                <w:lang w:val="en-GB" w:bidi="en-US"/>
              </w:rPr>
              <w:t>(</w:t>
            </w:r>
            <w:r w:rsidRPr="00A836DB">
              <w:rPr>
                <w:sz w:val="20"/>
                <w:szCs w:val="20"/>
                <w:lang w:val="en-GB" w:bidi="en-US"/>
              </w:rPr>
              <w:fldChar w:fldCharType="begin" w:fldLock="1"/>
            </w:r>
            <w:r w:rsidR="00BF2F60">
              <w:rPr>
                <w:sz w:val="20"/>
                <w:szCs w:val="20"/>
                <w:lang w:val="en-GB" w:bidi="en-US"/>
              </w:rPr>
              <w:instrText>ADDIN CSL_CITATION {"citationItems":[{"id":"ITEM-1","itemData":{"DOI":"10.1016/j.jclepro.2016.05.018","ISBN":"0959-6526","ISSN":"09596526","abstract":"Excessive industrialization is creating enormous economic gaps, chaos and unequal societies that are approaching dangerous limits. Simultaneously, large quantities of residues, waste and ecological footprints have been created in detriment to the natural environment and the quality of life of most of the planet's population, mainly in developing regions. This presents most innovators with a new dilemma: Invest in sustainable long-Term projects with low economic returns, or innovate in short-Term incremental production and negotiate the environmental harm caused by an excessive industrialization. In fact, a significant milestone emerges from these arguments. Somehow, we must reverse the perverse cycle created by industrialization and transform the current ecological footprint into valuable assets, for all sub-systems of the biosphere. A proposal has been designed to go beyond sustainability and create sustainable wealth, based on the modification of the conventional growth paradigm, that can be used to regenerate regional natural resources and simultaneously be economically competitive and capable of offering important social benefits to the community. The proposed framework, SWIT (Sustainable Wealth creation based on Innovation and Technology) has been developed to provide multiple businesses of zero-value residue industrial ecology processes (ZRIES), inserted into circular value ecosystems (CVES), all managed and governed by a sustainable sharing value system for the benefit of a community. Several cases of the application of the sustainable wealth creation framework, mainly in developing countries, are described.","author":[{"dropping-particle":"","family":"Scheel","given":"Carlos","non-dropping-particle":"","parse-names":false,"suffix":""}],"container-title":"Journal of Cleaner Production","id":"ITEM-1","issued":{"date-parts":[["2016"]]},"page":"376-386","publisher":"Elsevier Ltd","title":"Beyond sustainability. Transforming industrial zero-valued residues into increasing economic returns","type":"article-journal","volume":"131"},"uris":["http://www.mendeley.com/documents/?uuid=78e94954-0404-439b-8425-7ba03faefc78","http://www.mendeley.com/documents/?uuid=49e6adf2-7120-4abd-a556-34e147482589"]}],"mendeley":{"formattedCitation":"(Scheel, 2016)","manualFormatting":"Scheel 2016)","plainTextFormattedCitation":"(Scheel, 2016)","previouslyFormattedCitation":"(Scheel, 2016)"},"properties":{"noteIndex":0},"schema":"https://github.com/citation-style-language/schema/raw/master/csl-citation.json"}</w:instrText>
            </w:r>
            <w:r w:rsidRPr="00A836DB">
              <w:rPr>
                <w:sz w:val="20"/>
                <w:szCs w:val="20"/>
                <w:lang w:val="en-GB" w:bidi="en-US"/>
              </w:rPr>
              <w:fldChar w:fldCharType="separate"/>
            </w:r>
            <w:r w:rsidRPr="00A836DB">
              <w:rPr>
                <w:noProof/>
                <w:sz w:val="20"/>
                <w:szCs w:val="20"/>
                <w:lang w:val="en-GB" w:bidi="en-US"/>
              </w:rPr>
              <w:t>Scheel 2016)</w:t>
            </w:r>
            <w:r w:rsidRPr="00A836DB">
              <w:rPr>
                <w:sz w:val="20"/>
                <w:szCs w:val="20"/>
                <w:lang w:val="en-GB" w:bidi="en-US"/>
              </w:rPr>
              <w:fldChar w:fldCharType="end"/>
            </w:r>
          </w:p>
        </w:tc>
        <w:tc>
          <w:tcPr>
            <w:tcW w:w="901" w:type="pct"/>
          </w:tcPr>
          <w:p w14:paraId="3C4232A4" w14:textId="77777777" w:rsidR="007F28F6" w:rsidRPr="00746DB3" w:rsidRDefault="007F28F6" w:rsidP="007F28F6">
            <w:pPr>
              <w:jc w:val="center"/>
              <w:rPr>
                <w:sz w:val="20"/>
                <w:szCs w:val="20"/>
                <w:lang w:val="en-GB"/>
              </w:rPr>
            </w:pPr>
          </w:p>
        </w:tc>
        <w:tc>
          <w:tcPr>
            <w:tcW w:w="706" w:type="pct"/>
          </w:tcPr>
          <w:p w14:paraId="529D7F97" w14:textId="77777777" w:rsidR="007F28F6" w:rsidRPr="00746DB3" w:rsidRDefault="007F28F6" w:rsidP="007F28F6">
            <w:pPr>
              <w:jc w:val="center"/>
              <w:rPr>
                <w:sz w:val="20"/>
                <w:szCs w:val="20"/>
                <w:lang w:val="en-GB"/>
              </w:rPr>
            </w:pPr>
          </w:p>
        </w:tc>
        <w:tc>
          <w:tcPr>
            <w:tcW w:w="706" w:type="pct"/>
          </w:tcPr>
          <w:p w14:paraId="7F349EAA" w14:textId="77777777" w:rsidR="007F28F6" w:rsidRPr="00746DB3" w:rsidRDefault="007F28F6" w:rsidP="007F28F6">
            <w:pPr>
              <w:jc w:val="center"/>
              <w:rPr>
                <w:sz w:val="20"/>
                <w:szCs w:val="20"/>
                <w:lang w:val="en-GB"/>
              </w:rPr>
            </w:pPr>
          </w:p>
        </w:tc>
        <w:tc>
          <w:tcPr>
            <w:tcW w:w="706" w:type="pct"/>
          </w:tcPr>
          <w:p w14:paraId="20B7E5A8" w14:textId="31772D7A" w:rsidR="007F28F6" w:rsidRPr="00746DB3" w:rsidRDefault="007F28F6" w:rsidP="007F28F6">
            <w:pPr>
              <w:jc w:val="center"/>
              <w:rPr>
                <w:sz w:val="20"/>
                <w:szCs w:val="20"/>
                <w:lang w:val="en-GB"/>
              </w:rPr>
            </w:pPr>
          </w:p>
        </w:tc>
        <w:tc>
          <w:tcPr>
            <w:tcW w:w="720" w:type="pct"/>
          </w:tcPr>
          <w:p w14:paraId="643FA801" w14:textId="48EFF698" w:rsidR="007F28F6" w:rsidRPr="00746DB3" w:rsidRDefault="007F28F6" w:rsidP="007F28F6">
            <w:pPr>
              <w:jc w:val="center"/>
              <w:rPr>
                <w:sz w:val="20"/>
                <w:szCs w:val="20"/>
                <w:lang w:val="en-GB"/>
              </w:rPr>
            </w:pPr>
            <w:r w:rsidRPr="00A836DB">
              <w:rPr>
                <w:sz w:val="20"/>
                <w:szCs w:val="20"/>
                <w:lang w:val="en-GB"/>
              </w:rPr>
              <w:t>x</w:t>
            </w:r>
          </w:p>
        </w:tc>
      </w:tr>
      <w:tr w:rsidR="007F28F6" w:rsidRPr="00402AEC" w14:paraId="3E99860F" w14:textId="77777777" w:rsidTr="00746DB3">
        <w:tc>
          <w:tcPr>
            <w:tcW w:w="1261" w:type="pct"/>
          </w:tcPr>
          <w:p w14:paraId="7C6F6CAA" w14:textId="304C4025" w:rsidR="007F28F6" w:rsidRPr="00746DB3" w:rsidRDefault="007F28F6" w:rsidP="007F28F6">
            <w:pPr>
              <w:rPr>
                <w:sz w:val="20"/>
                <w:szCs w:val="20"/>
                <w:lang w:bidi="en-US"/>
              </w:rPr>
            </w:pPr>
            <w:r w:rsidRPr="00746DB3">
              <w:rPr>
                <w:sz w:val="20"/>
                <w:szCs w:val="20"/>
                <w:lang w:bidi="en-US"/>
              </w:rPr>
              <w:t>(</w:t>
            </w:r>
            <w:r w:rsidRPr="00EC414A">
              <w:rPr>
                <w:sz w:val="20"/>
                <w:szCs w:val="20"/>
                <w:lang w:val="en-GB" w:bidi="en-US"/>
              </w:rPr>
              <w:fldChar w:fldCharType="begin" w:fldLock="1"/>
            </w:r>
            <w:r w:rsidR="003027D4">
              <w:rPr>
                <w:sz w:val="20"/>
                <w:szCs w:val="20"/>
                <w:lang w:bidi="en-US"/>
              </w:rPr>
              <w:instrText>ADDIN CSL_CITATION {"citationItems":[{"id":"ITEM-1","itemData":{"DOI":"10.1016/j.resconrec.2017.10.033","ISBN":"09213449 (ISSN)","ISSN":"18790658","abstract":"The shift to a circular economy (CE) is associated with the need to implement innovative business models, but the adoption of circular business strategies in the industry has been limited. In fact, manufacturing companies face a range of challenges when transitioning toward such strategies, yet these challenges are rarely discussed in practice. This paper investigates the challenges faced by a manufacturing firm when implementing a circular business model and the solutions adopted to overcome them. A case-based research design was adopted in this study. The main challenges for circular business implementation faced by companies were identified in the literature and applied as lenses for examining the transition to a new circular business strategy in the company under analysis. Data analysis involved working with the data from the ground up to identify solutions for overcoming the challenges. The main findings reveal that changes needed for implementing a circular business model are achieved by integrating and engaging multiple organizational functions, each of which is complementary and mutually supportive. The involvement and collaboration of multiple stakeholders play an important role in circular business model implementation and operation. Moreover, the implementation of such models should consider specific contextual aspects of the business in question, i.e., alignment between external conditions and the business model should occur. A deeper understanding of the development of other types of circular business models in distinct contexts, and the capabilities necessary to develop and implement them, is recommended for further research.","author":[{"dropping-particle":"","family":"Sousa-Zomer","given":"Thayla T.","non-dropping-particle":"","parse-names":false,"suffix":""},{"dropping-particle":"","family":"Magalhães","given":"Lucas","non-dropping-particle":"","parse-names":false,"suffix":""},{"dropping-particle":"","family":"Zancul","given":"Eduardo","non-dropping-particle":"","parse-names":false,"suffix":""},{"dropping-particle":"","family":"Cauchick-Miguel","given":"Paulo A.","non-dropping-particle":"","parse-names":false,"suffix":""}],"container-title":"Resources, Conservation and Recycling","id":"ITEM-1","issued":{"date-parts":[["2018"]]},"page":"3-13","publisher":"Elsevier","title":"Exploring the challenges for circular business implementation in manufacturing companies: An empirical investigation of a pay-per-use service provider","type":"article-journal","volume":"135"},"uris":["http://www.mendeley.com/documents/?uuid=e835d735-9b72-4c2a-a22c-256eafc5310e","http://www.mendeley.com/documents/?uuid=5197b388-8813-44f6-a50d-d269fc418745"]}],"mendeley":{"formattedCitation":"(Sousa-Zomer et al., 2018)","manualFormatting":"Sousa-Zomer et al. 2017a)","plainTextFormattedCitation":"(Sousa-Zomer et al., 2018)","previouslyFormattedCitation":"(Sousa-Zomer et al., 2018)"},"properties":{"noteIndex":0},"schema":"https://github.com/citation-style-language/schema/raw/master/csl-citation.json"}</w:instrText>
            </w:r>
            <w:r w:rsidRPr="00EC414A">
              <w:rPr>
                <w:sz w:val="20"/>
                <w:szCs w:val="20"/>
                <w:lang w:val="en-GB" w:bidi="en-US"/>
              </w:rPr>
              <w:fldChar w:fldCharType="separate"/>
            </w:r>
            <w:r w:rsidRPr="00746DB3">
              <w:rPr>
                <w:noProof/>
                <w:sz w:val="20"/>
                <w:szCs w:val="20"/>
                <w:lang w:bidi="en-US"/>
              </w:rPr>
              <w:t>Sousa-Zomer et al. 2017a)</w:t>
            </w:r>
            <w:r w:rsidRPr="00EC414A">
              <w:rPr>
                <w:sz w:val="20"/>
                <w:szCs w:val="20"/>
                <w:lang w:val="en-GB" w:bidi="en-US"/>
              </w:rPr>
              <w:fldChar w:fldCharType="end"/>
            </w:r>
          </w:p>
        </w:tc>
        <w:tc>
          <w:tcPr>
            <w:tcW w:w="901" w:type="pct"/>
          </w:tcPr>
          <w:p w14:paraId="59A8B762" w14:textId="77777777" w:rsidR="007F28F6" w:rsidRPr="00746DB3" w:rsidRDefault="007F28F6" w:rsidP="007F28F6">
            <w:pPr>
              <w:jc w:val="center"/>
              <w:rPr>
                <w:sz w:val="20"/>
                <w:szCs w:val="20"/>
              </w:rPr>
            </w:pPr>
          </w:p>
        </w:tc>
        <w:tc>
          <w:tcPr>
            <w:tcW w:w="706" w:type="pct"/>
          </w:tcPr>
          <w:p w14:paraId="38900DBC" w14:textId="77777777" w:rsidR="007F28F6" w:rsidRPr="00746DB3" w:rsidRDefault="007F28F6" w:rsidP="007F28F6">
            <w:pPr>
              <w:jc w:val="center"/>
              <w:rPr>
                <w:sz w:val="20"/>
                <w:szCs w:val="20"/>
              </w:rPr>
            </w:pPr>
          </w:p>
        </w:tc>
        <w:tc>
          <w:tcPr>
            <w:tcW w:w="706" w:type="pct"/>
          </w:tcPr>
          <w:p w14:paraId="096BA4B1" w14:textId="77777777" w:rsidR="007F28F6" w:rsidRPr="00746DB3" w:rsidRDefault="007F28F6" w:rsidP="007F28F6">
            <w:pPr>
              <w:jc w:val="center"/>
              <w:rPr>
                <w:sz w:val="20"/>
                <w:szCs w:val="20"/>
              </w:rPr>
            </w:pPr>
          </w:p>
        </w:tc>
        <w:tc>
          <w:tcPr>
            <w:tcW w:w="706" w:type="pct"/>
          </w:tcPr>
          <w:p w14:paraId="0199C10B" w14:textId="1BCE3124" w:rsidR="007F28F6" w:rsidRPr="00746DB3" w:rsidRDefault="007F28F6" w:rsidP="007F28F6">
            <w:pPr>
              <w:jc w:val="center"/>
              <w:rPr>
                <w:sz w:val="20"/>
                <w:szCs w:val="20"/>
                <w:lang w:val="en-GB"/>
              </w:rPr>
            </w:pPr>
            <w:r w:rsidRPr="00EC414A">
              <w:rPr>
                <w:sz w:val="20"/>
                <w:szCs w:val="20"/>
                <w:lang w:val="en-GB"/>
              </w:rPr>
              <w:t>x</w:t>
            </w:r>
          </w:p>
        </w:tc>
        <w:tc>
          <w:tcPr>
            <w:tcW w:w="720" w:type="pct"/>
          </w:tcPr>
          <w:p w14:paraId="37FEA1FF" w14:textId="77777777" w:rsidR="007F28F6" w:rsidRPr="00746DB3" w:rsidRDefault="007F28F6" w:rsidP="007F28F6">
            <w:pPr>
              <w:jc w:val="center"/>
              <w:rPr>
                <w:sz w:val="20"/>
                <w:szCs w:val="20"/>
                <w:lang w:val="en-GB"/>
              </w:rPr>
            </w:pPr>
          </w:p>
        </w:tc>
      </w:tr>
      <w:tr w:rsidR="007F28F6" w:rsidRPr="00402AEC" w14:paraId="43D3DE84" w14:textId="77777777" w:rsidTr="00746DB3">
        <w:tc>
          <w:tcPr>
            <w:tcW w:w="1261" w:type="pct"/>
          </w:tcPr>
          <w:p w14:paraId="21C230B1" w14:textId="5722BC53" w:rsidR="007F28F6" w:rsidRPr="00746DB3" w:rsidRDefault="007F28F6" w:rsidP="007F28F6">
            <w:pPr>
              <w:rPr>
                <w:sz w:val="20"/>
                <w:szCs w:val="20"/>
                <w:lang w:val="en-GB" w:bidi="en-US"/>
              </w:rPr>
            </w:pPr>
            <w:r w:rsidRPr="00EC414A">
              <w:rPr>
                <w:sz w:val="20"/>
                <w:szCs w:val="20"/>
                <w:lang w:val="en-GB" w:bidi="en-US"/>
              </w:rPr>
              <w:t>(</w:t>
            </w:r>
            <w:r w:rsidRPr="00EC414A">
              <w:rPr>
                <w:sz w:val="20"/>
                <w:szCs w:val="20"/>
                <w:lang w:val="en-GB" w:bidi="en-US"/>
              </w:rPr>
              <w:fldChar w:fldCharType="begin" w:fldLock="1"/>
            </w:r>
            <w:r w:rsidR="003027D4">
              <w:rPr>
                <w:sz w:val="20"/>
                <w:szCs w:val="20"/>
                <w:lang w:val="en-GB" w:bidi="en-US"/>
              </w:rPr>
              <w:instrText>ADDIN CSL_CITATION {"citationItems":[{"id":"ITEM-1","itemData":{"DOI":"10.1016/j.procir.2017.03.041","ISBN":"22128271 (ISSN)","ISSN":"22128271","abstract":"Product-Service Systems (PSS) have been discussed as promising business strategies towards a circular economy (CE). However, PSS solutions are not necessarily more sustainable. PSS lifecycle management may play an important role to improve the offering and achieve sustainability benefits. Nevertheless, bottom-up issues for CE implementation in the industry such as lifecycle management are still little discussed in the literature. In this sense, this paper aims to explore a PSS business strategy adopted by a large white goods manufacturer that transitioned from a linear to a circular business, and the practices applied throughout the entire lifecycle that may be valuable to achieve CE requirements. A case-based approach was employed in this study and multiple sources of evidence were considered. Data were analyzed in the light of the literature, considering an inductive approach. The main preliminary findings suggest that resources consumption reduction and cost savings can be obtained through lifecycle management practices that take into consideration CE issues since the beginning of life of the PSS offering. Design practices, the adoption of different strategies at the end of life (reuse/remanufacturing or recycle), and the implementation of cleaner production practices are some of the identified practices that can contribute to achieve resource efficiency and CE requirements. This is a work in progress and further work is going to focus on a quantitative analysis of the environmental and economic performance of this PSS. In addition, as this study focused on a use-oriented PSS, future research may compare lifecycle management practices adopted by other and distinct PSS categories, and how different lifecycle management practices may contribute to achieving resource efficiency.","author":[{"dropping-particle":"","family":"Sousa-Zomer","given":"Thayla T.","non-dropping-particle":"","parse-names":false,"suffix":""},{"dropping-particle":"","family":"Magalhães","given":"Lucas","non-dropping-particle":"","parse-names":false,"suffix":""},{"dropping-particle":"","family":"Zancul","given":"Eduardo","non-dropping-particle":"","parse-names":false,"suffix":""},{"dropping-particle":"","family":"Cauchick-Miguel","given":"Paulo A.","non-dropping-particle":"","parse-names":false,"suffix":""}],"container-title":"Procedia CIRP","id":"ITEM-1","issued":{"date-parts":[["2017"]]},"page":"31-36","publisher":"The Author(s)","title":"Lifecycle Management of Product-service Systems: A Preliminary Investigation of a White Goods Manufacturer","type":"article-journal","volume":"64"},"uris":["http://www.mendeley.com/documents/?uuid=5db78f35-b2d2-47e3-ad8d-9daad9d06ee0","http://www.mendeley.com/documents/?uuid=05d94f98-8107-48d9-ac4b-174f7818f727"]}],"mendeley":{"formattedCitation":"(Sousa-Zomer et al., 2017)","manualFormatting":"Sousa-Zomer et al. 2017b)","plainTextFormattedCitation":"(Sousa-Zomer et al., 2017)","previouslyFormattedCitation":"(Sousa-Zomer et al., 2017)"},"properties":{"noteIndex":0},"schema":"https://github.com/citation-style-language/schema/raw/master/csl-citation.json"}</w:instrText>
            </w:r>
            <w:r w:rsidRPr="00EC414A">
              <w:rPr>
                <w:sz w:val="20"/>
                <w:szCs w:val="20"/>
                <w:lang w:val="en-GB" w:bidi="en-US"/>
              </w:rPr>
              <w:fldChar w:fldCharType="separate"/>
            </w:r>
            <w:r w:rsidRPr="00EC414A">
              <w:rPr>
                <w:noProof/>
                <w:sz w:val="20"/>
                <w:szCs w:val="20"/>
                <w:lang w:val="en-GB" w:bidi="en-US"/>
              </w:rPr>
              <w:t>Sousa-Zomer et al. 2017b)</w:t>
            </w:r>
            <w:r w:rsidRPr="00EC414A">
              <w:rPr>
                <w:sz w:val="20"/>
                <w:szCs w:val="20"/>
                <w:lang w:val="en-GB" w:bidi="en-US"/>
              </w:rPr>
              <w:fldChar w:fldCharType="end"/>
            </w:r>
          </w:p>
        </w:tc>
        <w:tc>
          <w:tcPr>
            <w:tcW w:w="901" w:type="pct"/>
          </w:tcPr>
          <w:p w14:paraId="31D2B8C3" w14:textId="77777777" w:rsidR="007F28F6" w:rsidRPr="00746DB3" w:rsidRDefault="007F28F6" w:rsidP="007F28F6">
            <w:pPr>
              <w:jc w:val="center"/>
              <w:rPr>
                <w:sz w:val="20"/>
                <w:szCs w:val="20"/>
                <w:lang w:val="en-GB"/>
              </w:rPr>
            </w:pPr>
          </w:p>
        </w:tc>
        <w:tc>
          <w:tcPr>
            <w:tcW w:w="706" w:type="pct"/>
          </w:tcPr>
          <w:p w14:paraId="7C06EF19" w14:textId="77777777" w:rsidR="007F28F6" w:rsidRPr="00746DB3" w:rsidRDefault="007F28F6" w:rsidP="007F28F6">
            <w:pPr>
              <w:jc w:val="center"/>
              <w:rPr>
                <w:sz w:val="20"/>
                <w:szCs w:val="20"/>
                <w:lang w:val="en-GB"/>
              </w:rPr>
            </w:pPr>
          </w:p>
        </w:tc>
        <w:tc>
          <w:tcPr>
            <w:tcW w:w="706" w:type="pct"/>
          </w:tcPr>
          <w:p w14:paraId="310F7F41" w14:textId="77777777" w:rsidR="007F28F6" w:rsidRPr="00746DB3" w:rsidRDefault="007F28F6" w:rsidP="007F28F6">
            <w:pPr>
              <w:jc w:val="center"/>
              <w:rPr>
                <w:sz w:val="20"/>
                <w:szCs w:val="20"/>
                <w:lang w:val="en-GB"/>
              </w:rPr>
            </w:pPr>
          </w:p>
        </w:tc>
        <w:tc>
          <w:tcPr>
            <w:tcW w:w="706" w:type="pct"/>
          </w:tcPr>
          <w:p w14:paraId="3A91AD1E" w14:textId="3E0E6D7E" w:rsidR="007F28F6" w:rsidRPr="00746DB3" w:rsidRDefault="007F28F6" w:rsidP="007F28F6">
            <w:pPr>
              <w:jc w:val="center"/>
              <w:rPr>
                <w:sz w:val="20"/>
                <w:szCs w:val="20"/>
                <w:lang w:val="en-GB"/>
              </w:rPr>
            </w:pPr>
            <w:r w:rsidRPr="00EC414A">
              <w:rPr>
                <w:sz w:val="20"/>
                <w:szCs w:val="20"/>
                <w:lang w:val="en-GB"/>
              </w:rPr>
              <w:t>x</w:t>
            </w:r>
          </w:p>
        </w:tc>
        <w:tc>
          <w:tcPr>
            <w:tcW w:w="720" w:type="pct"/>
          </w:tcPr>
          <w:p w14:paraId="7662B558" w14:textId="77777777" w:rsidR="007F28F6" w:rsidRPr="00746DB3" w:rsidRDefault="007F28F6" w:rsidP="007F28F6">
            <w:pPr>
              <w:jc w:val="center"/>
              <w:rPr>
                <w:sz w:val="20"/>
                <w:szCs w:val="20"/>
                <w:lang w:val="en-GB"/>
              </w:rPr>
            </w:pPr>
          </w:p>
        </w:tc>
      </w:tr>
      <w:tr w:rsidR="007F28F6" w:rsidRPr="00402AEC" w14:paraId="359BF53F" w14:textId="77777777" w:rsidTr="00746DB3">
        <w:tc>
          <w:tcPr>
            <w:tcW w:w="1261" w:type="pct"/>
          </w:tcPr>
          <w:p w14:paraId="4E3A5593" w14:textId="15E2E62B" w:rsidR="007F28F6" w:rsidRPr="00746DB3" w:rsidRDefault="007F28F6" w:rsidP="007F28F6">
            <w:pPr>
              <w:rPr>
                <w:sz w:val="20"/>
                <w:szCs w:val="20"/>
                <w:lang w:val="en-GB" w:bidi="en-US"/>
              </w:rPr>
            </w:pPr>
            <w:r w:rsidRPr="00FA56C9">
              <w:rPr>
                <w:sz w:val="20"/>
                <w:szCs w:val="20"/>
                <w:lang w:val="en-GB" w:bidi="en-US"/>
              </w:rPr>
              <w:t>(</w:t>
            </w:r>
            <w:r w:rsidRPr="00FA56C9">
              <w:rPr>
                <w:sz w:val="20"/>
                <w:szCs w:val="20"/>
                <w:lang w:val="en-GB" w:bidi="en-US"/>
              </w:rPr>
              <w:fldChar w:fldCharType="begin" w:fldLock="1"/>
            </w:r>
            <w:r w:rsidR="00BF2F60">
              <w:rPr>
                <w:sz w:val="20"/>
                <w:szCs w:val="20"/>
                <w:lang w:val="en-GB" w:bidi="en-US"/>
              </w:rPr>
              <w:instrText>ADDIN CSL_CITATION {"citationItems":[{"id":"ITEM-1","itemData":{"DOI":"10.1016/j.jclepro.2017.09.249","ISBN":"0959-6526","ISSN":"09596526","abstract":"Drawing on the concept of decoupling, from institutional theory in organizational studies, this paper explains how organizations mitigate demands for circularity. Seven Swedish apparel companies that have started collecting used clothes as a form of engagement with circular business models serve as case studies. The paper shows how outsourcing and internal separation allow these companies to buffer their business model and core way of creating value from emerging demands. It also shows how companies pro-actively work at influencing institutional demands for circularity by making these demands compatible with their own interests. The concept of decoupling thereby provides key insights into the development and implementation, or absence thereof, of circular business models.","author":[{"dropping-particle":"","family":"Stål","given":"Herman I.","non-dropping-particle":"","parse-names":false,"suffix":""},{"dropping-particle":"","family":"Corvellec","given":"Hervé","non-dropping-particle":"","parse-names":false,"suffix":""}],"container-title":"Journal of Cleaner Production","id":"ITEM-1","issued":{"date-parts":[["2018"]]},"page":"630-643","title":"A decoupling perspective on circular business model implementation: Illustrations from Swedish apparel","type":"article-journal","volume":"171"},"uris":["http://www.mendeley.com/documents/?uuid=1c97cc7e-b84b-40a3-a7c2-07c318d9f229","http://www.mendeley.com/documents/?uuid=7f713222-415b-4334-9953-e9c25199158b"]}],"mendeley":{"formattedCitation":"(Stål and Corvellec, 2018)","manualFormatting":"Stål and Corvellec 2018)","plainTextFormattedCitation":"(Stål and Corvellec, 2018)","previouslyFormattedCitation":"(Stål and Corvellec, 2018)"},"properties":{"noteIndex":0},"schema":"https://github.com/citation-style-language/schema/raw/master/csl-citation.json"}</w:instrText>
            </w:r>
            <w:r w:rsidRPr="00FA56C9">
              <w:rPr>
                <w:sz w:val="20"/>
                <w:szCs w:val="20"/>
                <w:lang w:val="en-GB" w:bidi="en-US"/>
              </w:rPr>
              <w:fldChar w:fldCharType="separate"/>
            </w:r>
            <w:r w:rsidRPr="00FA56C9">
              <w:rPr>
                <w:noProof/>
                <w:sz w:val="20"/>
                <w:szCs w:val="20"/>
                <w:lang w:val="en-GB" w:bidi="en-US"/>
              </w:rPr>
              <w:t>Stål and Corvellec 2018)</w:t>
            </w:r>
            <w:r w:rsidRPr="00FA56C9">
              <w:rPr>
                <w:sz w:val="20"/>
                <w:szCs w:val="20"/>
                <w:lang w:val="en-GB" w:bidi="en-US"/>
              </w:rPr>
              <w:fldChar w:fldCharType="end"/>
            </w:r>
          </w:p>
        </w:tc>
        <w:tc>
          <w:tcPr>
            <w:tcW w:w="901" w:type="pct"/>
          </w:tcPr>
          <w:p w14:paraId="2EF1B834" w14:textId="77777777" w:rsidR="007F28F6" w:rsidRPr="00746DB3" w:rsidRDefault="007F28F6" w:rsidP="007F28F6">
            <w:pPr>
              <w:jc w:val="center"/>
              <w:rPr>
                <w:sz w:val="20"/>
                <w:szCs w:val="20"/>
                <w:lang w:val="en-GB"/>
              </w:rPr>
            </w:pPr>
          </w:p>
        </w:tc>
        <w:tc>
          <w:tcPr>
            <w:tcW w:w="706" w:type="pct"/>
          </w:tcPr>
          <w:p w14:paraId="0A346787" w14:textId="77777777" w:rsidR="007F28F6" w:rsidRPr="00746DB3" w:rsidRDefault="007F28F6" w:rsidP="007F28F6">
            <w:pPr>
              <w:jc w:val="center"/>
              <w:rPr>
                <w:sz w:val="20"/>
                <w:szCs w:val="20"/>
                <w:lang w:val="en-GB"/>
              </w:rPr>
            </w:pPr>
          </w:p>
        </w:tc>
        <w:tc>
          <w:tcPr>
            <w:tcW w:w="706" w:type="pct"/>
          </w:tcPr>
          <w:p w14:paraId="17746835" w14:textId="77777777" w:rsidR="007F28F6" w:rsidRPr="00746DB3" w:rsidRDefault="007F28F6" w:rsidP="007F28F6">
            <w:pPr>
              <w:jc w:val="center"/>
              <w:rPr>
                <w:sz w:val="20"/>
                <w:szCs w:val="20"/>
                <w:lang w:val="en-GB"/>
              </w:rPr>
            </w:pPr>
          </w:p>
        </w:tc>
        <w:tc>
          <w:tcPr>
            <w:tcW w:w="706" w:type="pct"/>
          </w:tcPr>
          <w:p w14:paraId="67CE7BA3" w14:textId="49676128" w:rsidR="007F28F6" w:rsidRPr="00746DB3" w:rsidRDefault="007F28F6" w:rsidP="007F28F6">
            <w:pPr>
              <w:jc w:val="center"/>
              <w:rPr>
                <w:sz w:val="20"/>
                <w:szCs w:val="20"/>
                <w:lang w:val="en-GB"/>
              </w:rPr>
            </w:pPr>
            <w:r w:rsidRPr="00FA56C9">
              <w:rPr>
                <w:sz w:val="20"/>
                <w:szCs w:val="20"/>
                <w:lang w:val="en-GB"/>
              </w:rPr>
              <w:t>x</w:t>
            </w:r>
          </w:p>
        </w:tc>
        <w:tc>
          <w:tcPr>
            <w:tcW w:w="720" w:type="pct"/>
          </w:tcPr>
          <w:p w14:paraId="38E7F482" w14:textId="77777777" w:rsidR="007F28F6" w:rsidRPr="00746DB3" w:rsidRDefault="007F28F6" w:rsidP="007F28F6">
            <w:pPr>
              <w:jc w:val="center"/>
              <w:rPr>
                <w:sz w:val="20"/>
                <w:szCs w:val="20"/>
                <w:lang w:val="en-GB"/>
              </w:rPr>
            </w:pPr>
          </w:p>
        </w:tc>
      </w:tr>
      <w:tr w:rsidR="007F28F6" w:rsidRPr="00402AEC" w14:paraId="4CAD3C32" w14:textId="77777777" w:rsidTr="00746DB3">
        <w:tc>
          <w:tcPr>
            <w:tcW w:w="1261" w:type="pct"/>
          </w:tcPr>
          <w:p w14:paraId="30E9C34B" w14:textId="61338E31" w:rsidR="007F28F6" w:rsidRPr="00746DB3" w:rsidRDefault="007F28F6" w:rsidP="007F28F6">
            <w:pPr>
              <w:rPr>
                <w:sz w:val="20"/>
                <w:szCs w:val="20"/>
                <w:lang w:val="en-GB" w:bidi="en-US"/>
              </w:rPr>
            </w:pPr>
            <w:r w:rsidRPr="00C03A6B">
              <w:rPr>
                <w:sz w:val="20"/>
                <w:szCs w:val="20"/>
                <w:lang w:val="en-GB" w:bidi="en-US"/>
              </w:rPr>
              <w:t>(</w:t>
            </w:r>
            <w:r w:rsidRPr="00746DB3">
              <w:rPr>
                <w:sz w:val="20"/>
                <w:szCs w:val="20"/>
                <w:lang w:val="en-GB" w:bidi="en-US"/>
              </w:rPr>
              <w:fldChar w:fldCharType="begin" w:fldLock="1"/>
            </w:r>
            <w:r w:rsidR="003445CC">
              <w:rPr>
                <w:sz w:val="20"/>
                <w:szCs w:val="20"/>
                <w:lang w:val="en-GB" w:bidi="en-US"/>
              </w:rPr>
              <w:instrText>ADDIN CSL_CITATION {"citationItems":[{"id":"ITEM-1","itemData":{"ISBN":"1","author":[{"dropping-particle":"","family":"Svatikova","given":"Katarina","non-dropping-particle":"","parse-names":false,"suffix":""},{"dropping-particle":"","family":"Artola","given":"Irati","non-dropping-particle":"","parse-names":false,"suffix":""},{"dropping-particle":"","family":"Slingerland","given":"Stephan","non-dropping-particle":"","parse-names":false,"suffix":""},{"dropping-particle":"","family":"Fischer","given":"Susanne","non-dropping-particle":"","parse-names":false,"suffix":""}],"id":"ITEM-1","issue":"1","issued":{"date-parts":[["2015"]]},"number-of-pages":"1-8","title":"Selling Solar Services as a Contribution to a Circular Economy","type":"report"},"uris":["http://www.mendeley.com/documents/?uuid=b5d1b7f9-4656-4660-8b2b-5ec204b939ff","http://www.mendeley.com/documents/?uuid=e9f932d9-3d84-4ec3-9b91-b9281f77f780"]}],"mendeley":{"formattedCitation":"(Svatikova et al., 2015)","manualFormatting":"Svatikova et al. 2015)","plainTextFormattedCitation":"(Svatikova et al., 2015)","previouslyFormattedCitation":"(Svatikova et al., 2015)"},"properties":{"noteIndex":0},"schema":"https://github.com/citation-style-language/schema/raw/master/csl-citation.json"}</w:instrText>
            </w:r>
            <w:r w:rsidRPr="00746DB3">
              <w:rPr>
                <w:sz w:val="20"/>
                <w:szCs w:val="20"/>
                <w:lang w:val="en-GB" w:bidi="en-US"/>
              </w:rPr>
              <w:fldChar w:fldCharType="separate"/>
            </w:r>
            <w:r w:rsidRPr="00746DB3">
              <w:rPr>
                <w:noProof/>
                <w:sz w:val="20"/>
                <w:szCs w:val="20"/>
                <w:lang w:val="en-GB" w:bidi="en-US"/>
              </w:rPr>
              <w:t>Svatikova et al. 2015)</w:t>
            </w:r>
            <w:r w:rsidRPr="00746DB3">
              <w:rPr>
                <w:sz w:val="20"/>
                <w:szCs w:val="20"/>
                <w:lang w:val="en-GB" w:bidi="en-US"/>
              </w:rPr>
              <w:fldChar w:fldCharType="end"/>
            </w:r>
          </w:p>
        </w:tc>
        <w:tc>
          <w:tcPr>
            <w:tcW w:w="901" w:type="pct"/>
          </w:tcPr>
          <w:p w14:paraId="12F5E000" w14:textId="77777777" w:rsidR="007F28F6" w:rsidRPr="00746DB3" w:rsidRDefault="007F28F6" w:rsidP="007F28F6">
            <w:pPr>
              <w:jc w:val="center"/>
              <w:rPr>
                <w:sz w:val="20"/>
                <w:szCs w:val="20"/>
                <w:lang w:val="en-GB"/>
              </w:rPr>
            </w:pPr>
          </w:p>
        </w:tc>
        <w:tc>
          <w:tcPr>
            <w:tcW w:w="706" w:type="pct"/>
          </w:tcPr>
          <w:p w14:paraId="7D9F2BF9" w14:textId="77777777" w:rsidR="007F28F6" w:rsidRPr="00746DB3" w:rsidRDefault="007F28F6" w:rsidP="007F28F6">
            <w:pPr>
              <w:jc w:val="center"/>
              <w:rPr>
                <w:sz w:val="20"/>
                <w:szCs w:val="20"/>
                <w:lang w:val="en-GB"/>
              </w:rPr>
            </w:pPr>
          </w:p>
        </w:tc>
        <w:tc>
          <w:tcPr>
            <w:tcW w:w="706" w:type="pct"/>
          </w:tcPr>
          <w:p w14:paraId="5E66F6B3" w14:textId="77777777" w:rsidR="007F28F6" w:rsidRPr="00746DB3" w:rsidRDefault="007F28F6" w:rsidP="007F28F6">
            <w:pPr>
              <w:jc w:val="center"/>
              <w:rPr>
                <w:sz w:val="20"/>
                <w:szCs w:val="20"/>
                <w:lang w:val="en-GB"/>
              </w:rPr>
            </w:pPr>
          </w:p>
        </w:tc>
        <w:tc>
          <w:tcPr>
            <w:tcW w:w="706" w:type="pct"/>
          </w:tcPr>
          <w:p w14:paraId="2F132BFC" w14:textId="2EF89CA9" w:rsidR="007F28F6" w:rsidRPr="00746DB3" w:rsidRDefault="007F28F6" w:rsidP="007F28F6">
            <w:pPr>
              <w:jc w:val="center"/>
              <w:rPr>
                <w:sz w:val="20"/>
                <w:szCs w:val="20"/>
                <w:lang w:val="en-GB"/>
              </w:rPr>
            </w:pPr>
            <w:r w:rsidRPr="00746DB3">
              <w:rPr>
                <w:sz w:val="20"/>
                <w:szCs w:val="20"/>
                <w:lang w:val="en-GB"/>
              </w:rPr>
              <w:t>x</w:t>
            </w:r>
          </w:p>
        </w:tc>
        <w:tc>
          <w:tcPr>
            <w:tcW w:w="720" w:type="pct"/>
          </w:tcPr>
          <w:p w14:paraId="2F6B912D" w14:textId="77777777" w:rsidR="007F28F6" w:rsidRPr="00746DB3" w:rsidRDefault="007F28F6" w:rsidP="007F28F6">
            <w:pPr>
              <w:jc w:val="center"/>
              <w:rPr>
                <w:sz w:val="20"/>
                <w:szCs w:val="20"/>
                <w:lang w:val="en-GB"/>
              </w:rPr>
            </w:pPr>
          </w:p>
        </w:tc>
      </w:tr>
      <w:tr w:rsidR="007F28F6" w:rsidRPr="00402AEC" w14:paraId="775345A1" w14:textId="77777777" w:rsidTr="00746DB3">
        <w:tc>
          <w:tcPr>
            <w:tcW w:w="1261" w:type="pct"/>
          </w:tcPr>
          <w:p w14:paraId="5210B4C6" w14:textId="41CE8296" w:rsidR="007F28F6" w:rsidRPr="00746DB3" w:rsidRDefault="007F28F6" w:rsidP="007F28F6">
            <w:pPr>
              <w:rPr>
                <w:sz w:val="20"/>
                <w:szCs w:val="20"/>
                <w:lang w:val="en-GB" w:bidi="en-US"/>
              </w:rPr>
            </w:pPr>
            <w:r w:rsidRPr="00B41866">
              <w:rPr>
                <w:sz w:val="20"/>
                <w:szCs w:val="20"/>
                <w:lang w:val="en-GB" w:bidi="en-US"/>
              </w:rPr>
              <w:t>(</w:t>
            </w:r>
            <w:r w:rsidRPr="00B41866">
              <w:rPr>
                <w:sz w:val="20"/>
                <w:szCs w:val="20"/>
                <w:lang w:val="en-GB" w:bidi="en-US"/>
              </w:rPr>
              <w:fldChar w:fldCharType="begin" w:fldLock="1"/>
            </w:r>
            <w:r w:rsidR="003445CC">
              <w:rPr>
                <w:sz w:val="20"/>
                <w:szCs w:val="20"/>
                <w:lang w:val="en-GB" w:bidi="en-US"/>
              </w:rPr>
              <w:instrText>ADDIN CSL_CITATION {"citationItems":[{"id":"ITEM-1","itemData":{"author":[{"dropping-particle":"","family":"Venselaar","given":"Jan","non-dropping-particle":"","parse-names":false,"suffix":""},{"dropping-particle":"","family":"Kelft","given":"Dimitri","non-dropping-particle":"van de","parse-names":false,"suffix":""}],"container-title":"TII 2014 - Technology, Innovation, International Annual Conference","id":"ITEM-1","issued":{"date-parts":[["2014"]]},"page":"1-4","publisher-place":"Utrecht","title":"A practice based approach to further high level reuse in equipment manufacturing offering business opportunities in a circular economy","type":"paper-conference"},"uris":["http://www.mendeley.com/documents/?uuid=d4b0a8d9-be2e-4a40-bc80-75e8efe47a52","http://www.mendeley.com/documents/?uuid=e72bb440-bebf-4dfd-bd3a-29256e761386"]}],"mendeley":{"formattedCitation":"(Venselaar and van de Kelft, 2014)","manualFormatting":"Venselaar and Kelft 2014)","plainTextFormattedCitation":"(Venselaar and van de Kelft, 2014)","previouslyFormattedCitation":"(Venselaar and van de Kelft, 2014)"},"properties":{"noteIndex":0},"schema":"https://github.com/citation-style-language/schema/raw/master/csl-citation.json"}</w:instrText>
            </w:r>
            <w:r w:rsidRPr="00B41866">
              <w:rPr>
                <w:sz w:val="20"/>
                <w:szCs w:val="20"/>
                <w:lang w:val="en-GB" w:bidi="en-US"/>
              </w:rPr>
              <w:fldChar w:fldCharType="separate"/>
            </w:r>
            <w:r w:rsidRPr="00B41866">
              <w:rPr>
                <w:noProof/>
                <w:sz w:val="20"/>
                <w:szCs w:val="20"/>
                <w:lang w:val="en-GB" w:bidi="en-US"/>
              </w:rPr>
              <w:t>Venselaar and Kelft 2014)</w:t>
            </w:r>
            <w:r w:rsidRPr="00B41866">
              <w:rPr>
                <w:sz w:val="20"/>
                <w:szCs w:val="20"/>
                <w:lang w:val="en-GB" w:bidi="en-US"/>
              </w:rPr>
              <w:fldChar w:fldCharType="end"/>
            </w:r>
          </w:p>
        </w:tc>
        <w:tc>
          <w:tcPr>
            <w:tcW w:w="901" w:type="pct"/>
          </w:tcPr>
          <w:p w14:paraId="65F40437" w14:textId="5B461847" w:rsidR="007F28F6" w:rsidRPr="00746DB3" w:rsidRDefault="007F28F6" w:rsidP="007F28F6">
            <w:pPr>
              <w:jc w:val="center"/>
              <w:rPr>
                <w:sz w:val="20"/>
                <w:szCs w:val="20"/>
                <w:lang w:val="en-GB"/>
              </w:rPr>
            </w:pPr>
          </w:p>
        </w:tc>
        <w:tc>
          <w:tcPr>
            <w:tcW w:w="706" w:type="pct"/>
          </w:tcPr>
          <w:p w14:paraId="5D52AE96" w14:textId="77777777" w:rsidR="007F28F6" w:rsidRPr="00746DB3" w:rsidRDefault="007F28F6" w:rsidP="007F28F6">
            <w:pPr>
              <w:jc w:val="center"/>
              <w:rPr>
                <w:sz w:val="20"/>
                <w:szCs w:val="20"/>
                <w:lang w:val="en-GB"/>
              </w:rPr>
            </w:pPr>
          </w:p>
        </w:tc>
        <w:tc>
          <w:tcPr>
            <w:tcW w:w="706" w:type="pct"/>
          </w:tcPr>
          <w:p w14:paraId="48008CF4" w14:textId="77777777" w:rsidR="007F28F6" w:rsidRPr="00746DB3" w:rsidRDefault="007F28F6" w:rsidP="007F28F6">
            <w:pPr>
              <w:jc w:val="center"/>
              <w:rPr>
                <w:sz w:val="20"/>
                <w:szCs w:val="20"/>
                <w:lang w:val="en-GB"/>
              </w:rPr>
            </w:pPr>
          </w:p>
        </w:tc>
        <w:tc>
          <w:tcPr>
            <w:tcW w:w="706" w:type="pct"/>
          </w:tcPr>
          <w:p w14:paraId="582C4C06" w14:textId="133B4576" w:rsidR="007F28F6" w:rsidRPr="00746DB3" w:rsidRDefault="007F28F6" w:rsidP="007F28F6">
            <w:pPr>
              <w:jc w:val="center"/>
              <w:rPr>
                <w:sz w:val="20"/>
                <w:szCs w:val="20"/>
                <w:lang w:val="en-GB"/>
              </w:rPr>
            </w:pPr>
          </w:p>
        </w:tc>
        <w:tc>
          <w:tcPr>
            <w:tcW w:w="720" w:type="pct"/>
          </w:tcPr>
          <w:p w14:paraId="1244E008" w14:textId="6AFB0B17" w:rsidR="007F28F6" w:rsidRPr="00746DB3" w:rsidRDefault="007F28F6" w:rsidP="007F28F6">
            <w:pPr>
              <w:jc w:val="center"/>
              <w:rPr>
                <w:sz w:val="20"/>
                <w:szCs w:val="20"/>
                <w:lang w:val="en-GB"/>
              </w:rPr>
            </w:pPr>
            <w:r w:rsidRPr="00B41866">
              <w:rPr>
                <w:sz w:val="20"/>
                <w:szCs w:val="20"/>
                <w:lang w:val="en-GB"/>
              </w:rPr>
              <w:t>x</w:t>
            </w:r>
          </w:p>
        </w:tc>
      </w:tr>
      <w:tr w:rsidR="007F28F6" w:rsidRPr="00402AEC" w14:paraId="07783E3A" w14:textId="77777777" w:rsidTr="00746DB3">
        <w:tc>
          <w:tcPr>
            <w:tcW w:w="1261" w:type="pct"/>
          </w:tcPr>
          <w:p w14:paraId="06761141" w14:textId="5EDDF51A" w:rsidR="007F28F6" w:rsidRPr="00746DB3" w:rsidRDefault="007F28F6" w:rsidP="007F28F6">
            <w:pPr>
              <w:rPr>
                <w:sz w:val="20"/>
                <w:szCs w:val="20"/>
                <w:lang w:val="en-GB" w:bidi="en-US"/>
              </w:rPr>
            </w:pPr>
            <w:r w:rsidRPr="004112A7">
              <w:rPr>
                <w:sz w:val="20"/>
                <w:szCs w:val="20"/>
                <w:lang w:val="en-GB" w:bidi="en-US"/>
              </w:rPr>
              <w:t>(</w:t>
            </w:r>
            <w:r w:rsidRPr="004112A7">
              <w:rPr>
                <w:sz w:val="20"/>
                <w:szCs w:val="20"/>
                <w:lang w:val="en-GB" w:bidi="en-US"/>
              </w:rPr>
              <w:fldChar w:fldCharType="begin" w:fldLock="1"/>
            </w:r>
            <w:r w:rsidR="003445CC">
              <w:rPr>
                <w:sz w:val="20"/>
                <w:szCs w:val="20"/>
                <w:lang w:val="en-GB" w:bidi="en-US"/>
              </w:rPr>
              <w:instrText>ADDIN CSL_CITATION {"citationItems":[{"id":"ITEM-1","itemData":{"DOI":"10.1016/j.resconrec.2017.07.029","ISBN":"09213449 (ISSN)","ISSN":"18790658","abstract":"This paper presents two case studies of Swedish ICT 'gap exploiter' companies to provide a nuanced perspective in the investigation of ICT reuse business models and policies. Gap exploiters are third-party firms that create value through the re-utilization of existing products. While extending product life through the gap exploiter model is promising in the transition to a circular economy, business models and policies related to ICT reuse are under-researched in literature and existing studies are characterized by general approaches. While the generalizability of this study has limitations based on size and geographic location, this paper provides an in-depth look at how circular economy strategies can be embodied in the gap exploiter business model within the ICT sector. Main findings include barriers to business operations and opportunities to address them through business model innovation and policy intervention. The study furthers understanding of ICT reuse operations and their related business models. It also contributes to the upcoming policy debate on how to encourage and create a more resource efficient and circular economy.","author":[{"dropping-particle":"","family":"Whalen","given":"Katherine A.","non-dropping-particle":"","parse-names":false,"suffix":""},{"dropping-particle":"","family":"Milios","given":"Leonidas","non-dropping-particle":"","parse-names":false,"suffix":""},{"dropping-particle":"","family":"Nußholz","given":"Julia L.K.","non-dropping-particle":"","parse-names":false,"suffix":""}],"container-title":"Resources, Conservation and Recycling","id":"ITEM-1","issued":{"date-parts":[["2017"]]},"page":"123-131","publisher":"Elsevier","title":"Bridging the gap: Barriers and potential for scaling reuse practices in the Swedish ICT sector","type":"article-journal","volume":"135"},"uris":["http://www.mendeley.com/documents/?uuid=7fdeb801-74df-4b5e-a25b-36b24fede298","http://www.mendeley.com/documents/?uuid=b60a49a8-ab46-42b3-86e7-4a82a6e2c5e8"]}],"mendeley":{"formattedCitation":"(Whalen et al., 2017)","manualFormatting":"Whalen et al. 2017)","plainTextFormattedCitation":"(Whalen et al., 2017)","previouslyFormattedCitation":"(Whalen et al., 2017)"},"properties":{"noteIndex":0},"schema":"https://github.com/citation-style-language/schema/raw/master/csl-citation.json"}</w:instrText>
            </w:r>
            <w:r w:rsidRPr="004112A7">
              <w:rPr>
                <w:sz w:val="20"/>
                <w:szCs w:val="20"/>
                <w:lang w:val="en-GB" w:bidi="en-US"/>
              </w:rPr>
              <w:fldChar w:fldCharType="separate"/>
            </w:r>
            <w:r w:rsidRPr="004112A7">
              <w:rPr>
                <w:noProof/>
                <w:sz w:val="20"/>
                <w:szCs w:val="20"/>
                <w:lang w:val="en-GB" w:bidi="en-US"/>
              </w:rPr>
              <w:t>Whalen et al. 2017)</w:t>
            </w:r>
            <w:r w:rsidRPr="004112A7">
              <w:rPr>
                <w:sz w:val="20"/>
                <w:szCs w:val="20"/>
                <w:lang w:val="en-GB" w:bidi="en-US"/>
              </w:rPr>
              <w:fldChar w:fldCharType="end"/>
            </w:r>
          </w:p>
        </w:tc>
        <w:tc>
          <w:tcPr>
            <w:tcW w:w="901" w:type="pct"/>
          </w:tcPr>
          <w:p w14:paraId="7A80AA99" w14:textId="4EBB55C3" w:rsidR="007F28F6" w:rsidRPr="00746DB3" w:rsidRDefault="007F28F6" w:rsidP="007F28F6">
            <w:pPr>
              <w:jc w:val="center"/>
              <w:rPr>
                <w:sz w:val="20"/>
                <w:szCs w:val="20"/>
                <w:lang w:val="en-GB"/>
              </w:rPr>
            </w:pPr>
            <w:r w:rsidRPr="004112A7">
              <w:rPr>
                <w:sz w:val="20"/>
                <w:szCs w:val="20"/>
                <w:lang w:val="en-GB"/>
              </w:rPr>
              <w:t>x</w:t>
            </w:r>
          </w:p>
        </w:tc>
        <w:tc>
          <w:tcPr>
            <w:tcW w:w="706" w:type="pct"/>
          </w:tcPr>
          <w:p w14:paraId="351DB46E" w14:textId="77777777" w:rsidR="007F28F6" w:rsidRPr="00746DB3" w:rsidRDefault="007F28F6" w:rsidP="007F28F6">
            <w:pPr>
              <w:jc w:val="center"/>
              <w:rPr>
                <w:sz w:val="20"/>
                <w:szCs w:val="20"/>
                <w:lang w:val="en-GB"/>
              </w:rPr>
            </w:pPr>
          </w:p>
        </w:tc>
        <w:tc>
          <w:tcPr>
            <w:tcW w:w="706" w:type="pct"/>
          </w:tcPr>
          <w:p w14:paraId="4F9FBBBF" w14:textId="77777777" w:rsidR="007F28F6" w:rsidRPr="00746DB3" w:rsidRDefault="007F28F6" w:rsidP="007F28F6">
            <w:pPr>
              <w:jc w:val="center"/>
              <w:rPr>
                <w:sz w:val="20"/>
                <w:szCs w:val="20"/>
                <w:lang w:val="en-GB"/>
              </w:rPr>
            </w:pPr>
          </w:p>
        </w:tc>
        <w:tc>
          <w:tcPr>
            <w:tcW w:w="706" w:type="pct"/>
          </w:tcPr>
          <w:p w14:paraId="3DF27BC8" w14:textId="53635486" w:rsidR="007F28F6" w:rsidRPr="00746DB3" w:rsidRDefault="007F28F6" w:rsidP="007F28F6">
            <w:pPr>
              <w:jc w:val="center"/>
              <w:rPr>
                <w:sz w:val="20"/>
                <w:szCs w:val="20"/>
                <w:lang w:val="en-GB"/>
              </w:rPr>
            </w:pPr>
          </w:p>
        </w:tc>
        <w:tc>
          <w:tcPr>
            <w:tcW w:w="720" w:type="pct"/>
          </w:tcPr>
          <w:p w14:paraId="1CFF4149" w14:textId="77777777" w:rsidR="007F28F6" w:rsidRPr="00746DB3" w:rsidRDefault="007F28F6" w:rsidP="007F28F6">
            <w:pPr>
              <w:jc w:val="center"/>
              <w:rPr>
                <w:sz w:val="20"/>
                <w:szCs w:val="20"/>
                <w:lang w:val="en-GB"/>
              </w:rPr>
            </w:pPr>
          </w:p>
        </w:tc>
      </w:tr>
      <w:tr w:rsidR="007F28F6" w:rsidRPr="00402AEC" w14:paraId="408DA5D9" w14:textId="77777777" w:rsidTr="00746DB3">
        <w:tc>
          <w:tcPr>
            <w:tcW w:w="1261" w:type="pct"/>
          </w:tcPr>
          <w:p w14:paraId="5F8BA485" w14:textId="7ED676C1" w:rsidR="007F28F6" w:rsidRPr="00746DB3" w:rsidRDefault="007F28F6" w:rsidP="007F28F6">
            <w:pPr>
              <w:rPr>
                <w:sz w:val="20"/>
                <w:szCs w:val="20"/>
                <w:lang w:val="en-GB" w:bidi="en-US"/>
              </w:rPr>
            </w:pPr>
            <w:r w:rsidRPr="005030D7">
              <w:rPr>
                <w:sz w:val="20"/>
                <w:szCs w:val="20"/>
                <w:lang w:val="en-GB" w:bidi="en-US"/>
              </w:rPr>
              <w:t>(</w:t>
            </w:r>
            <w:r w:rsidRPr="005030D7">
              <w:rPr>
                <w:sz w:val="20"/>
                <w:szCs w:val="20"/>
                <w:lang w:val="en-GB" w:bidi="en-US"/>
              </w:rPr>
              <w:fldChar w:fldCharType="begin" w:fldLock="1"/>
            </w:r>
            <w:r w:rsidR="00BF2F60">
              <w:rPr>
                <w:sz w:val="20"/>
                <w:szCs w:val="20"/>
                <w:lang w:val="en-GB" w:bidi="en-US"/>
              </w:rPr>
              <w:instrText>ADDIN CSL_CITATION {"citationItems":[{"id":"ITEM-1","itemData":{"author":[{"dropping-particle":"","family":"Yazan","given":"Devrim Murat","non-dropping-particle":"","parse-names":false,"suffix":""},{"dropping-particle":"","family":"Cafagna","given":"D.","non-dropping-particle":"","parse-names":false,"suffix":""},{"dropping-particle":"","family":"Mes","given":"M.","non-dropping-particle":"","parse-names":false,"suffix":""},{"dropping-particle":"","family":"Fraccascia","given":"Luca","non-dropping-particle":"","parse-names":false,"suffix":""},{"dropping-particle":"","family":"Pontrandolfo","given":"P.","non-dropping-particle":"","parse-names":false,"suffix":""},{"dropping-particle":"","family":"Zijm","given":"H.","non-dropping-particle":"","parse-names":false,"suffix":""}],"container-title":"4th GIN Conference 2015","id":"ITEM-1","issued":{"date-parts":[["2015"]]},"page":"1-24","title":"Economic sustainability of biogas production from animal manure: A regional circular economy model","type":"paper-conference"},"uris":["http://www.mendeley.com/documents/?uuid=9a2fe8e5-7ef1-49aa-abe2-37813e66b6ec","http://www.mendeley.com/documents/?uuid=6d313a50-5228-4ea1-8eb9-0b6d9bc5f24d"]}],"mendeley":{"formattedCitation":"(Yazan et al., 2015)","manualFormatting":"Yazan et al. 2015)","plainTextFormattedCitation":"(Yazan et al., 2015)","previouslyFormattedCitation":"(Yazan et al., 2015)"},"properties":{"noteIndex":0},"schema":"https://github.com/citation-style-language/schema/raw/master/csl-citation.json"}</w:instrText>
            </w:r>
            <w:r w:rsidRPr="005030D7">
              <w:rPr>
                <w:sz w:val="20"/>
                <w:szCs w:val="20"/>
                <w:lang w:val="en-GB" w:bidi="en-US"/>
              </w:rPr>
              <w:fldChar w:fldCharType="separate"/>
            </w:r>
            <w:r w:rsidRPr="005030D7">
              <w:rPr>
                <w:noProof/>
                <w:sz w:val="20"/>
                <w:szCs w:val="20"/>
                <w:lang w:val="en-GB" w:bidi="en-US"/>
              </w:rPr>
              <w:t>Yazan et al. 2015)</w:t>
            </w:r>
            <w:r w:rsidRPr="005030D7">
              <w:rPr>
                <w:sz w:val="20"/>
                <w:szCs w:val="20"/>
                <w:lang w:val="en-GB" w:bidi="en-US"/>
              </w:rPr>
              <w:fldChar w:fldCharType="end"/>
            </w:r>
          </w:p>
        </w:tc>
        <w:tc>
          <w:tcPr>
            <w:tcW w:w="901" w:type="pct"/>
          </w:tcPr>
          <w:p w14:paraId="0B3375A2" w14:textId="57CBBCC7" w:rsidR="007F28F6" w:rsidRPr="00746DB3" w:rsidRDefault="007F28F6" w:rsidP="007F28F6">
            <w:pPr>
              <w:jc w:val="center"/>
              <w:rPr>
                <w:sz w:val="20"/>
                <w:szCs w:val="20"/>
                <w:lang w:val="en-GB"/>
              </w:rPr>
            </w:pPr>
          </w:p>
        </w:tc>
        <w:tc>
          <w:tcPr>
            <w:tcW w:w="706" w:type="pct"/>
          </w:tcPr>
          <w:p w14:paraId="5034903B" w14:textId="77777777" w:rsidR="007F28F6" w:rsidRPr="00746DB3" w:rsidRDefault="007F28F6" w:rsidP="007F28F6">
            <w:pPr>
              <w:jc w:val="center"/>
              <w:rPr>
                <w:sz w:val="20"/>
                <w:szCs w:val="20"/>
                <w:lang w:val="en-GB"/>
              </w:rPr>
            </w:pPr>
          </w:p>
        </w:tc>
        <w:tc>
          <w:tcPr>
            <w:tcW w:w="706" w:type="pct"/>
          </w:tcPr>
          <w:p w14:paraId="0B8E131C" w14:textId="77777777" w:rsidR="007F28F6" w:rsidRPr="00746DB3" w:rsidRDefault="007F28F6" w:rsidP="007F28F6">
            <w:pPr>
              <w:jc w:val="center"/>
              <w:rPr>
                <w:sz w:val="20"/>
                <w:szCs w:val="20"/>
                <w:lang w:val="en-GB"/>
              </w:rPr>
            </w:pPr>
          </w:p>
        </w:tc>
        <w:tc>
          <w:tcPr>
            <w:tcW w:w="706" w:type="pct"/>
          </w:tcPr>
          <w:p w14:paraId="647FCD52" w14:textId="4436D1C2" w:rsidR="007F28F6" w:rsidRPr="00746DB3" w:rsidRDefault="007F28F6" w:rsidP="007F28F6">
            <w:pPr>
              <w:jc w:val="center"/>
              <w:rPr>
                <w:sz w:val="20"/>
                <w:szCs w:val="20"/>
                <w:lang w:val="en-GB"/>
              </w:rPr>
            </w:pPr>
            <w:r w:rsidRPr="005030D7">
              <w:rPr>
                <w:sz w:val="20"/>
                <w:szCs w:val="20"/>
                <w:lang w:val="en-GB"/>
              </w:rPr>
              <w:t>x</w:t>
            </w:r>
          </w:p>
        </w:tc>
        <w:tc>
          <w:tcPr>
            <w:tcW w:w="720" w:type="pct"/>
          </w:tcPr>
          <w:p w14:paraId="0C62ACD9" w14:textId="77777777" w:rsidR="007F28F6" w:rsidRPr="00746DB3" w:rsidRDefault="007F28F6" w:rsidP="007F28F6">
            <w:pPr>
              <w:jc w:val="center"/>
              <w:rPr>
                <w:sz w:val="20"/>
                <w:szCs w:val="20"/>
                <w:lang w:val="en-GB"/>
              </w:rPr>
            </w:pPr>
          </w:p>
        </w:tc>
      </w:tr>
      <w:tr w:rsidR="000E5B95" w:rsidRPr="00402AEC" w14:paraId="5616721E" w14:textId="77777777" w:rsidTr="00746DB3">
        <w:tc>
          <w:tcPr>
            <w:tcW w:w="1261" w:type="pct"/>
          </w:tcPr>
          <w:p w14:paraId="00598AC2" w14:textId="30460B00" w:rsidR="000E5B95" w:rsidRPr="00746DB3" w:rsidRDefault="009648BE" w:rsidP="007F28F6">
            <w:pPr>
              <w:rPr>
                <w:b/>
                <w:sz w:val="20"/>
                <w:szCs w:val="20"/>
                <w:lang w:val="en-GB" w:bidi="en-US"/>
              </w:rPr>
            </w:pPr>
            <w:r>
              <w:rPr>
                <w:b/>
                <w:sz w:val="20"/>
                <w:szCs w:val="20"/>
                <w:lang w:val="en-GB"/>
              </w:rPr>
              <w:t>Total</w:t>
            </w:r>
          </w:p>
        </w:tc>
        <w:tc>
          <w:tcPr>
            <w:tcW w:w="901" w:type="pct"/>
          </w:tcPr>
          <w:p w14:paraId="062CDBBE" w14:textId="1D49B99A" w:rsidR="000E5B95" w:rsidRPr="00746DB3" w:rsidRDefault="000E5B95" w:rsidP="007F28F6">
            <w:pPr>
              <w:jc w:val="center"/>
              <w:rPr>
                <w:b/>
                <w:sz w:val="20"/>
                <w:szCs w:val="20"/>
                <w:lang w:val="en-GB"/>
              </w:rPr>
            </w:pPr>
            <w:r w:rsidRPr="00746DB3">
              <w:rPr>
                <w:b/>
                <w:sz w:val="20"/>
                <w:szCs w:val="20"/>
                <w:lang w:val="en-GB"/>
              </w:rPr>
              <w:t>3</w:t>
            </w:r>
          </w:p>
        </w:tc>
        <w:tc>
          <w:tcPr>
            <w:tcW w:w="706" w:type="pct"/>
          </w:tcPr>
          <w:p w14:paraId="01F6C266" w14:textId="2BF206D0" w:rsidR="000E5B95" w:rsidRPr="00746DB3" w:rsidRDefault="000E5B95" w:rsidP="007F28F6">
            <w:pPr>
              <w:jc w:val="center"/>
              <w:rPr>
                <w:b/>
                <w:sz w:val="20"/>
                <w:szCs w:val="20"/>
                <w:lang w:val="en-GB"/>
              </w:rPr>
            </w:pPr>
            <w:r w:rsidRPr="00746DB3">
              <w:rPr>
                <w:b/>
                <w:sz w:val="20"/>
                <w:szCs w:val="20"/>
                <w:lang w:val="en-GB"/>
              </w:rPr>
              <w:t>1</w:t>
            </w:r>
          </w:p>
        </w:tc>
        <w:tc>
          <w:tcPr>
            <w:tcW w:w="706" w:type="pct"/>
          </w:tcPr>
          <w:p w14:paraId="728C71A5" w14:textId="0FDB2543" w:rsidR="000E5B95" w:rsidRPr="00746DB3" w:rsidRDefault="000E5B95" w:rsidP="007F28F6">
            <w:pPr>
              <w:jc w:val="center"/>
              <w:rPr>
                <w:b/>
                <w:sz w:val="20"/>
                <w:szCs w:val="20"/>
                <w:lang w:val="en-GB"/>
              </w:rPr>
            </w:pPr>
            <w:r w:rsidRPr="00746DB3">
              <w:rPr>
                <w:b/>
                <w:sz w:val="20"/>
                <w:szCs w:val="20"/>
                <w:lang w:val="en-GB"/>
              </w:rPr>
              <w:t>3</w:t>
            </w:r>
          </w:p>
        </w:tc>
        <w:tc>
          <w:tcPr>
            <w:tcW w:w="706" w:type="pct"/>
          </w:tcPr>
          <w:p w14:paraId="10F0AF84" w14:textId="15F57B79" w:rsidR="000E5B95" w:rsidRPr="00746DB3" w:rsidRDefault="000E5B95" w:rsidP="007F28F6">
            <w:pPr>
              <w:jc w:val="center"/>
              <w:rPr>
                <w:b/>
                <w:sz w:val="20"/>
                <w:szCs w:val="20"/>
                <w:lang w:val="en-GB"/>
              </w:rPr>
            </w:pPr>
            <w:r w:rsidRPr="00746DB3">
              <w:rPr>
                <w:b/>
                <w:sz w:val="20"/>
                <w:szCs w:val="20"/>
                <w:lang w:val="en-GB"/>
              </w:rPr>
              <w:t>13</w:t>
            </w:r>
          </w:p>
        </w:tc>
        <w:tc>
          <w:tcPr>
            <w:tcW w:w="720" w:type="pct"/>
          </w:tcPr>
          <w:p w14:paraId="7C8A0609" w14:textId="6E9407E3" w:rsidR="000E5B95" w:rsidRPr="00746DB3" w:rsidRDefault="000E5B95" w:rsidP="007F28F6">
            <w:pPr>
              <w:jc w:val="center"/>
              <w:rPr>
                <w:b/>
                <w:sz w:val="20"/>
                <w:szCs w:val="20"/>
                <w:lang w:val="en-GB"/>
              </w:rPr>
            </w:pPr>
            <w:r w:rsidRPr="00746DB3">
              <w:rPr>
                <w:b/>
                <w:sz w:val="20"/>
                <w:szCs w:val="20"/>
                <w:lang w:val="en-GB"/>
              </w:rPr>
              <w:t>8</w:t>
            </w:r>
          </w:p>
        </w:tc>
      </w:tr>
    </w:tbl>
    <w:p w14:paraId="5DAE0291" w14:textId="504A81A0" w:rsidR="00C505DA" w:rsidRDefault="00C505DA" w:rsidP="00216241">
      <w:pPr>
        <w:spacing w:after="240" w:line="360" w:lineRule="auto"/>
        <w:jc w:val="both"/>
        <w:rPr>
          <w:lang w:val="en-GB" w:bidi="en-US"/>
        </w:rPr>
      </w:pPr>
    </w:p>
    <w:p w14:paraId="00E23606" w14:textId="50D9A191" w:rsidR="003469ED" w:rsidRPr="00402AEC" w:rsidRDefault="00D62E44" w:rsidP="00216241">
      <w:pPr>
        <w:spacing w:after="240" w:line="360" w:lineRule="auto"/>
        <w:jc w:val="both"/>
        <w:rPr>
          <w:lang w:val="en-GB" w:bidi="en-US"/>
        </w:rPr>
      </w:pPr>
      <w:r>
        <w:rPr>
          <w:lang w:val="en-GB" w:bidi="en-US"/>
        </w:rPr>
        <w:t xml:space="preserve">Summing-up the results from Table </w:t>
      </w:r>
      <w:r w:rsidR="00827CAA">
        <w:rPr>
          <w:lang w:val="en-GB" w:bidi="en-US"/>
        </w:rPr>
        <w:t>2</w:t>
      </w:r>
      <w:r>
        <w:rPr>
          <w:lang w:val="en-GB" w:bidi="en-US"/>
        </w:rPr>
        <w:t xml:space="preserve">, </w:t>
      </w:r>
      <w:r w:rsidR="003B477C">
        <w:rPr>
          <w:lang w:val="en-GB" w:bidi="en-US"/>
        </w:rPr>
        <w:t xml:space="preserve">five sub-categories can be </w:t>
      </w:r>
      <w:r w:rsidR="003568A1">
        <w:rPr>
          <w:lang w:val="en-GB" w:bidi="en-US"/>
        </w:rPr>
        <w:t>assigned</w:t>
      </w:r>
      <w:r w:rsidR="003B477C">
        <w:rPr>
          <w:lang w:val="en-GB" w:bidi="en-US"/>
        </w:rPr>
        <w:t xml:space="preserve"> to CBM best practice:</w:t>
      </w:r>
      <w:r w:rsidR="00F83EB0">
        <w:rPr>
          <w:lang w:val="en-GB" w:bidi="en-US"/>
        </w:rPr>
        <w:t xml:space="preserve"> paradigm-based, service-based, product-based, sector-based, pattern-based.</w:t>
      </w:r>
      <w:r w:rsidR="003469ED">
        <w:rPr>
          <w:lang w:val="en-GB" w:bidi="en-US"/>
        </w:rPr>
        <w:t xml:space="preserve"> Among them, t</w:t>
      </w:r>
      <w:r w:rsidR="001D1F5A">
        <w:rPr>
          <w:lang w:val="en-GB" w:bidi="en-US"/>
        </w:rPr>
        <w:t xml:space="preserve">he most </w:t>
      </w:r>
      <w:r w:rsidR="001D1F5A">
        <w:rPr>
          <w:lang w:val="en-GB" w:bidi="en-US"/>
        </w:rPr>
        <w:lastRenderedPageBreak/>
        <w:t xml:space="preserve">recurrent are </w:t>
      </w:r>
      <w:r w:rsidR="003469ED">
        <w:rPr>
          <w:lang w:val="en-GB" w:bidi="en-US"/>
        </w:rPr>
        <w:t xml:space="preserve">the last two, i.e. </w:t>
      </w:r>
      <w:r w:rsidR="001D1F5A">
        <w:rPr>
          <w:lang w:val="en-GB" w:bidi="en-US"/>
        </w:rPr>
        <w:t>th</w:t>
      </w:r>
      <w:r w:rsidR="003469ED">
        <w:rPr>
          <w:lang w:val="en-GB" w:bidi="en-US"/>
        </w:rPr>
        <w:t xml:space="preserve">ose </w:t>
      </w:r>
      <w:r w:rsidR="00972D41">
        <w:rPr>
          <w:lang w:val="en-GB" w:bidi="en-US"/>
        </w:rPr>
        <w:t xml:space="preserve">aimed at guiding companies belonging to </w:t>
      </w:r>
      <w:r w:rsidR="003469ED">
        <w:rPr>
          <w:lang w:val="en-GB" w:bidi="en-US"/>
        </w:rPr>
        <w:t>specific industries</w:t>
      </w:r>
      <w:r w:rsidR="00972D41">
        <w:rPr>
          <w:lang w:val="en-GB" w:bidi="en-US"/>
        </w:rPr>
        <w:t xml:space="preserve"> (mainly electric and electronic equipment) and</w:t>
      </w:r>
      <w:r w:rsidR="003469ED">
        <w:rPr>
          <w:lang w:val="en-GB" w:bidi="en-US"/>
        </w:rPr>
        <w:t xml:space="preserve"> those aimed at </w:t>
      </w:r>
      <w:r w:rsidR="00972D41">
        <w:rPr>
          <w:lang w:val="en-GB" w:bidi="en-US"/>
        </w:rPr>
        <w:t xml:space="preserve">indicating </w:t>
      </w:r>
      <w:r w:rsidR="003469ED">
        <w:rPr>
          <w:lang w:val="en-GB" w:bidi="en-US"/>
        </w:rPr>
        <w:t xml:space="preserve">general and innovative </w:t>
      </w:r>
      <w:r w:rsidR="00972D41">
        <w:rPr>
          <w:lang w:val="en-GB" w:bidi="en-US"/>
        </w:rPr>
        <w:t>patterns</w:t>
      </w:r>
      <w:r w:rsidR="003469ED">
        <w:rPr>
          <w:lang w:val="en-GB" w:bidi="en-US"/>
        </w:rPr>
        <w:t xml:space="preserve"> </w:t>
      </w:r>
      <w:r w:rsidR="0023161B">
        <w:rPr>
          <w:lang w:val="en-GB" w:bidi="en-US"/>
        </w:rPr>
        <w:t>helping</w:t>
      </w:r>
      <w:r w:rsidR="003469ED">
        <w:rPr>
          <w:lang w:val="en-GB" w:bidi="en-US"/>
        </w:rPr>
        <w:t xml:space="preserve"> companies </w:t>
      </w:r>
      <w:r w:rsidR="0023161B">
        <w:rPr>
          <w:lang w:val="en-GB" w:bidi="en-US"/>
        </w:rPr>
        <w:t>in</w:t>
      </w:r>
      <w:r w:rsidR="003469ED">
        <w:rPr>
          <w:lang w:val="en-GB" w:bidi="en-US"/>
        </w:rPr>
        <w:t xml:space="preserve"> address</w:t>
      </w:r>
      <w:r w:rsidR="0023161B">
        <w:rPr>
          <w:lang w:val="en-GB" w:bidi="en-US"/>
        </w:rPr>
        <w:t>ing</w:t>
      </w:r>
      <w:r w:rsidR="003469ED">
        <w:rPr>
          <w:lang w:val="en-GB" w:bidi="en-US"/>
        </w:rPr>
        <w:t xml:space="preserve"> CE in a more effective way</w:t>
      </w:r>
      <w:r w:rsidR="00972D41">
        <w:rPr>
          <w:lang w:val="en-GB" w:bidi="en-US"/>
        </w:rPr>
        <w:t>, independently by the referring industry</w:t>
      </w:r>
      <w:r w:rsidR="003469ED">
        <w:rPr>
          <w:lang w:val="en-GB" w:bidi="en-US"/>
        </w:rPr>
        <w:t xml:space="preserve">. </w:t>
      </w:r>
      <w:r w:rsidR="004D7337">
        <w:rPr>
          <w:lang w:val="en-GB" w:bidi="en-US"/>
        </w:rPr>
        <w:t>Furthermore</w:t>
      </w:r>
      <w:r w:rsidR="003469ED">
        <w:rPr>
          <w:lang w:val="en-GB" w:bidi="en-US"/>
        </w:rPr>
        <w:t xml:space="preserve">, </w:t>
      </w:r>
      <w:r w:rsidR="00297855">
        <w:rPr>
          <w:lang w:val="en-GB" w:bidi="en-US"/>
        </w:rPr>
        <w:t xml:space="preserve">there is a </w:t>
      </w:r>
      <w:r w:rsidR="004D7337">
        <w:rPr>
          <w:lang w:val="en-GB" w:bidi="en-US"/>
        </w:rPr>
        <w:t>research gap</w:t>
      </w:r>
      <w:r w:rsidR="003469ED">
        <w:rPr>
          <w:lang w:val="en-GB" w:bidi="en-US"/>
        </w:rPr>
        <w:t xml:space="preserve"> </w:t>
      </w:r>
      <w:r w:rsidR="00B324D4">
        <w:rPr>
          <w:lang w:val="en-GB" w:bidi="en-US"/>
        </w:rPr>
        <w:t>in</w:t>
      </w:r>
      <w:r w:rsidR="003469ED">
        <w:rPr>
          <w:lang w:val="en-GB" w:bidi="en-US"/>
        </w:rPr>
        <w:t xml:space="preserve"> </w:t>
      </w:r>
      <w:r w:rsidR="00B324D4">
        <w:rPr>
          <w:lang w:val="en-GB" w:bidi="en-US"/>
        </w:rPr>
        <w:t xml:space="preserve">terms of </w:t>
      </w:r>
      <w:r w:rsidR="003469ED">
        <w:rPr>
          <w:lang w:val="en-GB" w:bidi="en-US"/>
        </w:rPr>
        <w:t xml:space="preserve">consolidated circular </w:t>
      </w:r>
      <w:r w:rsidR="00DC7DBB">
        <w:rPr>
          <w:lang w:val="en-GB" w:bidi="en-US"/>
        </w:rPr>
        <w:t>practices</w:t>
      </w:r>
      <w:r w:rsidR="003469ED">
        <w:rPr>
          <w:lang w:val="en-GB" w:bidi="en-US"/>
        </w:rPr>
        <w:t xml:space="preserve"> </w:t>
      </w:r>
      <w:r w:rsidR="00D82D32">
        <w:rPr>
          <w:lang w:val="en-GB" w:bidi="en-US"/>
        </w:rPr>
        <w:t>guiding</w:t>
      </w:r>
      <w:r w:rsidR="00297855">
        <w:rPr>
          <w:lang w:val="en-GB" w:bidi="en-US"/>
        </w:rPr>
        <w:t xml:space="preserve"> companies </w:t>
      </w:r>
      <w:r w:rsidR="00D82D32">
        <w:rPr>
          <w:lang w:val="en-GB" w:bidi="en-US"/>
        </w:rPr>
        <w:t>in</w:t>
      </w:r>
      <w:r w:rsidR="00297855">
        <w:rPr>
          <w:lang w:val="en-GB" w:bidi="en-US"/>
        </w:rPr>
        <w:t xml:space="preserve"> </w:t>
      </w:r>
      <w:r w:rsidR="00DC7DBB">
        <w:rPr>
          <w:lang w:val="en-GB" w:bidi="en-US"/>
        </w:rPr>
        <w:t>improv</w:t>
      </w:r>
      <w:r w:rsidR="00D82D32">
        <w:rPr>
          <w:lang w:val="en-GB" w:bidi="en-US"/>
        </w:rPr>
        <w:t>ing</w:t>
      </w:r>
      <w:r w:rsidR="00DC7DBB">
        <w:rPr>
          <w:lang w:val="en-GB" w:bidi="en-US"/>
        </w:rPr>
        <w:t xml:space="preserve"> the circularity of </w:t>
      </w:r>
      <w:r w:rsidR="00297855">
        <w:rPr>
          <w:lang w:val="en-GB" w:bidi="en-US"/>
        </w:rPr>
        <w:t xml:space="preserve">either </w:t>
      </w:r>
      <w:r w:rsidR="003469ED">
        <w:rPr>
          <w:lang w:val="en-GB" w:bidi="en-US"/>
        </w:rPr>
        <w:t>product or service</w:t>
      </w:r>
      <w:r w:rsidR="00297855">
        <w:rPr>
          <w:lang w:val="en-GB" w:bidi="en-US"/>
        </w:rPr>
        <w:t>s.</w:t>
      </w:r>
      <w:r w:rsidR="003469ED">
        <w:rPr>
          <w:lang w:val="en-GB" w:bidi="en-US"/>
        </w:rPr>
        <w:t xml:space="preserve">   </w:t>
      </w:r>
    </w:p>
    <w:p w14:paraId="4E41B93A" w14:textId="77777777" w:rsidR="00F14CCD" w:rsidRPr="00402AEC" w:rsidRDefault="00F14CCD" w:rsidP="00F14CCD">
      <w:pPr>
        <w:spacing w:after="160" w:line="360" w:lineRule="auto"/>
        <w:rPr>
          <w:rFonts w:eastAsia="Times New Roman"/>
          <w:i/>
          <w:lang w:val="en-GB"/>
        </w:rPr>
      </w:pPr>
      <w:r w:rsidRPr="00402AEC">
        <w:rPr>
          <w:rFonts w:eastAsia="Times New Roman"/>
          <w:i/>
          <w:lang w:val="en-GB"/>
        </w:rPr>
        <w:t>4.2 CBM classification methods</w:t>
      </w:r>
    </w:p>
    <w:p w14:paraId="4A6BCD19" w14:textId="617B430F" w:rsidR="00F14CCD" w:rsidRPr="00402AEC" w:rsidRDefault="00F07AD3" w:rsidP="00F14CCD">
      <w:pPr>
        <w:spacing w:after="240" w:line="360" w:lineRule="auto"/>
        <w:jc w:val="both"/>
        <w:rPr>
          <w:lang w:val="en-GB"/>
        </w:rPr>
      </w:pPr>
      <w:r>
        <w:rPr>
          <w:lang w:val="en-GB" w:bidi="en-US"/>
        </w:rPr>
        <w:t xml:space="preserve">The second </w:t>
      </w:r>
      <w:r w:rsidR="00A67F7D">
        <w:rPr>
          <w:lang w:val="en-GB" w:bidi="en-US"/>
        </w:rPr>
        <w:t>research area</w:t>
      </w:r>
      <w:r>
        <w:rPr>
          <w:lang w:val="en-GB" w:bidi="en-US"/>
        </w:rPr>
        <w:t xml:space="preserve"> </w:t>
      </w:r>
      <w:r w:rsidR="003D5730">
        <w:rPr>
          <w:lang w:val="en-GB" w:bidi="en-US"/>
        </w:rPr>
        <w:t>about</w:t>
      </w:r>
      <w:r w:rsidR="00F14CCD" w:rsidRPr="00402AEC">
        <w:rPr>
          <w:lang w:val="en-GB" w:bidi="en-US"/>
        </w:rPr>
        <w:t xml:space="preserve"> CBM</w:t>
      </w:r>
      <w:r w:rsidR="003D5730">
        <w:rPr>
          <w:lang w:val="en-GB" w:bidi="en-US"/>
        </w:rPr>
        <w:t>s is related with</w:t>
      </w:r>
      <w:r w:rsidR="00F14CCD" w:rsidRPr="00402AEC">
        <w:rPr>
          <w:lang w:val="en-GB" w:bidi="en-US"/>
        </w:rPr>
        <w:t xml:space="preserve"> classification methods. In general terms, it is possible to distinguish these works in three macro segments: 1) papers referring to the ReSOLVE framework proposed by </w:t>
      </w:r>
      <w:r w:rsidR="00F14CCD" w:rsidRPr="00FC04A3">
        <w:rPr>
          <w:lang w:val="en-GB" w:bidi="en-US"/>
        </w:rPr>
        <w:fldChar w:fldCharType="begin" w:fldLock="1"/>
      </w:r>
      <w:r w:rsidR="003445CC">
        <w:rPr>
          <w:lang w:val="en-GB" w:bidi="en-US"/>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Transition","type":"report"},"uris":["http://www.mendeley.com/documents/?uuid=971e4fa0-7fe9-4e1f-b452-62303eeda0d3"]}],"mendeley":{"formattedCitation":"(The Ellen MacArthur Foundation, 2015)","manualFormatting":"The Ellen MacArthur Foundation (2015)","plainTextFormattedCitation":"(The Ellen MacArthur Foundation, 2015)","previouslyFormattedCitation":"(The Ellen MacArthur Foundation, 2015)"},"properties":{"noteIndex":0},"schema":"https://github.com/citation-style-language/schema/raw/master/csl-citation.json"}</w:instrText>
      </w:r>
      <w:r w:rsidR="00F14CCD" w:rsidRPr="00FC04A3">
        <w:rPr>
          <w:lang w:val="en-GB" w:bidi="en-US"/>
        </w:rPr>
        <w:fldChar w:fldCharType="separate"/>
      </w:r>
      <w:r w:rsidR="00F14CCD" w:rsidRPr="00402AEC">
        <w:rPr>
          <w:noProof/>
          <w:lang w:val="en-GB" w:bidi="en-US"/>
        </w:rPr>
        <w:t>The Ellen MacArthur Foundation (2015)</w:t>
      </w:r>
      <w:r w:rsidR="00F14CCD" w:rsidRPr="00FC04A3">
        <w:rPr>
          <w:lang w:val="en-GB" w:bidi="en-US"/>
        </w:rPr>
        <w:fldChar w:fldCharType="end"/>
      </w:r>
      <w:r w:rsidR="00F14CCD" w:rsidRPr="00402AEC">
        <w:rPr>
          <w:lang w:val="en-GB" w:bidi="en-US"/>
        </w:rPr>
        <w:t xml:space="preserve">, 2) papers </w:t>
      </w:r>
      <w:r w:rsidR="005B6A59">
        <w:rPr>
          <w:lang w:val="en-GB" w:bidi="en-US"/>
        </w:rPr>
        <w:t>focusing on</w:t>
      </w:r>
      <w:r w:rsidR="00F14CCD" w:rsidRPr="00402AEC">
        <w:rPr>
          <w:lang w:val="en-GB" w:bidi="en-US"/>
        </w:rPr>
        <w:t xml:space="preserve"> the Business Model Canvas (BMC) methodology proposed by </w:t>
      </w:r>
      <w:r w:rsidR="00F14CCD" w:rsidRPr="009601F2">
        <w:rPr>
          <w:lang w:val="en-GB" w:bidi="en-US"/>
        </w:rPr>
        <w:fldChar w:fldCharType="begin" w:fldLock="1"/>
      </w:r>
      <w:r w:rsidR="00BF2F60">
        <w:rPr>
          <w:lang w:val="en-GB" w:bidi="en-US"/>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Osterwalder","given":"Alexander","non-dropping-particle":"","parse-names":false,"suffix":""},{"dropping-particle":"","family":"Pigneur","given":"Yves","non-dropping-particle":"","parse-names":false,"suffix":""}],"id":"ITEM-1","issue":"9","issued":{"date-parts":[["2010"]]},"number-of-pages":"288","publisher":"John Wiley &amp; Sons, Inc.","publisher-place":"Hoboken, New Jersey, USA","title":"Business Model Generation","type":"book","volume":"53"},"uris":["http://www.mendeley.com/documents/?uuid=37f35225-65c8-47f9-a956-8ef3e6e94bf0","http://www.mendeley.com/documents/?uuid=7f327a01-bfb0-439d-80a7-b94ce1fd37d5"]}],"mendeley":{"formattedCitation":"(Osterwalder and Pigneur, 2010)","manualFormatting":"Osterwalder and Pigneur (2010)","plainTextFormattedCitation":"(Osterwalder and Pigneur, 2010)","previouslyFormattedCitation":"(Osterwalder and Pigneur, 2010)"},"properties":{"noteIndex":0},"schema":"https://github.com/citation-style-language/schema/raw/master/csl-citation.json"}</w:instrText>
      </w:r>
      <w:r w:rsidR="00F14CCD" w:rsidRPr="009601F2">
        <w:rPr>
          <w:lang w:val="en-GB" w:bidi="en-US"/>
        </w:rPr>
        <w:fldChar w:fldCharType="separate"/>
      </w:r>
      <w:r w:rsidR="00F14CCD" w:rsidRPr="00402AEC">
        <w:rPr>
          <w:noProof/>
          <w:lang w:val="en-GB" w:bidi="en-US"/>
        </w:rPr>
        <w:t>Osterwalder and Pigneur (2010)</w:t>
      </w:r>
      <w:r w:rsidR="00F14CCD" w:rsidRPr="009601F2">
        <w:rPr>
          <w:lang w:val="en-GB" w:bidi="en-US"/>
        </w:rPr>
        <w:fldChar w:fldCharType="end"/>
      </w:r>
      <w:r w:rsidR="00F14CCD" w:rsidRPr="00402AEC">
        <w:rPr>
          <w:lang w:val="en-GB" w:bidi="en-US"/>
        </w:rPr>
        <w:t xml:space="preserve"> and 3) papers proposing hybrid models, exploiting both the previous ideas – see Table </w:t>
      </w:r>
      <w:r w:rsidR="00827CAA">
        <w:rPr>
          <w:lang w:val="en-GB" w:bidi="en-US"/>
        </w:rPr>
        <w:t>3</w:t>
      </w:r>
      <w:r w:rsidR="00F14CCD" w:rsidRPr="00402AEC">
        <w:rPr>
          <w:lang w:val="en-GB" w:bidi="en-US"/>
        </w:rPr>
        <w:t xml:space="preserve"> for details.</w:t>
      </w:r>
    </w:p>
    <w:p w14:paraId="24A8088F" w14:textId="43CD6705" w:rsidR="00F14CCD" w:rsidRPr="00402AEC" w:rsidRDefault="00F14CCD" w:rsidP="00F14CCD">
      <w:pPr>
        <w:pStyle w:val="Didascalia"/>
        <w:spacing w:after="240" w:line="360" w:lineRule="auto"/>
        <w:jc w:val="center"/>
        <w:rPr>
          <w:b w:val="0"/>
          <w:sz w:val="24"/>
          <w:lang w:val="en-GB"/>
        </w:rPr>
      </w:pPr>
      <w:r w:rsidRPr="00402AEC">
        <w:rPr>
          <w:caps w:val="0"/>
          <w:sz w:val="24"/>
          <w:lang w:val="en-GB"/>
        </w:rPr>
        <w:t xml:space="preserve">Table </w:t>
      </w:r>
      <w:r w:rsidRPr="009601F2">
        <w:rPr>
          <w:sz w:val="24"/>
          <w:lang w:val="en-GB"/>
        </w:rPr>
        <w:fldChar w:fldCharType="begin"/>
      </w:r>
      <w:r w:rsidRPr="004604C4">
        <w:rPr>
          <w:sz w:val="24"/>
          <w:lang w:val="en-GB"/>
        </w:rPr>
        <w:instrText xml:space="preserve"> SEQ Table \* ARABIC </w:instrText>
      </w:r>
      <w:r w:rsidRPr="009601F2">
        <w:rPr>
          <w:sz w:val="24"/>
          <w:lang w:val="en-GB"/>
        </w:rPr>
        <w:fldChar w:fldCharType="separate"/>
      </w:r>
      <w:r w:rsidR="008F7F15">
        <w:rPr>
          <w:noProof/>
          <w:sz w:val="24"/>
          <w:lang w:val="en-GB"/>
        </w:rPr>
        <w:t>3</w:t>
      </w:r>
      <w:r w:rsidRPr="009601F2">
        <w:rPr>
          <w:sz w:val="24"/>
          <w:lang w:val="en-GB"/>
        </w:rPr>
        <w:fldChar w:fldCharType="end"/>
      </w:r>
      <w:r w:rsidRPr="00402AEC">
        <w:rPr>
          <w:caps w:val="0"/>
          <w:sz w:val="24"/>
          <w:lang w:val="en-GB"/>
        </w:rPr>
        <w:t>.</w:t>
      </w:r>
      <w:r w:rsidRPr="00402AEC">
        <w:rPr>
          <w:b w:val="0"/>
          <w:caps w:val="0"/>
          <w:sz w:val="24"/>
          <w:lang w:val="en-GB"/>
        </w:rPr>
        <w:t xml:space="preserve"> CBM classification methods</w:t>
      </w:r>
    </w:p>
    <w:tbl>
      <w:tblPr>
        <w:tblStyle w:val="Grigliatabella"/>
        <w:tblW w:w="5000" w:type="pct"/>
        <w:tblLook w:val="01E0" w:firstRow="1" w:lastRow="1" w:firstColumn="1" w:lastColumn="1" w:noHBand="0" w:noVBand="0"/>
      </w:tblPr>
      <w:tblGrid>
        <w:gridCol w:w="3013"/>
        <w:gridCol w:w="1311"/>
        <w:gridCol w:w="776"/>
        <w:gridCol w:w="587"/>
        <w:gridCol w:w="656"/>
        <w:gridCol w:w="552"/>
        <w:gridCol w:w="598"/>
        <w:gridCol w:w="683"/>
        <w:gridCol w:w="776"/>
        <w:gridCol w:w="670"/>
      </w:tblGrid>
      <w:tr w:rsidR="00F14CCD" w:rsidRPr="00402AEC" w14:paraId="14B6CBDE" w14:textId="77777777" w:rsidTr="00D62E44">
        <w:tc>
          <w:tcPr>
            <w:tcW w:w="1566" w:type="pct"/>
            <w:vMerge w:val="restart"/>
          </w:tcPr>
          <w:p w14:paraId="5D5D0C92" w14:textId="77777777" w:rsidR="00F14CCD" w:rsidRPr="00402AEC" w:rsidRDefault="00F14CCD" w:rsidP="00D62E44">
            <w:pPr>
              <w:rPr>
                <w:b/>
                <w:lang w:val="en-GB"/>
              </w:rPr>
            </w:pPr>
            <w:r w:rsidRPr="00402AEC">
              <w:rPr>
                <w:b/>
                <w:lang w:val="en-GB"/>
              </w:rPr>
              <w:t>Author</w:t>
            </w:r>
          </w:p>
        </w:tc>
        <w:tc>
          <w:tcPr>
            <w:tcW w:w="3434" w:type="pct"/>
            <w:gridSpan w:val="9"/>
          </w:tcPr>
          <w:p w14:paraId="55B826D6" w14:textId="2A3F2E9E" w:rsidR="00F14CCD" w:rsidRPr="00402AEC" w:rsidRDefault="00F14CCD" w:rsidP="00D62E44">
            <w:pPr>
              <w:jc w:val="center"/>
              <w:rPr>
                <w:b/>
                <w:lang w:val="en-GB"/>
              </w:rPr>
            </w:pPr>
            <w:r w:rsidRPr="00402AEC">
              <w:rPr>
                <w:b/>
                <w:lang w:val="en-GB"/>
              </w:rPr>
              <w:t>CBM classification method</w:t>
            </w:r>
            <w:r w:rsidR="001A4CFA">
              <w:rPr>
                <w:b/>
                <w:lang w:val="en-GB"/>
              </w:rPr>
              <w:t>s</w:t>
            </w:r>
          </w:p>
        </w:tc>
      </w:tr>
      <w:tr w:rsidR="00F14CCD" w:rsidRPr="00402AEC" w14:paraId="0CD8E64E" w14:textId="77777777" w:rsidTr="00FC6976">
        <w:tc>
          <w:tcPr>
            <w:tcW w:w="1566" w:type="pct"/>
            <w:vMerge/>
          </w:tcPr>
          <w:p w14:paraId="43B7BB3F" w14:textId="77777777" w:rsidR="00F14CCD" w:rsidRPr="00402AEC" w:rsidRDefault="00F14CCD" w:rsidP="00D62E44">
            <w:pPr>
              <w:rPr>
                <w:b/>
                <w:lang w:val="en-GB"/>
              </w:rPr>
            </w:pPr>
          </w:p>
        </w:tc>
        <w:tc>
          <w:tcPr>
            <w:tcW w:w="681" w:type="pct"/>
          </w:tcPr>
          <w:p w14:paraId="7A97312E" w14:textId="77777777" w:rsidR="00F14CCD" w:rsidRPr="00402AEC" w:rsidRDefault="00F14CCD" w:rsidP="00D62E44">
            <w:pPr>
              <w:jc w:val="center"/>
              <w:rPr>
                <w:b/>
                <w:lang w:val="en-GB"/>
              </w:rPr>
            </w:pPr>
            <w:r w:rsidRPr="00402AEC">
              <w:rPr>
                <w:b/>
                <w:lang w:val="en-GB"/>
              </w:rPr>
              <w:t>ReSOLVE</w:t>
            </w:r>
          </w:p>
        </w:tc>
        <w:tc>
          <w:tcPr>
            <w:tcW w:w="403" w:type="pct"/>
          </w:tcPr>
          <w:p w14:paraId="1546B4FD" w14:textId="77777777" w:rsidR="00F14CCD" w:rsidRPr="00402AEC" w:rsidRDefault="00F14CCD" w:rsidP="00D62E44">
            <w:pPr>
              <w:jc w:val="center"/>
              <w:rPr>
                <w:b/>
                <w:lang w:val="en-GB"/>
              </w:rPr>
            </w:pPr>
            <w:r w:rsidRPr="00402AEC">
              <w:rPr>
                <w:b/>
                <w:lang w:val="en-GB"/>
              </w:rPr>
              <w:t>BMC</w:t>
            </w:r>
          </w:p>
        </w:tc>
        <w:tc>
          <w:tcPr>
            <w:tcW w:w="305" w:type="pct"/>
          </w:tcPr>
          <w:p w14:paraId="549A0A60" w14:textId="77777777" w:rsidR="00F14CCD" w:rsidRPr="00402AEC" w:rsidRDefault="00F14CCD" w:rsidP="00D62E44">
            <w:pPr>
              <w:jc w:val="center"/>
              <w:rPr>
                <w:b/>
                <w:lang w:val="en-GB"/>
              </w:rPr>
            </w:pPr>
            <w:r w:rsidRPr="00402AEC">
              <w:rPr>
                <w:b/>
                <w:lang w:val="en-GB"/>
              </w:rPr>
              <w:t>SI</w:t>
            </w:r>
          </w:p>
        </w:tc>
        <w:tc>
          <w:tcPr>
            <w:tcW w:w="341" w:type="pct"/>
          </w:tcPr>
          <w:p w14:paraId="348CF51E" w14:textId="77777777" w:rsidR="00F14CCD" w:rsidRPr="00402AEC" w:rsidRDefault="00F14CCD" w:rsidP="00D62E44">
            <w:pPr>
              <w:jc w:val="center"/>
              <w:rPr>
                <w:b/>
                <w:lang w:val="en-GB"/>
              </w:rPr>
            </w:pPr>
            <w:r w:rsidRPr="00402AEC">
              <w:rPr>
                <w:b/>
                <w:lang w:val="en-GB"/>
              </w:rPr>
              <w:t>PPP</w:t>
            </w:r>
          </w:p>
        </w:tc>
        <w:tc>
          <w:tcPr>
            <w:tcW w:w="287" w:type="pct"/>
          </w:tcPr>
          <w:p w14:paraId="1EA45D7C" w14:textId="77777777" w:rsidR="00F14CCD" w:rsidRPr="00402AEC" w:rsidRDefault="00F14CCD" w:rsidP="00D62E44">
            <w:pPr>
              <w:jc w:val="center"/>
              <w:rPr>
                <w:b/>
                <w:lang w:val="en-GB"/>
              </w:rPr>
            </w:pPr>
            <w:r w:rsidRPr="00402AEC">
              <w:rPr>
                <w:b/>
                <w:lang w:val="en-GB"/>
              </w:rPr>
              <w:t>OS</w:t>
            </w:r>
          </w:p>
        </w:tc>
        <w:tc>
          <w:tcPr>
            <w:tcW w:w="311" w:type="pct"/>
          </w:tcPr>
          <w:p w14:paraId="22A332DE" w14:textId="77777777" w:rsidR="00F14CCD" w:rsidRPr="00402AEC" w:rsidRDefault="00F14CCD" w:rsidP="00D62E44">
            <w:pPr>
              <w:jc w:val="center"/>
              <w:rPr>
                <w:b/>
                <w:lang w:val="en-GB"/>
              </w:rPr>
            </w:pPr>
            <w:r w:rsidRPr="00402AEC">
              <w:rPr>
                <w:b/>
                <w:lang w:val="en-GB"/>
              </w:rPr>
              <w:t>CD</w:t>
            </w:r>
          </w:p>
        </w:tc>
        <w:tc>
          <w:tcPr>
            <w:tcW w:w="355" w:type="pct"/>
          </w:tcPr>
          <w:p w14:paraId="69E339CD" w14:textId="77777777" w:rsidR="00F14CCD" w:rsidRPr="00402AEC" w:rsidRDefault="00F14CCD" w:rsidP="00D62E44">
            <w:pPr>
              <w:jc w:val="center"/>
              <w:rPr>
                <w:b/>
                <w:lang w:val="en-GB"/>
              </w:rPr>
            </w:pPr>
            <w:r w:rsidRPr="00402AEC">
              <w:rPr>
                <w:b/>
                <w:lang w:val="en-GB"/>
              </w:rPr>
              <w:t>BSC</w:t>
            </w:r>
          </w:p>
        </w:tc>
        <w:tc>
          <w:tcPr>
            <w:tcW w:w="403" w:type="pct"/>
          </w:tcPr>
          <w:p w14:paraId="4D2D4E6E" w14:textId="77777777" w:rsidR="00F14CCD" w:rsidRPr="00402AEC" w:rsidRDefault="00F14CCD" w:rsidP="00D62E44">
            <w:pPr>
              <w:jc w:val="center"/>
              <w:rPr>
                <w:b/>
                <w:lang w:val="en-GB"/>
              </w:rPr>
            </w:pPr>
            <w:r w:rsidRPr="00402AEC">
              <w:rPr>
                <w:b/>
                <w:lang w:val="en-GB"/>
              </w:rPr>
              <w:t>VEM</w:t>
            </w:r>
          </w:p>
        </w:tc>
        <w:tc>
          <w:tcPr>
            <w:tcW w:w="348" w:type="pct"/>
          </w:tcPr>
          <w:p w14:paraId="5E26AD72" w14:textId="77777777" w:rsidR="00F14CCD" w:rsidRPr="00402AEC" w:rsidRDefault="00F14CCD" w:rsidP="00D62E44">
            <w:pPr>
              <w:jc w:val="center"/>
              <w:rPr>
                <w:b/>
                <w:lang w:val="en-GB"/>
              </w:rPr>
            </w:pPr>
            <w:r w:rsidRPr="00402AEC">
              <w:rPr>
                <w:b/>
                <w:lang w:val="en-GB"/>
              </w:rPr>
              <w:t>MM</w:t>
            </w:r>
          </w:p>
        </w:tc>
      </w:tr>
      <w:tr w:rsidR="00F14CCD" w:rsidRPr="00402AEC" w14:paraId="66D1A05C" w14:textId="77777777" w:rsidTr="00FC6976">
        <w:tc>
          <w:tcPr>
            <w:tcW w:w="1566" w:type="pct"/>
          </w:tcPr>
          <w:p w14:paraId="7807E36C" w14:textId="27C98D98" w:rsidR="00F14CCD" w:rsidRPr="00FC04A3" w:rsidRDefault="00F14CCD" w:rsidP="00D62E44">
            <w:pPr>
              <w:rPr>
                <w:sz w:val="20"/>
                <w:szCs w:val="20"/>
                <w:highlight w:val="yellow"/>
                <w:lang w:val="en-GB"/>
              </w:rPr>
            </w:pPr>
            <w:r w:rsidRPr="00FC04A3">
              <w:rPr>
                <w:sz w:val="20"/>
                <w:szCs w:val="20"/>
                <w:lang w:val="en-GB"/>
              </w:rPr>
              <w:fldChar w:fldCharType="begin" w:fldLock="1"/>
            </w:r>
            <w:r w:rsidR="00BF2F60">
              <w:rPr>
                <w:sz w:val="20"/>
                <w:szCs w:val="20"/>
                <w:lang w:val="en-GB"/>
              </w:rPr>
              <w:instrText>ADDIN CSL_CITATION {"citationItems":[{"id":"ITEM-1","itemData":{"DOI":"http://timreview.ca/article/1000","ISBN":"9783737540599","ISSN":"1927-0321","PMID":"19270321","abstract":"The Technology Innovation Management Review (TIM Review) provides insights about the issues and emerging trends relevant to launching and growing technology businesses. The TIM Review focuses on the theories, strategies, and tools that help small and large technology companies succeed. Our readers are looking for practical ideas they can apply within their own organizations. The TIM Review brings together diverse viewpoints – from academics, entrepren- eurs, companies of all sizes, the public sector, the com- munity sector, and others – to bridge the gap between theory and practice. In particular, we focus on the topics of technology and global entrepreneurship in small and large companies. We welcome input from readers into upcoming themes. Please visit timreview.ca to suggest themes and nominate authors and guest editors","author":[{"dropping-particle":"","family":"Antikainen","given":"Maria","non-dropping-particle":"","parse-names":false,"suffix":""},{"dropping-particle":"","family":"Valkokari","given":"Katri","non-dropping-particle":"","parse-names":false,"suffix":""}],"container-title":"Technology Innovation Management Review","id":"ITEM-1","issue":"7","issued":{"date-parts":[["2016"]]},"page":"1-8","title":"A Framework for Sustainable Circular Business Model Innovation","type":"article-journal","volume":"5"},"uris":["http://www.mendeley.com/documents/?uuid=85f8f690-b9f9-4635-a98f-30e85521b5ba","http://www.mendeley.com/documents/?uuid=c007b8ef-d2f5-42f6-97ac-87df1e0dce74"]}],"mendeley":{"formattedCitation":"(Antikainen and Valkokari, 2016)","plainTextFormattedCitation":"(Antikainen and Valkokari, 2016)","previouslyFormattedCitation":"(Antikainen and Valkokari, 2016)"},"properties":{"noteIndex":0},"schema":"https://github.com/citation-style-language/schema/raw/master/csl-citation.json"}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(Antikainen and Valkokari, 2016)</w:t>
            </w:r>
            <w:r w:rsidRPr="00FC04A3">
              <w:rPr>
                <w:sz w:val="20"/>
                <w:szCs w:val="20"/>
                <w:lang w:val="en-GB"/>
              </w:rPr>
              <w:fldChar w:fldCharType="end"/>
            </w:r>
          </w:p>
        </w:tc>
        <w:tc>
          <w:tcPr>
            <w:tcW w:w="681" w:type="pct"/>
          </w:tcPr>
          <w:p w14:paraId="61ACA310" w14:textId="77777777" w:rsidR="00F14CCD" w:rsidRPr="00FC04A3" w:rsidRDefault="00F14CCD" w:rsidP="00D62E44">
            <w:pPr>
              <w:jc w:val="center"/>
              <w:rPr>
                <w:sz w:val="20"/>
                <w:szCs w:val="20"/>
                <w:lang w:val="en-GB"/>
              </w:rPr>
            </w:pPr>
          </w:p>
        </w:tc>
        <w:tc>
          <w:tcPr>
            <w:tcW w:w="403" w:type="pct"/>
          </w:tcPr>
          <w:p w14:paraId="36F88E54" w14:textId="77777777" w:rsidR="00F14CCD" w:rsidRPr="00FC04A3" w:rsidRDefault="00F14CCD" w:rsidP="00D62E44">
            <w:pPr>
              <w:jc w:val="center"/>
              <w:rPr>
                <w:sz w:val="20"/>
                <w:szCs w:val="20"/>
                <w:lang w:val="en-GB"/>
              </w:rPr>
            </w:pPr>
            <w:r w:rsidRPr="00FC04A3">
              <w:rPr>
                <w:sz w:val="20"/>
                <w:szCs w:val="20"/>
                <w:lang w:val="en-GB"/>
              </w:rPr>
              <w:t>x</w:t>
            </w:r>
          </w:p>
        </w:tc>
        <w:tc>
          <w:tcPr>
            <w:tcW w:w="305" w:type="pct"/>
          </w:tcPr>
          <w:p w14:paraId="78790D78" w14:textId="77777777" w:rsidR="00F14CCD" w:rsidRPr="00FC04A3" w:rsidRDefault="00F14CCD" w:rsidP="00D62E44">
            <w:pPr>
              <w:jc w:val="center"/>
              <w:rPr>
                <w:sz w:val="20"/>
                <w:szCs w:val="20"/>
                <w:lang w:val="en-GB"/>
              </w:rPr>
            </w:pPr>
          </w:p>
        </w:tc>
        <w:tc>
          <w:tcPr>
            <w:tcW w:w="341" w:type="pct"/>
          </w:tcPr>
          <w:p w14:paraId="5706B672" w14:textId="77777777" w:rsidR="00F14CCD" w:rsidRPr="00FC04A3" w:rsidRDefault="00F14CCD" w:rsidP="00D62E44">
            <w:pPr>
              <w:jc w:val="center"/>
              <w:rPr>
                <w:sz w:val="20"/>
                <w:szCs w:val="20"/>
                <w:lang w:val="en-GB"/>
              </w:rPr>
            </w:pPr>
          </w:p>
        </w:tc>
        <w:tc>
          <w:tcPr>
            <w:tcW w:w="287" w:type="pct"/>
          </w:tcPr>
          <w:p w14:paraId="37920503" w14:textId="77777777" w:rsidR="00F14CCD" w:rsidRPr="00FC04A3" w:rsidRDefault="00F14CCD" w:rsidP="00D62E44">
            <w:pPr>
              <w:jc w:val="center"/>
              <w:rPr>
                <w:sz w:val="20"/>
                <w:szCs w:val="20"/>
                <w:lang w:val="en-GB"/>
              </w:rPr>
            </w:pPr>
          </w:p>
        </w:tc>
        <w:tc>
          <w:tcPr>
            <w:tcW w:w="311" w:type="pct"/>
          </w:tcPr>
          <w:p w14:paraId="77D71682" w14:textId="77777777" w:rsidR="00F14CCD" w:rsidRPr="00FC04A3" w:rsidRDefault="00F14CCD" w:rsidP="00D62E44">
            <w:pPr>
              <w:jc w:val="center"/>
              <w:rPr>
                <w:sz w:val="20"/>
                <w:szCs w:val="20"/>
                <w:lang w:val="en-GB"/>
              </w:rPr>
            </w:pPr>
          </w:p>
        </w:tc>
        <w:tc>
          <w:tcPr>
            <w:tcW w:w="355" w:type="pct"/>
          </w:tcPr>
          <w:p w14:paraId="118771F0" w14:textId="77777777" w:rsidR="00F14CCD" w:rsidRPr="00FC04A3" w:rsidRDefault="00F14CCD" w:rsidP="00D62E44">
            <w:pPr>
              <w:jc w:val="center"/>
              <w:rPr>
                <w:sz w:val="20"/>
                <w:szCs w:val="20"/>
                <w:lang w:val="en-GB"/>
              </w:rPr>
            </w:pPr>
          </w:p>
        </w:tc>
        <w:tc>
          <w:tcPr>
            <w:tcW w:w="403" w:type="pct"/>
          </w:tcPr>
          <w:p w14:paraId="142ACFA5" w14:textId="77777777" w:rsidR="00F14CCD" w:rsidRPr="00FC04A3" w:rsidRDefault="00F14CCD" w:rsidP="00D62E44">
            <w:pPr>
              <w:jc w:val="center"/>
              <w:rPr>
                <w:sz w:val="20"/>
                <w:szCs w:val="20"/>
                <w:lang w:val="en-GB"/>
              </w:rPr>
            </w:pPr>
          </w:p>
        </w:tc>
        <w:tc>
          <w:tcPr>
            <w:tcW w:w="348" w:type="pct"/>
          </w:tcPr>
          <w:p w14:paraId="496C9D0C" w14:textId="77777777" w:rsidR="00F14CCD" w:rsidRPr="00FC04A3" w:rsidRDefault="00F14CCD" w:rsidP="00D62E44">
            <w:pPr>
              <w:jc w:val="center"/>
              <w:rPr>
                <w:sz w:val="20"/>
                <w:szCs w:val="20"/>
                <w:lang w:val="en-GB"/>
              </w:rPr>
            </w:pPr>
          </w:p>
        </w:tc>
      </w:tr>
      <w:tr w:rsidR="00FC6976" w:rsidRPr="00402AEC" w14:paraId="5DEB9E77" w14:textId="77777777" w:rsidTr="00FC6976">
        <w:tc>
          <w:tcPr>
            <w:tcW w:w="1566" w:type="pct"/>
          </w:tcPr>
          <w:p w14:paraId="59CBB18A" w14:textId="371B992C" w:rsidR="00FC6976" w:rsidRPr="00FC04A3" w:rsidRDefault="00FC6976" w:rsidP="00FC6976">
            <w:pPr>
              <w:rPr>
                <w:sz w:val="20"/>
                <w:szCs w:val="20"/>
                <w:lang w:val="en-GB"/>
              </w:rPr>
            </w:pPr>
            <w:r w:rsidRPr="00FC04A3">
              <w:rPr>
                <w:sz w:val="20"/>
                <w:szCs w:val="20"/>
                <w:lang w:val="en-GB"/>
              </w:rPr>
              <w:fldChar w:fldCharType="begin" w:fldLock="1"/>
            </w:r>
            <w:r w:rsidR="003445CC">
              <w:rPr>
                <w:sz w:val="20"/>
                <w:szCs w:val="20"/>
                <w:lang w:val="en-GB"/>
              </w:rPr>
              <w:instrText>ADDIN CSL_CITATION {"citationItems":[{"id":"ITEM-1","itemData":{"DOI":"10.1016/j.jclepro.2013.11.039","ISBN":"0959-6526","ISSN":"09596526","PMID":"85588060","abstract":"Eco-innovations, eco-efficiency and corporate social responsibility practices define much of the current industrial sustainability agenda. While important, they are insufficient in themselves to deliver the holistic changes necessary to achieve long-term social and environmental sustainability. How can we encourage corporate innovation that significantly changes the way companies operate to ensure greater sustainability? Sustainable business models (SBM) incorporate a triple bottom line approach and consider a wide range of stakeholder interests, including environment and society. They are important in driving and implementing corporate innovation for sustainability, can help embed sustainability into business purpose and processes, and serve as a key driver of competitive advantage. Many innovative approaches may contribute to delivering sustainability through business models, but have not been collated under a unifying theme of business model innovation. The literature and business practice review has identified a wide range of examples of mechanisms and solutions that can contribute to business model innovation for sustainability. The examples were collated and analysed to identify defining patterns and attributes that might facilitate categorisation. Sustainable business model archetypes are introduced to describe groupings of mechanisms and solutions that may contribute to building up the business model for sustainability. The aim of these archetypes is to develop a common language that can be used to accelerate the development of sustainable business models in research and practice. The archetypes are: Maximise material and energy efficiency; Create value from 'waste'; Substitute with renewables and natural processes; Deliver functionality rather than ownership; Adopt a stewardship role; Encourage sufficiency; Re-purpose the business for society/environment; and Develop scale-up solutions. © 2014 The Authors. Published by Elsevier Ltd. All rights reserved.","author":[{"dropping-particle":"","family":"Bocken","given":"Nancy M.P.","non-dropping-particle":"","parse-names":false,"suffix":""},{"dropping-particle":"","family":"Short","given":"Samuel W.","non-dropping-particle":"","parse-names":false,"suffix":""},{"dropping-particle":"","family":"Rana","given":"Padmakshi","non-dropping-particle":"","parse-names":false,"suffix":""},{"dropping-particle":"","family":"Evans","given":"Steve","non-dropping-particle":"","parse-names":false,"suffix":""}],"container-title":"Journal of Cleaner Production","id":"ITEM-1","issued":{"date-parts":[["2014"]]},"page":"42-56","publisher":"Elsevier Ltd","title":"A literature and practice review to develop sustainable business model archetypes","type":"article-journal","volume":"65"},"uris":["http://www.mendeley.com/documents/?uuid=82f53de2-bc6a-4c81-a31b-e10c611a6544"]}],"mendeley":{"formattedCitation":"(Bocken et al., 2014)","plainTextFormattedCitation":"(Bocken et al., 2014)","previouslyFormattedCitation":"(Bocken et al., 2014)"},"properties":{"noteIndex":0},"schema":"https://github.com/citation-style-language/schema/raw/master/csl-citation.json"}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(Bocken et al., 2014)</w:t>
            </w:r>
            <w:r w:rsidRPr="00FC04A3">
              <w:rPr>
                <w:sz w:val="20"/>
                <w:szCs w:val="20"/>
                <w:lang w:val="en-GB"/>
              </w:rPr>
              <w:fldChar w:fldCharType="end"/>
            </w:r>
          </w:p>
        </w:tc>
        <w:tc>
          <w:tcPr>
            <w:tcW w:w="681" w:type="pct"/>
          </w:tcPr>
          <w:p w14:paraId="7666F257" w14:textId="77777777" w:rsidR="00FC6976" w:rsidRPr="00FC04A3" w:rsidRDefault="00FC6976" w:rsidP="00FC6976">
            <w:pPr>
              <w:jc w:val="center"/>
              <w:rPr>
                <w:sz w:val="20"/>
                <w:szCs w:val="20"/>
                <w:lang w:val="en-GB"/>
              </w:rPr>
            </w:pPr>
          </w:p>
        </w:tc>
        <w:tc>
          <w:tcPr>
            <w:tcW w:w="403" w:type="pct"/>
          </w:tcPr>
          <w:p w14:paraId="666BF36E" w14:textId="77777777" w:rsidR="00FC6976" w:rsidRPr="00FC04A3" w:rsidRDefault="00FC6976" w:rsidP="00FC6976">
            <w:pPr>
              <w:jc w:val="center"/>
              <w:rPr>
                <w:sz w:val="20"/>
                <w:szCs w:val="20"/>
                <w:lang w:val="en-GB"/>
              </w:rPr>
            </w:pPr>
          </w:p>
        </w:tc>
        <w:tc>
          <w:tcPr>
            <w:tcW w:w="305" w:type="pct"/>
          </w:tcPr>
          <w:p w14:paraId="5666BEAB" w14:textId="77777777" w:rsidR="00FC6976" w:rsidRPr="00FC04A3" w:rsidRDefault="00FC6976" w:rsidP="00FC6976">
            <w:pPr>
              <w:jc w:val="center"/>
              <w:rPr>
                <w:sz w:val="20"/>
                <w:szCs w:val="20"/>
                <w:lang w:val="en-GB"/>
              </w:rPr>
            </w:pPr>
          </w:p>
        </w:tc>
        <w:tc>
          <w:tcPr>
            <w:tcW w:w="341" w:type="pct"/>
          </w:tcPr>
          <w:p w14:paraId="3EAD7BB1" w14:textId="77777777" w:rsidR="00FC6976" w:rsidRPr="00FC04A3" w:rsidRDefault="00FC6976" w:rsidP="00FC6976">
            <w:pPr>
              <w:jc w:val="center"/>
              <w:rPr>
                <w:sz w:val="20"/>
                <w:szCs w:val="20"/>
                <w:lang w:val="en-GB"/>
              </w:rPr>
            </w:pPr>
          </w:p>
        </w:tc>
        <w:tc>
          <w:tcPr>
            <w:tcW w:w="287" w:type="pct"/>
          </w:tcPr>
          <w:p w14:paraId="206EF96A" w14:textId="77777777" w:rsidR="00FC6976" w:rsidRPr="00FC04A3" w:rsidRDefault="00FC6976" w:rsidP="00FC6976">
            <w:pPr>
              <w:jc w:val="center"/>
              <w:rPr>
                <w:sz w:val="20"/>
                <w:szCs w:val="20"/>
                <w:lang w:val="en-GB"/>
              </w:rPr>
            </w:pPr>
          </w:p>
        </w:tc>
        <w:tc>
          <w:tcPr>
            <w:tcW w:w="311" w:type="pct"/>
          </w:tcPr>
          <w:p w14:paraId="5C630F41" w14:textId="3717A385" w:rsidR="00FC6976" w:rsidRPr="00FC04A3" w:rsidRDefault="00FC6976" w:rsidP="00FC6976">
            <w:pPr>
              <w:jc w:val="center"/>
              <w:rPr>
                <w:sz w:val="20"/>
                <w:szCs w:val="20"/>
                <w:lang w:val="en-GB"/>
              </w:rPr>
            </w:pPr>
            <w:r w:rsidRPr="00FC04A3">
              <w:rPr>
                <w:sz w:val="20"/>
                <w:szCs w:val="20"/>
                <w:lang w:val="en-GB"/>
              </w:rPr>
              <w:t>x</w:t>
            </w:r>
          </w:p>
        </w:tc>
        <w:tc>
          <w:tcPr>
            <w:tcW w:w="355" w:type="pct"/>
          </w:tcPr>
          <w:p w14:paraId="5F4D0FD8" w14:textId="77777777" w:rsidR="00FC6976" w:rsidRPr="00FC04A3" w:rsidRDefault="00FC6976" w:rsidP="00FC6976">
            <w:pPr>
              <w:jc w:val="center"/>
              <w:rPr>
                <w:sz w:val="20"/>
                <w:szCs w:val="20"/>
                <w:lang w:val="en-GB"/>
              </w:rPr>
            </w:pPr>
          </w:p>
        </w:tc>
        <w:tc>
          <w:tcPr>
            <w:tcW w:w="403" w:type="pct"/>
          </w:tcPr>
          <w:p w14:paraId="2A65CC81" w14:textId="77777777" w:rsidR="00FC6976" w:rsidRPr="00FC04A3" w:rsidRDefault="00FC6976" w:rsidP="00FC6976">
            <w:pPr>
              <w:jc w:val="center"/>
              <w:rPr>
                <w:sz w:val="20"/>
                <w:szCs w:val="20"/>
                <w:lang w:val="en-GB"/>
              </w:rPr>
            </w:pPr>
          </w:p>
        </w:tc>
        <w:tc>
          <w:tcPr>
            <w:tcW w:w="348" w:type="pct"/>
          </w:tcPr>
          <w:p w14:paraId="1E632E15" w14:textId="77777777" w:rsidR="00FC6976" w:rsidRPr="00FC04A3" w:rsidRDefault="00FC6976" w:rsidP="00FC6976">
            <w:pPr>
              <w:jc w:val="center"/>
              <w:rPr>
                <w:sz w:val="20"/>
                <w:szCs w:val="20"/>
                <w:lang w:val="en-GB"/>
              </w:rPr>
            </w:pPr>
          </w:p>
        </w:tc>
      </w:tr>
      <w:tr w:rsidR="0000469E" w:rsidRPr="00402AEC" w14:paraId="2E0AB661" w14:textId="77777777" w:rsidTr="00FC6976">
        <w:tc>
          <w:tcPr>
            <w:tcW w:w="1566" w:type="pct"/>
          </w:tcPr>
          <w:p w14:paraId="5CB86452" w14:textId="5DEB84FB" w:rsidR="0000469E" w:rsidRPr="00FC04A3" w:rsidRDefault="0000469E" w:rsidP="0000469E">
            <w:pPr>
              <w:rPr>
                <w:sz w:val="20"/>
                <w:szCs w:val="20"/>
                <w:lang w:val="en-GB"/>
              </w:rPr>
            </w:pPr>
            <w:r w:rsidRPr="00FC04A3">
              <w:rPr>
                <w:sz w:val="20"/>
                <w:szCs w:val="20"/>
                <w:lang w:val="en-GB"/>
              </w:rPr>
              <w:fldChar w:fldCharType="begin" w:fldLock="1"/>
            </w:r>
            <w:r w:rsidR="003445CC">
              <w:rPr>
                <w:sz w:val="20"/>
                <w:szCs w:val="20"/>
                <w:lang w:val="en-GB"/>
              </w:rPr>
              <w:instrText>ADDIN CSL_CITATION {"citationItems":[{"id":"ITEM-1","itemData":{"DOI":"10.1080/21681015.2016.1172124","ISBN":"10.1080/21681015.2016.1172124","ISSN":"21681023","abstract":"The transition within business from a linear to a circular economy brings with it a range of practical challenges for companies. The following question is addressed: What are the product design and business model strategies for companies that want to move to a circular economy model? This paper develops a framework of strategies to guide designers and business strategists in the move from a linear to a circular economy. Building on Stahel, the terminology of slowing, closing, and narrowing resource loops is introduced. A list of product design strategies, business model strategies, and examples for key decision-makers in businesses is introduced, to facilitate the move to a circular economy. This framework also opens up a future research agenda for the circular economy.","author":[{"dropping-particle":"","family":"Bocken","given":"Nancy M.P.","non-dropping-particle":"","parse-names":false,"suffix":""},{"dropping-particle":"","family":"Pauw","given":"Ingrid","non-dropping-particle":"de","parse-names":false,"suffix":""},{"dropping-particle":"","family":"Bakker","given":"Conny A.","non-dropping-particle":"","parse-names":false,"suffix":""},{"dropping-particle":"","family":"Grinten","given":"Bram","non-dropping-particle":"van der","parse-names":false,"suffix":""}],"container-title":"Journal of Industrial and Production Engineering","id":"ITEM-1","issue":"5","issued":{"date-parts":[["2016"]]},"page":"308-320","publisher":"Taylor &amp; Francis","title":"Product design and business model strategies for a circular economy","type":"article-journal","volume":"33"},"uris":["http://www.mendeley.com/documents/?uuid=ef2c2b2e-1e94-4d10-b966-511148dc0d31"]}],"mendeley":{"formattedCitation":"(Bocken et al., 2016a)","plainTextFormattedCitation":"(Bocken et al., 2016a)","previouslyFormattedCitation":"(Bocken et al., 2016a)"},"properties":{"noteIndex":0},"schema":"https://github.com/citation-style-language/schema/raw/master/csl-citation.json"}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(Bocken et al., 2016a)</w:t>
            </w:r>
            <w:r w:rsidRPr="00FC04A3">
              <w:rPr>
                <w:sz w:val="20"/>
                <w:szCs w:val="20"/>
                <w:lang w:val="en-GB"/>
              </w:rPr>
              <w:fldChar w:fldCharType="end"/>
            </w:r>
          </w:p>
        </w:tc>
        <w:tc>
          <w:tcPr>
            <w:tcW w:w="681" w:type="pct"/>
          </w:tcPr>
          <w:p w14:paraId="28ED7B87" w14:textId="77777777" w:rsidR="0000469E" w:rsidRPr="00FC04A3" w:rsidRDefault="0000469E" w:rsidP="0000469E">
            <w:pPr>
              <w:jc w:val="center"/>
              <w:rPr>
                <w:sz w:val="20"/>
                <w:szCs w:val="20"/>
                <w:lang w:val="en-GB"/>
              </w:rPr>
            </w:pPr>
          </w:p>
        </w:tc>
        <w:tc>
          <w:tcPr>
            <w:tcW w:w="403" w:type="pct"/>
          </w:tcPr>
          <w:p w14:paraId="39A8A670" w14:textId="77777777" w:rsidR="0000469E" w:rsidRPr="00FC04A3" w:rsidRDefault="0000469E" w:rsidP="0000469E">
            <w:pPr>
              <w:jc w:val="center"/>
              <w:rPr>
                <w:sz w:val="20"/>
                <w:szCs w:val="20"/>
                <w:lang w:val="en-GB"/>
              </w:rPr>
            </w:pPr>
          </w:p>
        </w:tc>
        <w:tc>
          <w:tcPr>
            <w:tcW w:w="305" w:type="pct"/>
          </w:tcPr>
          <w:p w14:paraId="1605D99A" w14:textId="77777777" w:rsidR="0000469E" w:rsidRPr="00FC04A3" w:rsidRDefault="0000469E" w:rsidP="0000469E">
            <w:pPr>
              <w:jc w:val="center"/>
              <w:rPr>
                <w:sz w:val="20"/>
                <w:szCs w:val="20"/>
                <w:lang w:val="en-GB"/>
              </w:rPr>
            </w:pPr>
          </w:p>
        </w:tc>
        <w:tc>
          <w:tcPr>
            <w:tcW w:w="341" w:type="pct"/>
          </w:tcPr>
          <w:p w14:paraId="7979A449" w14:textId="77777777" w:rsidR="0000469E" w:rsidRPr="00FC04A3" w:rsidRDefault="0000469E" w:rsidP="0000469E">
            <w:pPr>
              <w:jc w:val="center"/>
              <w:rPr>
                <w:sz w:val="20"/>
                <w:szCs w:val="20"/>
                <w:lang w:val="en-GB"/>
              </w:rPr>
            </w:pPr>
          </w:p>
        </w:tc>
        <w:tc>
          <w:tcPr>
            <w:tcW w:w="287" w:type="pct"/>
          </w:tcPr>
          <w:p w14:paraId="4AA07F54" w14:textId="77777777" w:rsidR="0000469E" w:rsidRPr="00FC04A3" w:rsidRDefault="0000469E" w:rsidP="0000469E">
            <w:pPr>
              <w:jc w:val="center"/>
              <w:rPr>
                <w:sz w:val="20"/>
                <w:szCs w:val="20"/>
                <w:lang w:val="en-GB"/>
              </w:rPr>
            </w:pPr>
          </w:p>
        </w:tc>
        <w:tc>
          <w:tcPr>
            <w:tcW w:w="311" w:type="pct"/>
          </w:tcPr>
          <w:p w14:paraId="0A418845" w14:textId="591AE7DE" w:rsidR="0000469E" w:rsidRPr="00FC04A3" w:rsidRDefault="0000469E" w:rsidP="0000469E">
            <w:pPr>
              <w:jc w:val="center"/>
              <w:rPr>
                <w:sz w:val="20"/>
                <w:szCs w:val="20"/>
                <w:lang w:val="en-GB"/>
              </w:rPr>
            </w:pPr>
            <w:r w:rsidRPr="00FC04A3">
              <w:rPr>
                <w:sz w:val="20"/>
                <w:szCs w:val="20"/>
                <w:lang w:val="en-GB"/>
              </w:rPr>
              <w:t>x</w:t>
            </w:r>
          </w:p>
        </w:tc>
        <w:tc>
          <w:tcPr>
            <w:tcW w:w="355" w:type="pct"/>
          </w:tcPr>
          <w:p w14:paraId="0F156EE0" w14:textId="77777777" w:rsidR="0000469E" w:rsidRPr="00FC04A3" w:rsidRDefault="0000469E" w:rsidP="0000469E">
            <w:pPr>
              <w:jc w:val="center"/>
              <w:rPr>
                <w:sz w:val="20"/>
                <w:szCs w:val="20"/>
                <w:lang w:val="en-GB"/>
              </w:rPr>
            </w:pPr>
          </w:p>
        </w:tc>
        <w:tc>
          <w:tcPr>
            <w:tcW w:w="403" w:type="pct"/>
          </w:tcPr>
          <w:p w14:paraId="444B3681" w14:textId="77777777" w:rsidR="0000469E" w:rsidRPr="00FC04A3" w:rsidRDefault="0000469E" w:rsidP="0000469E">
            <w:pPr>
              <w:jc w:val="center"/>
              <w:rPr>
                <w:sz w:val="20"/>
                <w:szCs w:val="20"/>
                <w:lang w:val="en-GB"/>
              </w:rPr>
            </w:pPr>
          </w:p>
        </w:tc>
        <w:tc>
          <w:tcPr>
            <w:tcW w:w="348" w:type="pct"/>
          </w:tcPr>
          <w:p w14:paraId="1476D65F" w14:textId="77777777" w:rsidR="0000469E" w:rsidRPr="00FC04A3" w:rsidRDefault="0000469E" w:rsidP="0000469E">
            <w:pPr>
              <w:jc w:val="center"/>
              <w:rPr>
                <w:sz w:val="20"/>
                <w:szCs w:val="20"/>
                <w:lang w:val="en-GB"/>
              </w:rPr>
            </w:pPr>
          </w:p>
        </w:tc>
      </w:tr>
      <w:tr w:rsidR="0000469E" w:rsidRPr="00402AEC" w14:paraId="20EE59FB" w14:textId="77777777" w:rsidTr="00FC6976">
        <w:tc>
          <w:tcPr>
            <w:tcW w:w="1566" w:type="pct"/>
          </w:tcPr>
          <w:p w14:paraId="1301E2CF" w14:textId="2D8A7852" w:rsidR="0000469E" w:rsidRPr="00FC04A3" w:rsidRDefault="0000469E" w:rsidP="0000469E">
            <w:pPr>
              <w:rPr>
                <w:sz w:val="20"/>
                <w:szCs w:val="20"/>
                <w:highlight w:val="yellow"/>
                <w:lang w:val="en-GB"/>
              </w:rPr>
            </w:pPr>
            <w:r w:rsidRPr="00FC04A3">
              <w:rPr>
                <w:sz w:val="20"/>
                <w:szCs w:val="20"/>
                <w:lang w:val="en-GB"/>
              </w:rPr>
              <w:fldChar w:fldCharType="begin" w:fldLock="1"/>
            </w:r>
            <w:r w:rsidR="00BF2F60">
              <w:rPr>
                <w:sz w:val="20"/>
                <w:szCs w:val="20"/>
                <w:lang w:val="en-GB"/>
              </w:rPr>
              <w:instrText>ADDIN CSL_CITATION {"citationItems":[{"id":"ITEM-1","itemData":{"author":[{"dropping-particle":"","family":"Charter","given":"Martin","non-dropping-particle":"","parse-names":false,"suffix":""}],"container-title":"Sustainable Innovation 2016","id":"ITEM-1","issued":{"date-parts":[["2016"]]},"page":"64-69","title":"Circular Economy Business Models","type":"paper-conference"},"uris":["http://www.mendeley.com/documents/?uuid=1439eaf5-5545-40d6-97f0-503595326c6d","http://www.mendeley.com/documents/?uuid=def9751c-0e21-44c2-8c10-105c5e8eaf91"]}],"mendeley":{"formattedCitation":"(Charter, 2016)","plainTextFormattedCitation":"(Charter, 2016)","previouslyFormattedCitation":"(Charter, 2016)"},"properties":{"noteIndex":0},"schema":"https://github.com/citation-style-language/schema/raw/master/csl-citation.json"}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(Charter, 2016)</w:t>
            </w:r>
            <w:r w:rsidRPr="00FC04A3">
              <w:rPr>
                <w:sz w:val="20"/>
                <w:szCs w:val="20"/>
                <w:lang w:val="en-GB"/>
              </w:rPr>
              <w:fldChar w:fldCharType="end"/>
            </w:r>
          </w:p>
        </w:tc>
        <w:tc>
          <w:tcPr>
            <w:tcW w:w="681" w:type="pct"/>
          </w:tcPr>
          <w:p w14:paraId="4A66DC91" w14:textId="5C5B8B0B" w:rsidR="0000469E" w:rsidRPr="00FC04A3" w:rsidRDefault="0000469E" w:rsidP="0000469E">
            <w:pPr>
              <w:jc w:val="center"/>
              <w:rPr>
                <w:sz w:val="20"/>
                <w:szCs w:val="20"/>
                <w:lang w:val="en-GB"/>
              </w:rPr>
            </w:pPr>
            <w:r w:rsidRPr="00FC04A3">
              <w:rPr>
                <w:sz w:val="20"/>
                <w:szCs w:val="20"/>
                <w:lang w:val="en-GB"/>
              </w:rPr>
              <w:t>x</w:t>
            </w:r>
          </w:p>
        </w:tc>
        <w:tc>
          <w:tcPr>
            <w:tcW w:w="403" w:type="pct"/>
          </w:tcPr>
          <w:p w14:paraId="67287772" w14:textId="77777777" w:rsidR="0000469E" w:rsidRPr="00FC04A3" w:rsidRDefault="0000469E" w:rsidP="0000469E">
            <w:pPr>
              <w:jc w:val="center"/>
              <w:rPr>
                <w:sz w:val="20"/>
                <w:szCs w:val="20"/>
                <w:lang w:val="en-GB"/>
              </w:rPr>
            </w:pPr>
          </w:p>
        </w:tc>
        <w:tc>
          <w:tcPr>
            <w:tcW w:w="305" w:type="pct"/>
          </w:tcPr>
          <w:p w14:paraId="167B4947" w14:textId="3784AC1A" w:rsidR="0000469E" w:rsidRPr="00FC04A3" w:rsidRDefault="0000469E" w:rsidP="0000469E">
            <w:pPr>
              <w:jc w:val="center"/>
              <w:rPr>
                <w:sz w:val="20"/>
                <w:szCs w:val="20"/>
                <w:lang w:val="en-GB"/>
              </w:rPr>
            </w:pPr>
          </w:p>
        </w:tc>
        <w:tc>
          <w:tcPr>
            <w:tcW w:w="341" w:type="pct"/>
          </w:tcPr>
          <w:p w14:paraId="12B6DBBF" w14:textId="77777777" w:rsidR="0000469E" w:rsidRPr="00FC04A3" w:rsidRDefault="0000469E" w:rsidP="0000469E">
            <w:pPr>
              <w:jc w:val="center"/>
              <w:rPr>
                <w:sz w:val="20"/>
                <w:szCs w:val="20"/>
                <w:lang w:val="en-GB"/>
              </w:rPr>
            </w:pPr>
          </w:p>
        </w:tc>
        <w:tc>
          <w:tcPr>
            <w:tcW w:w="287" w:type="pct"/>
          </w:tcPr>
          <w:p w14:paraId="0C18F5A6" w14:textId="77777777" w:rsidR="0000469E" w:rsidRPr="00FC04A3" w:rsidRDefault="0000469E" w:rsidP="0000469E">
            <w:pPr>
              <w:jc w:val="center"/>
              <w:rPr>
                <w:sz w:val="20"/>
                <w:szCs w:val="20"/>
                <w:lang w:val="en-GB"/>
              </w:rPr>
            </w:pPr>
          </w:p>
        </w:tc>
        <w:tc>
          <w:tcPr>
            <w:tcW w:w="311" w:type="pct"/>
          </w:tcPr>
          <w:p w14:paraId="34948AD1" w14:textId="77777777" w:rsidR="0000469E" w:rsidRPr="00FC04A3" w:rsidRDefault="0000469E" w:rsidP="0000469E">
            <w:pPr>
              <w:jc w:val="center"/>
              <w:rPr>
                <w:sz w:val="20"/>
                <w:szCs w:val="20"/>
                <w:lang w:val="en-GB"/>
              </w:rPr>
            </w:pPr>
          </w:p>
        </w:tc>
        <w:tc>
          <w:tcPr>
            <w:tcW w:w="355" w:type="pct"/>
          </w:tcPr>
          <w:p w14:paraId="419E3F87" w14:textId="77777777" w:rsidR="0000469E" w:rsidRPr="00FC04A3" w:rsidRDefault="0000469E" w:rsidP="0000469E">
            <w:pPr>
              <w:jc w:val="center"/>
              <w:rPr>
                <w:sz w:val="20"/>
                <w:szCs w:val="20"/>
                <w:lang w:val="en-GB"/>
              </w:rPr>
            </w:pPr>
          </w:p>
        </w:tc>
        <w:tc>
          <w:tcPr>
            <w:tcW w:w="403" w:type="pct"/>
          </w:tcPr>
          <w:p w14:paraId="6EF80272" w14:textId="77777777" w:rsidR="0000469E" w:rsidRPr="00FC04A3" w:rsidRDefault="0000469E" w:rsidP="0000469E">
            <w:pPr>
              <w:jc w:val="center"/>
              <w:rPr>
                <w:sz w:val="20"/>
                <w:szCs w:val="20"/>
                <w:lang w:val="en-GB"/>
              </w:rPr>
            </w:pPr>
          </w:p>
        </w:tc>
        <w:tc>
          <w:tcPr>
            <w:tcW w:w="348" w:type="pct"/>
          </w:tcPr>
          <w:p w14:paraId="3B82B88A" w14:textId="77777777" w:rsidR="0000469E" w:rsidRPr="00FC04A3" w:rsidRDefault="0000469E" w:rsidP="0000469E">
            <w:pPr>
              <w:jc w:val="center"/>
              <w:rPr>
                <w:sz w:val="20"/>
                <w:szCs w:val="20"/>
                <w:lang w:val="en-GB"/>
              </w:rPr>
            </w:pPr>
          </w:p>
        </w:tc>
      </w:tr>
      <w:tr w:rsidR="0040404D" w:rsidRPr="00402AEC" w14:paraId="337F1484" w14:textId="77777777" w:rsidTr="00FC6976">
        <w:tc>
          <w:tcPr>
            <w:tcW w:w="1566" w:type="pct"/>
          </w:tcPr>
          <w:p w14:paraId="019A5A09" w14:textId="61C11F67" w:rsidR="0040404D" w:rsidRPr="00FC04A3" w:rsidRDefault="0040404D" w:rsidP="0040404D">
            <w:pPr>
              <w:rPr>
                <w:sz w:val="20"/>
                <w:szCs w:val="20"/>
                <w:lang w:val="en-GB"/>
              </w:rPr>
            </w:pPr>
            <w:r w:rsidRPr="00FC04A3">
              <w:rPr>
                <w:sz w:val="20"/>
                <w:szCs w:val="20"/>
                <w:lang w:val="en-GB"/>
              </w:rPr>
              <w:fldChar w:fldCharType="begin" w:fldLock="1"/>
            </w:r>
            <w:r w:rsidR="003445CC">
              <w:rPr>
                <w:sz w:val="20"/>
                <w:szCs w:val="20"/>
                <w:lang w:val="en-GB"/>
              </w:rPr>
              <w:instrText>ADDIN CSL_CITATION {"citationItems":[{"id":"ITEM-1","itemData":{"DOI":"10.1016/j.techfore.2017.09.010","ISBN":"00401625 (ISSN)","ISSN":"00401625","abstract":"This work makes the case for the integration of the circular economy (CE) and large-scale data (LD), also known as big data. The paper is one of the first to integrate conceptual and practical trends regarding: (a) the ReSOLVE based models of the circular economy; (b) key stakeholders roles in pursuing a more sustainable society; and (c) the volume, velocity, variety, and veracity (4V's) of large-scale data (LD) management. This study's contributions include: (1) introducing a new integrative framework to enhance the understanding of the CE-LD nexus; (2) a relational matrix which illustrates the complexity of large-scale data and stakeholders management; and (3) a research agenda, with clear research propositions and future research direction. The proposed CE-LD integrative framework provides socio-technical insights for academics, practitioners, managers, and policy decision-makers.","author":[{"dropping-particle":"","family":"Chiappetta Jabbour","given":"Charbel Jose","non-dropping-particle":"","parse-names":false,"suffix":""},{"dropping-particle":"","family":"Lopes de Sousa Jabbour","given":"Ana Beatriz","non-dropping-particle":"","parse-names":false,"suffix":""},{"dropping-particle":"","family":"Sarkis","given":"Joseph","non-dropping-particle":"","parse-names":false,"suffix":""},{"dropping-particle":"","family":"Godinho Filho","given":"Moacir","non-dropping-particle":"","parse-names":false,"suffix":""}],"container-title":"Technological Forecasting &amp; Social Change","id":"ITEM-1","issued":{"date-parts":[["2017"]]},"publisher":"Elsevier","title":"Unlocking the circular economy through new business models based on large-scale data: An integrative framework and research agenda","type":"article-journal"},"uris":["http://www.mendeley.com/documents/?uuid=169f20f9-27f2-4590-be6f-198a62917ce2"]}],"mendeley":{"formattedCitation":"(Chiappetta Jabbour et al., 2017)","plainTextFormattedCitation":"(Chiappetta Jabbour et al., 2017)","previouslyFormattedCitation":"(Chiappetta Jabbour et al., 2017)"},"properties":{"noteIndex":0},"schema":"https://github.com/citation-style-language/schema/raw/master/csl-citation.json"}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(Chiappetta Jabbour et al., 2017)</w:t>
            </w:r>
            <w:r w:rsidRPr="00FC04A3">
              <w:rPr>
                <w:sz w:val="20"/>
                <w:szCs w:val="20"/>
                <w:lang w:val="en-GB"/>
              </w:rPr>
              <w:fldChar w:fldCharType="end"/>
            </w:r>
          </w:p>
        </w:tc>
        <w:tc>
          <w:tcPr>
            <w:tcW w:w="681" w:type="pct"/>
          </w:tcPr>
          <w:p w14:paraId="197CC185" w14:textId="4507C7E3" w:rsidR="0040404D" w:rsidRPr="00FC04A3" w:rsidRDefault="0040404D" w:rsidP="0040404D">
            <w:pPr>
              <w:jc w:val="center"/>
              <w:rPr>
                <w:sz w:val="20"/>
                <w:szCs w:val="20"/>
                <w:lang w:val="en-GB"/>
              </w:rPr>
            </w:pPr>
            <w:r w:rsidRPr="00FC04A3">
              <w:rPr>
                <w:sz w:val="20"/>
                <w:szCs w:val="20"/>
                <w:lang w:val="en-GB"/>
              </w:rPr>
              <w:t>x</w:t>
            </w:r>
          </w:p>
        </w:tc>
        <w:tc>
          <w:tcPr>
            <w:tcW w:w="403" w:type="pct"/>
          </w:tcPr>
          <w:p w14:paraId="6218D246" w14:textId="77777777" w:rsidR="0040404D" w:rsidRPr="00FC04A3" w:rsidRDefault="0040404D" w:rsidP="0040404D">
            <w:pPr>
              <w:jc w:val="center"/>
              <w:rPr>
                <w:sz w:val="20"/>
                <w:szCs w:val="20"/>
                <w:lang w:val="en-GB"/>
              </w:rPr>
            </w:pPr>
          </w:p>
        </w:tc>
        <w:tc>
          <w:tcPr>
            <w:tcW w:w="305" w:type="pct"/>
          </w:tcPr>
          <w:p w14:paraId="6D47AD4B" w14:textId="77777777" w:rsidR="0040404D" w:rsidRPr="00FC04A3" w:rsidRDefault="0040404D" w:rsidP="0040404D">
            <w:pPr>
              <w:jc w:val="center"/>
              <w:rPr>
                <w:sz w:val="20"/>
                <w:szCs w:val="20"/>
                <w:lang w:val="en-GB"/>
              </w:rPr>
            </w:pPr>
          </w:p>
        </w:tc>
        <w:tc>
          <w:tcPr>
            <w:tcW w:w="341" w:type="pct"/>
          </w:tcPr>
          <w:p w14:paraId="71D000F1" w14:textId="77777777" w:rsidR="0040404D" w:rsidRPr="00FC04A3" w:rsidRDefault="0040404D" w:rsidP="0040404D">
            <w:pPr>
              <w:jc w:val="center"/>
              <w:rPr>
                <w:sz w:val="20"/>
                <w:szCs w:val="20"/>
                <w:lang w:val="en-GB"/>
              </w:rPr>
            </w:pPr>
          </w:p>
        </w:tc>
        <w:tc>
          <w:tcPr>
            <w:tcW w:w="287" w:type="pct"/>
          </w:tcPr>
          <w:p w14:paraId="53C11091" w14:textId="77777777" w:rsidR="0040404D" w:rsidRPr="00FC04A3" w:rsidRDefault="0040404D" w:rsidP="0040404D">
            <w:pPr>
              <w:jc w:val="center"/>
              <w:rPr>
                <w:sz w:val="20"/>
                <w:szCs w:val="20"/>
                <w:lang w:val="en-GB"/>
              </w:rPr>
            </w:pPr>
          </w:p>
        </w:tc>
        <w:tc>
          <w:tcPr>
            <w:tcW w:w="311" w:type="pct"/>
          </w:tcPr>
          <w:p w14:paraId="30A55D9F" w14:textId="77777777" w:rsidR="0040404D" w:rsidRPr="00FC04A3" w:rsidRDefault="0040404D" w:rsidP="0040404D">
            <w:pPr>
              <w:jc w:val="center"/>
              <w:rPr>
                <w:sz w:val="20"/>
                <w:szCs w:val="20"/>
                <w:lang w:val="en-GB"/>
              </w:rPr>
            </w:pPr>
          </w:p>
        </w:tc>
        <w:tc>
          <w:tcPr>
            <w:tcW w:w="355" w:type="pct"/>
          </w:tcPr>
          <w:p w14:paraId="53057986" w14:textId="77777777" w:rsidR="0040404D" w:rsidRPr="00FC04A3" w:rsidRDefault="0040404D" w:rsidP="0040404D">
            <w:pPr>
              <w:jc w:val="center"/>
              <w:rPr>
                <w:sz w:val="20"/>
                <w:szCs w:val="20"/>
                <w:lang w:val="en-GB"/>
              </w:rPr>
            </w:pPr>
          </w:p>
        </w:tc>
        <w:tc>
          <w:tcPr>
            <w:tcW w:w="403" w:type="pct"/>
          </w:tcPr>
          <w:p w14:paraId="1413DE94" w14:textId="77777777" w:rsidR="0040404D" w:rsidRPr="00FC04A3" w:rsidRDefault="0040404D" w:rsidP="0040404D">
            <w:pPr>
              <w:jc w:val="center"/>
              <w:rPr>
                <w:sz w:val="20"/>
                <w:szCs w:val="20"/>
                <w:lang w:val="en-GB"/>
              </w:rPr>
            </w:pPr>
          </w:p>
        </w:tc>
        <w:tc>
          <w:tcPr>
            <w:tcW w:w="348" w:type="pct"/>
          </w:tcPr>
          <w:p w14:paraId="594E7F86" w14:textId="77777777" w:rsidR="0040404D" w:rsidRPr="00FC04A3" w:rsidRDefault="0040404D" w:rsidP="0040404D">
            <w:pPr>
              <w:jc w:val="center"/>
              <w:rPr>
                <w:sz w:val="20"/>
                <w:szCs w:val="20"/>
                <w:lang w:val="en-GB"/>
              </w:rPr>
            </w:pPr>
          </w:p>
        </w:tc>
      </w:tr>
      <w:tr w:rsidR="0040404D" w:rsidRPr="00402AEC" w14:paraId="18C978AA" w14:textId="77777777" w:rsidTr="00FC6976">
        <w:tc>
          <w:tcPr>
            <w:tcW w:w="1566" w:type="pct"/>
          </w:tcPr>
          <w:p w14:paraId="7DF1D0EE" w14:textId="65714C00" w:rsidR="0040404D" w:rsidRPr="00FC04A3" w:rsidRDefault="0040404D" w:rsidP="0040404D">
            <w:pPr>
              <w:rPr>
                <w:sz w:val="20"/>
                <w:szCs w:val="20"/>
                <w:lang w:val="en-GB"/>
              </w:rPr>
            </w:pPr>
            <w:r w:rsidRPr="00FC04A3">
              <w:rPr>
                <w:sz w:val="20"/>
                <w:szCs w:val="20"/>
                <w:lang w:val="en-GB"/>
              </w:rPr>
              <w:fldChar w:fldCharType="begin" w:fldLock="1"/>
            </w:r>
            <w:r w:rsidR="003445CC">
              <w:rPr>
                <w:sz w:val="20"/>
                <w:szCs w:val="20"/>
                <w:lang w:val="en-GB"/>
              </w:rPr>
              <w:instrText>ADDIN CSL_CITATION {"citationItems":[{"id":"ITEM-1","itemData":{"DOI":"10.1016/j.jclepro.2017.09.047","ISSN":"09596526","abstract":"Circular Economy has undoubtedly become one of the hot topics in public debates about new and more sustainable industrial paradigms and strategies. In this respect, the fashion of Circular Economy is in the fact that it aims at overcoming the dominant linear take, make, disposal economy model, i.e. “a traditional open-ended economy model developed with no built-in tendency to recycle, which is reflected by treating the environment as a waste reservoir” (Su et al., 2013). Circular Economy, indeed, bases on the establishment of closed production systems, where resources are reused and kept in a loop of production and usage, allowing generating more value and for a longer period. Despite the interest for Circular Economy by politicians and practitioners, scholars, particularly in the strategic management field, are still struggling with a lack of a framework explaining how companies willing to become circular adapt their existing business model or create a new one. By extensively reviewing, through the lens of business model literature, the extant contributions on Circular Economy, we propose a taxonomy of Circular Economy Business Models based on the degree of adoption of circularity along two major dimensions: (i) the customer value proposition &amp; interface, i.e. the implementation of the circularity concept in proposing value to customers; (ii) the value network, i.e. the ways through which interacting with suppliers and reorganizing the own internal activities. The taxonomy is then initially tested through some explorative case studies, showing in practice the ability of the framework to properly distinguish different modes of adoption of Circular Economy.","author":[{"dropping-particle":"","family":"Chiaroni","given":"Davide","non-dropping-particle":"","parse-names":false,"suffix":""},{"dropping-particle":"","family":"Urbinati","given":"Andrea","non-dropping-particle":"","parse-names":false,"suffix":""},{"dropping-particle":"","family":"Chiesa","given":"Vittorio","non-dropping-particle":"","parse-names":false,"suffix":""}],"container-title":"The XXVII edition of the Annual Scientific Meeting of the Italian Association of Management Engineering (AiIG), Higher Education and Socio-Economic Development","id":"ITEM-1","issued":{"date-parts":[["2016"]]},"page":"1-27","publisher":"AIIG","publisher-place":"Bergamo, Italy","title":"Circular Economy Business Models: towards a new taxonomy of the degree of circularity","type":"paper-conference"},"uris":["http://www.mendeley.com/documents/?uuid=6974aa35-4d6c-4c1f-b519-f9398d589916","http://www.mendeley.com/documents/?uuid=4a74de4a-6000-4399-9452-6422c844bbbf"]}],"mendeley":{"formattedCitation":"(Chiaroni et al., 2016)","plainTextFormattedCitation":"(Chiaroni et al., 2016)","previouslyFormattedCitation":"(Chiaroni et al., 2016)"},"properties":{"noteIndex":0},"schema":"https://github.com/citation-style-language/schema/raw/master/csl-citation.json"}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(Chiaroni et al., 2016)</w:t>
            </w:r>
            <w:r w:rsidRPr="00FC04A3">
              <w:rPr>
                <w:sz w:val="20"/>
                <w:szCs w:val="20"/>
                <w:lang w:val="en-GB"/>
              </w:rPr>
              <w:fldChar w:fldCharType="end"/>
            </w:r>
          </w:p>
        </w:tc>
        <w:tc>
          <w:tcPr>
            <w:tcW w:w="681" w:type="pct"/>
          </w:tcPr>
          <w:p w14:paraId="40E93711" w14:textId="77777777" w:rsidR="0040404D" w:rsidRPr="00FC04A3" w:rsidRDefault="0040404D" w:rsidP="0040404D">
            <w:pPr>
              <w:jc w:val="center"/>
              <w:rPr>
                <w:sz w:val="20"/>
                <w:szCs w:val="20"/>
                <w:lang w:val="en-GB"/>
              </w:rPr>
            </w:pPr>
          </w:p>
        </w:tc>
        <w:tc>
          <w:tcPr>
            <w:tcW w:w="403" w:type="pct"/>
          </w:tcPr>
          <w:p w14:paraId="4DF263B6" w14:textId="685DA67C" w:rsidR="0040404D" w:rsidRPr="00FC04A3" w:rsidRDefault="0040404D" w:rsidP="0040404D">
            <w:pPr>
              <w:jc w:val="center"/>
              <w:rPr>
                <w:sz w:val="20"/>
                <w:szCs w:val="20"/>
                <w:lang w:val="en-GB"/>
              </w:rPr>
            </w:pPr>
            <w:r w:rsidRPr="00FC04A3">
              <w:rPr>
                <w:sz w:val="20"/>
                <w:szCs w:val="20"/>
                <w:lang w:val="en-GB"/>
              </w:rPr>
              <w:t>x</w:t>
            </w:r>
          </w:p>
        </w:tc>
        <w:tc>
          <w:tcPr>
            <w:tcW w:w="305" w:type="pct"/>
          </w:tcPr>
          <w:p w14:paraId="66E82378" w14:textId="77777777" w:rsidR="0040404D" w:rsidRPr="00FC04A3" w:rsidRDefault="0040404D" w:rsidP="0040404D">
            <w:pPr>
              <w:jc w:val="center"/>
              <w:rPr>
                <w:sz w:val="20"/>
                <w:szCs w:val="20"/>
                <w:lang w:val="en-GB"/>
              </w:rPr>
            </w:pPr>
          </w:p>
        </w:tc>
        <w:tc>
          <w:tcPr>
            <w:tcW w:w="341" w:type="pct"/>
          </w:tcPr>
          <w:p w14:paraId="72A59113" w14:textId="77777777" w:rsidR="0040404D" w:rsidRPr="00FC04A3" w:rsidRDefault="0040404D" w:rsidP="0040404D">
            <w:pPr>
              <w:jc w:val="center"/>
              <w:rPr>
                <w:sz w:val="20"/>
                <w:szCs w:val="20"/>
                <w:lang w:val="en-GB"/>
              </w:rPr>
            </w:pPr>
          </w:p>
        </w:tc>
        <w:tc>
          <w:tcPr>
            <w:tcW w:w="287" w:type="pct"/>
          </w:tcPr>
          <w:p w14:paraId="54BB87FA" w14:textId="77777777" w:rsidR="0040404D" w:rsidRPr="00FC04A3" w:rsidRDefault="0040404D" w:rsidP="0040404D">
            <w:pPr>
              <w:jc w:val="center"/>
              <w:rPr>
                <w:sz w:val="20"/>
                <w:szCs w:val="20"/>
                <w:lang w:val="en-GB"/>
              </w:rPr>
            </w:pPr>
          </w:p>
        </w:tc>
        <w:tc>
          <w:tcPr>
            <w:tcW w:w="311" w:type="pct"/>
          </w:tcPr>
          <w:p w14:paraId="395C683F" w14:textId="77777777" w:rsidR="0040404D" w:rsidRPr="00FC04A3" w:rsidRDefault="0040404D" w:rsidP="0040404D">
            <w:pPr>
              <w:jc w:val="center"/>
              <w:rPr>
                <w:sz w:val="20"/>
                <w:szCs w:val="20"/>
                <w:lang w:val="en-GB"/>
              </w:rPr>
            </w:pPr>
          </w:p>
        </w:tc>
        <w:tc>
          <w:tcPr>
            <w:tcW w:w="355" w:type="pct"/>
          </w:tcPr>
          <w:p w14:paraId="29181E57" w14:textId="77777777" w:rsidR="0040404D" w:rsidRPr="00FC04A3" w:rsidRDefault="0040404D" w:rsidP="0040404D">
            <w:pPr>
              <w:jc w:val="center"/>
              <w:rPr>
                <w:sz w:val="20"/>
                <w:szCs w:val="20"/>
                <w:lang w:val="en-GB"/>
              </w:rPr>
            </w:pPr>
          </w:p>
        </w:tc>
        <w:tc>
          <w:tcPr>
            <w:tcW w:w="403" w:type="pct"/>
          </w:tcPr>
          <w:p w14:paraId="1D50C733" w14:textId="77777777" w:rsidR="0040404D" w:rsidRPr="00FC04A3" w:rsidRDefault="0040404D" w:rsidP="0040404D">
            <w:pPr>
              <w:jc w:val="center"/>
              <w:rPr>
                <w:sz w:val="20"/>
                <w:szCs w:val="20"/>
                <w:lang w:val="en-GB"/>
              </w:rPr>
            </w:pPr>
          </w:p>
        </w:tc>
        <w:tc>
          <w:tcPr>
            <w:tcW w:w="348" w:type="pct"/>
          </w:tcPr>
          <w:p w14:paraId="3EF6AFF7" w14:textId="77777777" w:rsidR="0040404D" w:rsidRPr="00FC04A3" w:rsidRDefault="0040404D" w:rsidP="0040404D">
            <w:pPr>
              <w:jc w:val="center"/>
              <w:rPr>
                <w:sz w:val="20"/>
                <w:szCs w:val="20"/>
                <w:lang w:val="en-GB"/>
              </w:rPr>
            </w:pPr>
          </w:p>
        </w:tc>
      </w:tr>
      <w:tr w:rsidR="00097AE3" w:rsidRPr="00402AEC" w14:paraId="75A4375E" w14:textId="77777777" w:rsidTr="00FC6976">
        <w:tc>
          <w:tcPr>
            <w:tcW w:w="1566" w:type="pct"/>
          </w:tcPr>
          <w:p w14:paraId="4BDD333E" w14:textId="0F85FCAC" w:rsidR="00097AE3" w:rsidRPr="00FC04A3" w:rsidRDefault="00097AE3" w:rsidP="00097AE3">
            <w:pPr>
              <w:rPr>
                <w:sz w:val="20"/>
                <w:szCs w:val="20"/>
                <w:lang w:val="en-GB"/>
              </w:rPr>
            </w:pPr>
            <w:r w:rsidRPr="00FC04A3">
              <w:rPr>
                <w:sz w:val="20"/>
                <w:szCs w:val="20"/>
                <w:lang w:val="en-GB"/>
              </w:rPr>
              <w:fldChar w:fldCharType="begin" w:fldLock="1"/>
            </w:r>
            <w:r w:rsidR="00BF2F60">
              <w:rPr>
                <w:sz w:val="20"/>
                <w:szCs w:val="20"/>
                <w:lang w:val="en-GB"/>
              </w:rPr>
              <w:instrText>ADDIN CSL_CITATION {"citationItems":[{"id":"ITEM-1","itemData":{"DOI":"10.1016/j.procir.2016.12.005","ISBN":"22128271 (ISSN)","ISSN":"22128271","abstract":"Implementing sustainability principles of the circular economy and associated transitions tend to transcend the boundaries of individual businesses. This calls for a shift in traditional sustainability thinking by transitioning from business-oriented sub-optimisation to collaborative value chain optimisation. This paper proposes a framework to support companies in this transition by visualising the different relations in a morphological matrix to encourage the selection of the most appropriate principles for the specific industry context. The framework is evaluated in an industrial case with multiple stakeholders resulting in a feasible closed material loop.","author":[{"dropping-particle":"","family":"Haanstra","given":"W.","non-dropping-particle":"","parse-names":false,"suffix":""},{"dropping-particle":"","family":"Toxopeus","given":"M.E.","non-dropping-particle":"","parse-names":false,"suffix":""},{"dropping-particle":"","family":"Gerrevink","given":"M.R.","non-dropping-particle":"van","parse-names":false,"suffix":""}],"container-title":"Procedia CIRP","id":"ITEM-1","issued":{"date-parts":[["2017"]]},"page":"46-51","publisher":"Elsevier B.V.","title":"Product Life Cycle Planning for Sustainable Manufacturing: Translating Theory into Business Opportunities","type":"article-journal","volume":"61"},"uris":["http://www.mendeley.com/documents/?uuid=fe70a366-e694-46c5-a1d1-3ce5219524b9","http://www.mendeley.com/documents/?uuid=7d94920e-a7f7-4a7e-a88a-c797b8c5a041"]}],"mendeley":{"formattedCitation":"(Haanstra et al., 2017)","plainTextFormattedCitation":"(Haanstra et al., 2017)","previouslyFormattedCitation":"(Haanstra et al., 2017)"},"properties":{"noteIndex":0},"schema":"https://github.com/citation-style-language/schema/raw/master/csl-citation.json"}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(Haanstra et al., 2017)</w:t>
            </w:r>
            <w:r w:rsidRPr="00FC04A3">
              <w:rPr>
                <w:sz w:val="20"/>
                <w:szCs w:val="20"/>
                <w:lang w:val="en-GB"/>
              </w:rPr>
              <w:fldChar w:fldCharType="end"/>
            </w:r>
          </w:p>
        </w:tc>
        <w:tc>
          <w:tcPr>
            <w:tcW w:w="681" w:type="pct"/>
          </w:tcPr>
          <w:p w14:paraId="0003A73F" w14:textId="77777777" w:rsidR="00097AE3" w:rsidRPr="00FC04A3" w:rsidRDefault="00097AE3" w:rsidP="00097AE3">
            <w:pPr>
              <w:jc w:val="center"/>
              <w:rPr>
                <w:sz w:val="20"/>
                <w:szCs w:val="20"/>
                <w:lang w:val="en-GB"/>
              </w:rPr>
            </w:pPr>
          </w:p>
        </w:tc>
        <w:tc>
          <w:tcPr>
            <w:tcW w:w="403" w:type="pct"/>
          </w:tcPr>
          <w:p w14:paraId="2733C792" w14:textId="77777777" w:rsidR="00097AE3" w:rsidRPr="00FC04A3" w:rsidRDefault="00097AE3" w:rsidP="00097AE3">
            <w:pPr>
              <w:jc w:val="center"/>
              <w:rPr>
                <w:sz w:val="20"/>
                <w:szCs w:val="20"/>
                <w:lang w:val="en-GB"/>
              </w:rPr>
            </w:pPr>
          </w:p>
        </w:tc>
        <w:tc>
          <w:tcPr>
            <w:tcW w:w="305" w:type="pct"/>
          </w:tcPr>
          <w:p w14:paraId="087C01E9" w14:textId="77777777" w:rsidR="00097AE3" w:rsidRPr="00FC04A3" w:rsidRDefault="00097AE3" w:rsidP="00097AE3">
            <w:pPr>
              <w:jc w:val="center"/>
              <w:rPr>
                <w:sz w:val="20"/>
                <w:szCs w:val="20"/>
                <w:lang w:val="en-GB"/>
              </w:rPr>
            </w:pPr>
          </w:p>
        </w:tc>
        <w:tc>
          <w:tcPr>
            <w:tcW w:w="341" w:type="pct"/>
          </w:tcPr>
          <w:p w14:paraId="18620F17" w14:textId="77777777" w:rsidR="00097AE3" w:rsidRPr="00FC04A3" w:rsidRDefault="00097AE3" w:rsidP="00097AE3">
            <w:pPr>
              <w:jc w:val="center"/>
              <w:rPr>
                <w:sz w:val="20"/>
                <w:szCs w:val="20"/>
                <w:lang w:val="en-GB"/>
              </w:rPr>
            </w:pPr>
          </w:p>
        </w:tc>
        <w:tc>
          <w:tcPr>
            <w:tcW w:w="287" w:type="pct"/>
          </w:tcPr>
          <w:p w14:paraId="04E9B379" w14:textId="77777777" w:rsidR="00097AE3" w:rsidRPr="00FC04A3" w:rsidRDefault="00097AE3" w:rsidP="00097AE3">
            <w:pPr>
              <w:jc w:val="center"/>
              <w:rPr>
                <w:sz w:val="20"/>
                <w:szCs w:val="20"/>
                <w:lang w:val="en-GB"/>
              </w:rPr>
            </w:pPr>
          </w:p>
        </w:tc>
        <w:tc>
          <w:tcPr>
            <w:tcW w:w="311" w:type="pct"/>
          </w:tcPr>
          <w:p w14:paraId="1496D714" w14:textId="77777777" w:rsidR="00097AE3" w:rsidRPr="00FC04A3" w:rsidRDefault="00097AE3" w:rsidP="00097AE3">
            <w:pPr>
              <w:jc w:val="center"/>
              <w:rPr>
                <w:sz w:val="20"/>
                <w:szCs w:val="20"/>
                <w:lang w:val="en-GB"/>
              </w:rPr>
            </w:pPr>
          </w:p>
        </w:tc>
        <w:tc>
          <w:tcPr>
            <w:tcW w:w="355" w:type="pct"/>
          </w:tcPr>
          <w:p w14:paraId="79C5D93D" w14:textId="77777777" w:rsidR="00097AE3" w:rsidRPr="00FC04A3" w:rsidRDefault="00097AE3" w:rsidP="00097AE3">
            <w:pPr>
              <w:jc w:val="center"/>
              <w:rPr>
                <w:sz w:val="20"/>
                <w:szCs w:val="20"/>
                <w:lang w:val="en-GB"/>
              </w:rPr>
            </w:pPr>
          </w:p>
        </w:tc>
        <w:tc>
          <w:tcPr>
            <w:tcW w:w="403" w:type="pct"/>
          </w:tcPr>
          <w:p w14:paraId="362BFFD8" w14:textId="77777777" w:rsidR="00097AE3" w:rsidRPr="00FC04A3" w:rsidRDefault="00097AE3" w:rsidP="00097AE3">
            <w:pPr>
              <w:jc w:val="center"/>
              <w:rPr>
                <w:sz w:val="20"/>
                <w:szCs w:val="20"/>
                <w:lang w:val="en-GB"/>
              </w:rPr>
            </w:pPr>
          </w:p>
        </w:tc>
        <w:tc>
          <w:tcPr>
            <w:tcW w:w="348" w:type="pct"/>
          </w:tcPr>
          <w:p w14:paraId="5102DB4F" w14:textId="2F04136A" w:rsidR="00097AE3" w:rsidRPr="00FC04A3" w:rsidRDefault="00097AE3" w:rsidP="00097AE3">
            <w:pPr>
              <w:jc w:val="center"/>
              <w:rPr>
                <w:sz w:val="20"/>
                <w:szCs w:val="20"/>
                <w:lang w:val="en-GB"/>
              </w:rPr>
            </w:pPr>
            <w:r w:rsidRPr="00FC04A3">
              <w:rPr>
                <w:sz w:val="20"/>
                <w:szCs w:val="20"/>
                <w:lang w:val="en-GB"/>
              </w:rPr>
              <w:t>x</w:t>
            </w:r>
          </w:p>
        </w:tc>
      </w:tr>
      <w:tr w:rsidR="00097AE3" w:rsidRPr="00402AEC" w14:paraId="793F9EB0" w14:textId="77777777" w:rsidTr="00FC6976">
        <w:tc>
          <w:tcPr>
            <w:tcW w:w="1566" w:type="pct"/>
          </w:tcPr>
          <w:p w14:paraId="1E18702D" w14:textId="5D6219B7" w:rsidR="00097AE3" w:rsidRPr="00FC04A3" w:rsidRDefault="00097AE3" w:rsidP="00097AE3">
            <w:pPr>
              <w:rPr>
                <w:sz w:val="20"/>
                <w:szCs w:val="20"/>
                <w:lang w:val="en-GB"/>
              </w:rPr>
            </w:pPr>
            <w:r w:rsidRPr="00FC04A3">
              <w:rPr>
                <w:sz w:val="20"/>
                <w:szCs w:val="20"/>
                <w:lang w:val="en-GB"/>
              </w:rPr>
              <w:fldChar w:fldCharType="begin" w:fldLock="1"/>
            </w:r>
            <w:r w:rsidR="00BF2F60">
              <w:rPr>
                <w:sz w:val="20"/>
                <w:szCs w:val="20"/>
                <w:lang w:val="en-GB"/>
              </w:rPr>
              <w:instrText>ADDIN CSL_CITATION {"citationItems":[{"id":"ITEM-1","itemData":{"DOI":"10.1016/j.jclepro.2017.12.168","ISSN":"09596526","abstract":"The service sector has the potential to play an instrumental role in the shift towards circular economy due to its strategic position between manufacturers and end-users. However, there is a paucity of supporting methodologies and real-life applications to demonstrate how service-oriented companies can implement circular economy principles in daily business practice. This paper addresses this gap by analysing the potential of service-oriented companies in the information and communication technology (ICT) sector to build and implement circular economy business models. To this end, the Backcasting and Eco-design for the Circular Economy (BECE) framework is applied in an ICT firm. BECE, previously developed and demonstrated for product-oriented applications, has been developed further here for applications in the service sector. By shifting the focus from a product-oriented approach to a user-centred eco-design, the paper shows how ICT firms can identify, evaluate and prioritise sustainable business model innovations for circular economy. The two most promising business model innovations are explored strategically with the aim of designing circular economy models consistent with the company's priorities of customer satisfaction and profitability. The findings suggest that ICT companies may be able to support the deployment of a circular economy in the service-oriented technology sector. Importantly, micro and small organisations can play a fundamental role if provided with macro-level support to overcome company-level barriers. Finally, the BECE framework is shown to be a valuable resource to explore, analyse and guide the implementation of circular economy opportunities in service-oriented organisations. Further research to verify the application of the findings to other service-oriented organisations is recommended.","author":[{"dropping-particle":"","family":"Heyes","given":"Graeme","non-dropping-particle":"","parse-names":false,"suffix":""},{"dropping-particle":"","family":"Sharmina","given":"Maria","non-dropping-particle":"","parse-names":false,"suffix":""},{"dropping-particle":"","family":"Mendoza","given":"Joan Manuel F.","non-dropping-particle":"","parse-names":false,"suffix":""},{"dropping-particle":"","family":"Gallego-Schmid","given":"Alejandro","non-dropping-particle":"","parse-names":false,"suffix":""},{"dropping-particle":"","family":"Azapagic","given":"Adisa","non-dropping-particle":"","parse-names":false,"suffix":""}],"container-title":"Journal of Cleaner Production","id":"ITEM-1","issued":{"date-parts":[["2018"]]},"page":"621-632","publisher":"Elsevier Ltd","title":"Developing and implementing circular economy business models in service-oriented technology companies","type":"article-journal","volume":"177"},"uris":["http://www.mendeley.com/documents/?uuid=db69e611-6e02-411e-984b-f13c5121d645","http://www.mendeley.com/documents/?uuid=79e6a446-0e86-464e-a84a-cc7b3cb7ee59"]}],"mendeley":{"formattedCitation":"(Heyes et al., 2018)","plainTextFormattedCitation":"(Heyes et al., 2018)","previouslyFormattedCitation":"(Heyes et al., 2018)"},"properties":{"noteIndex":0},"schema":"https://github.com/citation-style-language/schema/raw/master/csl-citation.json"}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(Heyes et al., 2018)</w:t>
            </w:r>
            <w:r w:rsidRPr="00FC04A3">
              <w:rPr>
                <w:sz w:val="20"/>
                <w:szCs w:val="20"/>
                <w:lang w:val="en-GB"/>
              </w:rPr>
              <w:fldChar w:fldCharType="end"/>
            </w:r>
          </w:p>
        </w:tc>
        <w:tc>
          <w:tcPr>
            <w:tcW w:w="681" w:type="pct"/>
          </w:tcPr>
          <w:p w14:paraId="2A942A85" w14:textId="6D624846" w:rsidR="00097AE3" w:rsidRPr="00FC04A3" w:rsidRDefault="00097AE3" w:rsidP="00097AE3">
            <w:pPr>
              <w:jc w:val="center"/>
              <w:rPr>
                <w:sz w:val="20"/>
                <w:szCs w:val="20"/>
                <w:lang w:val="en-GB"/>
              </w:rPr>
            </w:pPr>
            <w:r w:rsidRPr="00FC04A3">
              <w:rPr>
                <w:sz w:val="20"/>
                <w:szCs w:val="20"/>
                <w:lang w:val="en-GB"/>
              </w:rPr>
              <w:t>x</w:t>
            </w:r>
          </w:p>
        </w:tc>
        <w:tc>
          <w:tcPr>
            <w:tcW w:w="403" w:type="pct"/>
          </w:tcPr>
          <w:p w14:paraId="112FF554" w14:textId="6E7BA2DB" w:rsidR="00097AE3" w:rsidRPr="00FC04A3" w:rsidRDefault="00097AE3" w:rsidP="00097AE3">
            <w:pPr>
              <w:jc w:val="center"/>
              <w:rPr>
                <w:sz w:val="20"/>
                <w:szCs w:val="20"/>
                <w:lang w:val="en-GB"/>
              </w:rPr>
            </w:pPr>
            <w:r w:rsidRPr="00FC04A3">
              <w:rPr>
                <w:sz w:val="20"/>
                <w:szCs w:val="20"/>
                <w:lang w:val="en-GB"/>
              </w:rPr>
              <w:t>x</w:t>
            </w:r>
          </w:p>
        </w:tc>
        <w:tc>
          <w:tcPr>
            <w:tcW w:w="305" w:type="pct"/>
          </w:tcPr>
          <w:p w14:paraId="77E35627" w14:textId="77777777" w:rsidR="00097AE3" w:rsidRPr="00FC04A3" w:rsidRDefault="00097AE3" w:rsidP="00097AE3">
            <w:pPr>
              <w:jc w:val="center"/>
              <w:rPr>
                <w:sz w:val="20"/>
                <w:szCs w:val="20"/>
                <w:lang w:val="en-GB"/>
              </w:rPr>
            </w:pPr>
          </w:p>
        </w:tc>
        <w:tc>
          <w:tcPr>
            <w:tcW w:w="341" w:type="pct"/>
          </w:tcPr>
          <w:p w14:paraId="676D10AC" w14:textId="77777777" w:rsidR="00097AE3" w:rsidRPr="00FC04A3" w:rsidRDefault="00097AE3" w:rsidP="00097AE3">
            <w:pPr>
              <w:jc w:val="center"/>
              <w:rPr>
                <w:sz w:val="20"/>
                <w:szCs w:val="20"/>
                <w:lang w:val="en-GB"/>
              </w:rPr>
            </w:pPr>
          </w:p>
        </w:tc>
        <w:tc>
          <w:tcPr>
            <w:tcW w:w="287" w:type="pct"/>
          </w:tcPr>
          <w:p w14:paraId="5E259616" w14:textId="77777777" w:rsidR="00097AE3" w:rsidRPr="00FC04A3" w:rsidRDefault="00097AE3" w:rsidP="00097AE3">
            <w:pPr>
              <w:jc w:val="center"/>
              <w:rPr>
                <w:sz w:val="20"/>
                <w:szCs w:val="20"/>
                <w:lang w:val="en-GB"/>
              </w:rPr>
            </w:pPr>
          </w:p>
        </w:tc>
        <w:tc>
          <w:tcPr>
            <w:tcW w:w="311" w:type="pct"/>
          </w:tcPr>
          <w:p w14:paraId="62FBB0A4" w14:textId="77777777" w:rsidR="00097AE3" w:rsidRPr="00FC04A3" w:rsidRDefault="00097AE3" w:rsidP="00097AE3">
            <w:pPr>
              <w:jc w:val="center"/>
              <w:rPr>
                <w:sz w:val="20"/>
                <w:szCs w:val="20"/>
                <w:lang w:val="en-GB"/>
              </w:rPr>
            </w:pPr>
          </w:p>
        </w:tc>
        <w:tc>
          <w:tcPr>
            <w:tcW w:w="355" w:type="pct"/>
          </w:tcPr>
          <w:p w14:paraId="6CB47DEF" w14:textId="77777777" w:rsidR="00097AE3" w:rsidRPr="00FC04A3" w:rsidRDefault="00097AE3" w:rsidP="00097AE3">
            <w:pPr>
              <w:jc w:val="center"/>
              <w:rPr>
                <w:sz w:val="20"/>
                <w:szCs w:val="20"/>
                <w:lang w:val="en-GB"/>
              </w:rPr>
            </w:pPr>
          </w:p>
        </w:tc>
        <w:tc>
          <w:tcPr>
            <w:tcW w:w="403" w:type="pct"/>
          </w:tcPr>
          <w:p w14:paraId="63502B6A" w14:textId="77777777" w:rsidR="00097AE3" w:rsidRPr="00FC04A3" w:rsidRDefault="00097AE3" w:rsidP="00097AE3">
            <w:pPr>
              <w:jc w:val="center"/>
              <w:rPr>
                <w:sz w:val="20"/>
                <w:szCs w:val="20"/>
                <w:lang w:val="en-GB"/>
              </w:rPr>
            </w:pPr>
          </w:p>
        </w:tc>
        <w:tc>
          <w:tcPr>
            <w:tcW w:w="348" w:type="pct"/>
          </w:tcPr>
          <w:p w14:paraId="159E6970" w14:textId="77777777" w:rsidR="00097AE3" w:rsidRPr="00FC04A3" w:rsidRDefault="00097AE3" w:rsidP="00097AE3">
            <w:pPr>
              <w:jc w:val="center"/>
              <w:rPr>
                <w:sz w:val="20"/>
                <w:szCs w:val="20"/>
                <w:lang w:val="en-GB"/>
              </w:rPr>
            </w:pPr>
          </w:p>
        </w:tc>
      </w:tr>
      <w:tr w:rsidR="00A02F15" w:rsidRPr="00402AEC" w14:paraId="51E3226D" w14:textId="77777777" w:rsidTr="00FC6976">
        <w:tc>
          <w:tcPr>
            <w:tcW w:w="1566" w:type="pct"/>
          </w:tcPr>
          <w:p w14:paraId="1294FCAB" w14:textId="264470FF" w:rsidR="00A02F15" w:rsidRPr="00FC04A3" w:rsidRDefault="00A02F15" w:rsidP="00A02F15">
            <w:pPr>
              <w:rPr>
                <w:sz w:val="20"/>
                <w:szCs w:val="20"/>
                <w:lang w:val="en-GB"/>
              </w:rPr>
            </w:pPr>
            <w:r w:rsidRPr="00FC04A3">
              <w:rPr>
                <w:sz w:val="20"/>
                <w:szCs w:val="20"/>
                <w:lang w:val="en-GB"/>
              </w:rPr>
              <w:fldChar w:fldCharType="begin" w:fldLock="1"/>
            </w:r>
            <w:r w:rsidR="00BF2F60">
              <w:rPr>
                <w:sz w:val="20"/>
                <w:szCs w:val="20"/>
                <w:lang w:val="en-GB"/>
              </w:rPr>
              <w:instrText>ADDIN CSL_CITATION {"citationItems":[{"id":"ITEM-1","itemData":{"abstract":"A circular economy often implies integrating sustainability in innovation practices. Because of the growing complexity of sustainability aspects, collaboration between business chains, governments and NGO's is of crucial importance. The need for aligning innovation efforts with other partners changes and raises the follow question: how can SMEs identify and manage stakeholder collaboration, with a respect to social and ecological impact within an economic context (sustainable value creation)? Based on the Balance Score Card approach, we used the perspectives 'strategic ambition' (process), 'momentum' (learning&amp;growth), 'value network' (stakeholders) and 'governance' (financial) as framework in our working method. We present an extensive overview of aspects that organizations have to think about with when changing the system from a linear way of doing business to a circular system, which allows SMEs to make an educated choice about collaborating in a value network. We use illustration from our case study 'from roadside-grass to innovative packaging'.","author":[{"dropping-particle":"","family":"Janssen","given":"Karen L.","non-dropping-particle":"","parse-names":false,"suffix":""},{"dropping-particle":"","family":"Stel","given":"Frans","non-dropping-particle":"","parse-names":false,"suffix":""}],"container-title":"The XXVIII ISPIM Innovation Conference","id":"ITEM-1","issued":{"date-parts":[["2017"]]},"page":"1-17","publisher-place":"Vienna","title":"Orchestrating partnerships in a circular economy - a working method for SMEs","type":"paper-conference"},"uris":["http://www.mendeley.com/documents/?uuid=e4866cfa-0fa9-45a1-8c92-0f2abd663a76","http://www.mendeley.com/documents/?uuid=67027456-d902-47d4-8352-f610993bc862"]}],"mendeley":{"formattedCitation":"(Janssen and Stel, 2017)","plainTextFormattedCitation":"(Janssen and Stel, 2017)","previouslyFormattedCitation":"(Janssen and Stel, 2017)"},"properties":{"noteIndex":0},"schema":"https://github.com/citation-style-language/schema/raw/master/csl-citation.json"}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(Janssen and Stel, 2017)</w:t>
            </w:r>
            <w:r w:rsidRPr="00FC04A3">
              <w:rPr>
                <w:sz w:val="20"/>
                <w:szCs w:val="20"/>
                <w:lang w:val="en-GB"/>
              </w:rPr>
              <w:fldChar w:fldCharType="end"/>
            </w:r>
          </w:p>
        </w:tc>
        <w:tc>
          <w:tcPr>
            <w:tcW w:w="681" w:type="pct"/>
          </w:tcPr>
          <w:p w14:paraId="78ADF612" w14:textId="77777777" w:rsidR="00A02F15" w:rsidRPr="00FC04A3" w:rsidRDefault="00A02F15" w:rsidP="00A02F15">
            <w:pPr>
              <w:jc w:val="center"/>
              <w:rPr>
                <w:sz w:val="20"/>
                <w:szCs w:val="20"/>
                <w:lang w:val="en-GB"/>
              </w:rPr>
            </w:pPr>
          </w:p>
        </w:tc>
        <w:tc>
          <w:tcPr>
            <w:tcW w:w="403" w:type="pct"/>
          </w:tcPr>
          <w:p w14:paraId="44C61B75" w14:textId="77777777" w:rsidR="00A02F15" w:rsidRPr="00FC04A3" w:rsidRDefault="00A02F15" w:rsidP="00A02F15">
            <w:pPr>
              <w:jc w:val="center"/>
              <w:rPr>
                <w:sz w:val="20"/>
                <w:szCs w:val="20"/>
                <w:lang w:val="en-GB"/>
              </w:rPr>
            </w:pPr>
          </w:p>
        </w:tc>
        <w:tc>
          <w:tcPr>
            <w:tcW w:w="305" w:type="pct"/>
          </w:tcPr>
          <w:p w14:paraId="7F182859" w14:textId="77777777" w:rsidR="00A02F15" w:rsidRPr="00FC04A3" w:rsidRDefault="00A02F15" w:rsidP="00A02F15">
            <w:pPr>
              <w:jc w:val="center"/>
              <w:rPr>
                <w:sz w:val="20"/>
                <w:szCs w:val="20"/>
                <w:lang w:val="en-GB"/>
              </w:rPr>
            </w:pPr>
          </w:p>
        </w:tc>
        <w:tc>
          <w:tcPr>
            <w:tcW w:w="341" w:type="pct"/>
          </w:tcPr>
          <w:p w14:paraId="5CD0DE29" w14:textId="77777777" w:rsidR="00A02F15" w:rsidRPr="00FC04A3" w:rsidRDefault="00A02F15" w:rsidP="00A02F15">
            <w:pPr>
              <w:jc w:val="center"/>
              <w:rPr>
                <w:sz w:val="20"/>
                <w:szCs w:val="20"/>
                <w:lang w:val="en-GB"/>
              </w:rPr>
            </w:pPr>
          </w:p>
        </w:tc>
        <w:tc>
          <w:tcPr>
            <w:tcW w:w="287" w:type="pct"/>
          </w:tcPr>
          <w:p w14:paraId="53E7A03D" w14:textId="77777777" w:rsidR="00A02F15" w:rsidRPr="00FC04A3" w:rsidRDefault="00A02F15" w:rsidP="00A02F15">
            <w:pPr>
              <w:jc w:val="center"/>
              <w:rPr>
                <w:sz w:val="20"/>
                <w:szCs w:val="20"/>
                <w:lang w:val="en-GB"/>
              </w:rPr>
            </w:pPr>
          </w:p>
        </w:tc>
        <w:tc>
          <w:tcPr>
            <w:tcW w:w="311" w:type="pct"/>
          </w:tcPr>
          <w:p w14:paraId="77FB19BA" w14:textId="77777777" w:rsidR="00A02F15" w:rsidRPr="00FC04A3" w:rsidRDefault="00A02F15" w:rsidP="00A02F15">
            <w:pPr>
              <w:jc w:val="center"/>
              <w:rPr>
                <w:sz w:val="20"/>
                <w:szCs w:val="20"/>
                <w:lang w:val="en-GB"/>
              </w:rPr>
            </w:pPr>
          </w:p>
        </w:tc>
        <w:tc>
          <w:tcPr>
            <w:tcW w:w="355" w:type="pct"/>
          </w:tcPr>
          <w:p w14:paraId="7716DF0A" w14:textId="52A3DB03" w:rsidR="00A02F15" w:rsidRPr="00FC04A3" w:rsidRDefault="00A02F15" w:rsidP="00A02F15">
            <w:pPr>
              <w:jc w:val="center"/>
              <w:rPr>
                <w:sz w:val="20"/>
                <w:szCs w:val="20"/>
                <w:lang w:val="en-GB"/>
              </w:rPr>
            </w:pPr>
            <w:r w:rsidRPr="00FC04A3">
              <w:rPr>
                <w:sz w:val="20"/>
                <w:szCs w:val="20"/>
                <w:lang w:val="en-GB"/>
              </w:rPr>
              <w:t>x</w:t>
            </w:r>
          </w:p>
        </w:tc>
        <w:tc>
          <w:tcPr>
            <w:tcW w:w="403" w:type="pct"/>
          </w:tcPr>
          <w:p w14:paraId="4377872E" w14:textId="77777777" w:rsidR="00A02F15" w:rsidRPr="00FC04A3" w:rsidRDefault="00A02F15" w:rsidP="00A02F15">
            <w:pPr>
              <w:jc w:val="center"/>
              <w:rPr>
                <w:sz w:val="20"/>
                <w:szCs w:val="20"/>
                <w:lang w:val="en-GB"/>
              </w:rPr>
            </w:pPr>
          </w:p>
        </w:tc>
        <w:tc>
          <w:tcPr>
            <w:tcW w:w="348" w:type="pct"/>
          </w:tcPr>
          <w:p w14:paraId="5B89D5FD" w14:textId="77777777" w:rsidR="00A02F15" w:rsidRPr="00FC04A3" w:rsidRDefault="00A02F15" w:rsidP="00A02F15">
            <w:pPr>
              <w:jc w:val="center"/>
              <w:rPr>
                <w:sz w:val="20"/>
                <w:szCs w:val="20"/>
                <w:lang w:val="en-GB"/>
              </w:rPr>
            </w:pPr>
          </w:p>
        </w:tc>
      </w:tr>
      <w:tr w:rsidR="00A02F15" w:rsidRPr="00402AEC" w14:paraId="008C7778" w14:textId="77777777" w:rsidTr="00FC6976">
        <w:tc>
          <w:tcPr>
            <w:tcW w:w="1566" w:type="pct"/>
          </w:tcPr>
          <w:p w14:paraId="317C33A4" w14:textId="133A2E3A" w:rsidR="00A02F15" w:rsidRPr="00FC04A3" w:rsidRDefault="00A02F15" w:rsidP="00A02F15">
            <w:pPr>
              <w:rPr>
                <w:sz w:val="20"/>
                <w:szCs w:val="20"/>
                <w:lang w:val="en-GB"/>
              </w:rPr>
            </w:pPr>
            <w:r w:rsidRPr="00FC04A3">
              <w:rPr>
                <w:sz w:val="20"/>
                <w:szCs w:val="20"/>
                <w:lang w:val="en-GB"/>
              </w:rPr>
              <w:fldChar w:fldCharType="begin" w:fldLock="1"/>
            </w:r>
            <w:r w:rsidR="003445CC">
              <w:rPr>
                <w:sz w:val="20"/>
                <w:szCs w:val="20"/>
                <w:lang w:val="en-GB"/>
              </w:rPr>
              <w:instrText>ADDIN CSL_CITATION {"citationItems":[{"id":"ITEM-1","itemData":{"DOI":"10.3390/su8010043","ISBN":"2071-1050","ISSN":"20711050","abstract":"Switching from the current linear model of economy to a circular one has recently attracted increased attention from major global companies e.g., Google, Unilever, Renault, and policymakers attending the World Economic Forum. The reasons for this are the huge financial, social and environmental benefits. However, the global shift from one model of economy to another also concerns smaller companies on a micro-level. Thus, comprehensive knowledge on designing circular business models is needed to stimulate and foster implementation of the circular economy. Existing business models for the circular economy have limited transferability and there is no comprehensive framework supporting every kind of company in designing a circular business model. This study employs a literature review to identify and classify the circular economy characteristics according to a business model structure. The investigation in the eight sub-domains of research on circular business models was used to redefine the components of the business model canvas in the context of the circular economy. Two new components—the take-back system and adoption factors—have been identified, thereby leading to the conceptualization of an extended framework for the circular business model canvas. Additionally, the triple fit challenge has been recognized as an enabler of the transition towards a circular business model. Some directions for further research have been outlined, as well.","author":[{"dropping-particle":"","family":"Lewandowski","given":"Mateusz","non-dropping-particle":"","parse-names":false,"suffix":""}],"container-title":"Sustainability (Switzerland)","id":"ITEM-1","issue":"43","issued":{"date-parts":[["2016"]]},"page":"1-28","title":"Designing the business models for circular economy-towards the conceptual framework","type":"article-journal","volume":"8"},"uris":["http://www.mendeley.com/documents/?uuid=4c49c559-b70a-401e-b9f2-5a1c0cbfd992","http://www.mendeley.com/documents/?uuid=5657f18c-36e7-421d-8dd4-ad73737dc077"]}],"mendeley":{"formattedCitation":"(Lewandowski, 2016)","plainTextFormattedCitation":"(Lewandowski, 2016)","previouslyFormattedCitation":"(Lewandowski, 2016)"},"properties":{"noteIndex":0},"schema":"https://github.com/citation-style-language/schema/raw/master/csl-citation.json"}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(Lewandowski, 2016)</w:t>
            </w:r>
            <w:r w:rsidRPr="00FC04A3">
              <w:rPr>
                <w:sz w:val="20"/>
                <w:szCs w:val="20"/>
                <w:lang w:val="en-GB"/>
              </w:rPr>
              <w:fldChar w:fldCharType="end"/>
            </w:r>
          </w:p>
        </w:tc>
        <w:tc>
          <w:tcPr>
            <w:tcW w:w="681" w:type="pct"/>
          </w:tcPr>
          <w:p w14:paraId="04D5E510" w14:textId="77777777" w:rsidR="00A02F15" w:rsidRPr="00FC04A3" w:rsidRDefault="00A02F15" w:rsidP="00A02F15">
            <w:pPr>
              <w:jc w:val="center"/>
              <w:rPr>
                <w:sz w:val="20"/>
                <w:szCs w:val="20"/>
                <w:lang w:val="en-GB"/>
              </w:rPr>
            </w:pPr>
          </w:p>
        </w:tc>
        <w:tc>
          <w:tcPr>
            <w:tcW w:w="403" w:type="pct"/>
          </w:tcPr>
          <w:p w14:paraId="1CC1390F" w14:textId="78B69A9E" w:rsidR="00A02F15" w:rsidRPr="00FC04A3" w:rsidRDefault="00A02F15" w:rsidP="00A02F15">
            <w:pPr>
              <w:jc w:val="center"/>
              <w:rPr>
                <w:sz w:val="20"/>
                <w:szCs w:val="20"/>
                <w:lang w:val="en-GB"/>
              </w:rPr>
            </w:pPr>
            <w:r w:rsidRPr="00FC04A3">
              <w:rPr>
                <w:sz w:val="20"/>
                <w:szCs w:val="20"/>
                <w:lang w:val="en-GB"/>
              </w:rPr>
              <w:t>x</w:t>
            </w:r>
          </w:p>
        </w:tc>
        <w:tc>
          <w:tcPr>
            <w:tcW w:w="305" w:type="pct"/>
          </w:tcPr>
          <w:p w14:paraId="3BB6A84D" w14:textId="77777777" w:rsidR="00A02F15" w:rsidRPr="00FC04A3" w:rsidRDefault="00A02F15" w:rsidP="00A02F15">
            <w:pPr>
              <w:jc w:val="center"/>
              <w:rPr>
                <w:sz w:val="20"/>
                <w:szCs w:val="20"/>
                <w:lang w:val="en-GB"/>
              </w:rPr>
            </w:pPr>
          </w:p>
        </w:tc>
        <w:tc>
          <w:tcPr>
            <w:tcW w:w="341" w:type="pct"/>
          </w:tcPr>
          <w:p w14:paraId="6963601F" w14:textId="77777777" w:rsidR="00A02F15" w:rsidRPr="00FC04A3" w:rsidRDefault="00A02F15" w:rsidP="00A02F15">
            <w:pPr>
              <w:jc w:val="center"/>
              <w:rPr>
                <w:sz w:val="20"/>
                <w:szCs w:val="20"/>
                <w:lang w:val="en-GB"/>
              </w:rPr>
            </w:pPr>
          </w:p>
        </w:tc>
        <w:tc>
          <w:tcPr>
            <w:tcW w:w="287" w:type="pct"/>
          </w:tcPr>
          <w:p w14:paraId="246B7069" w14:textId="77777777" w:rsidR="00A02F15" w:rsidRPr="00FC04A3" w:rsidRDefault="00A02F15" w:rsidP="00A02F15">
            <w:pPr>
              <w:jc w:val="center"/>
              <w:rPr>
                <w:sz w:val="20"/>
                <w:szCs w:val="20"/>
                <w:lang w:val="en-GB"/>
              </w:rPr>
            </w:pPr>
          </w:p>
        </w:tc>
        <w:tc>
          <w:tcPr>
            <w:tcW w:w="311" w:type="pct"/>
          </w:tcPr>
          <w:p w14:paraId="48C43C3E" w14:textId="77777777" w:rsidR="00A02F15" w:rsidRPr="00FC04A3" w:rsidRDefault="00A02F15" w:rsidP="00A02F15">
            <w:pPr>
              <w:jc w:val="center"/>
              <w:rPr>
                <w:sz w:val="20"/>
                <w:szCs w:val="20"/>
                <w:lang w:val="en-GB"/>
              </w:rPr>
            </w:pPr>
          </w:p>
        </w:tc>
        <w:tc>
          <w:tcPr>
            <w:tcW w:w="355" w:type="pct"/>
          </w:tcPr>
          <w:p w14:paraId="2B47F708" w14:textId="77777777" w:rsidR="00A02F15" w:rsidRPr="00FC04A3" w:rsidRDefault="00A02F15" w:rsidP="00A02F15">
            <w:pPr>
              <w:jc w:val="center"/>
              <w:rPr>
                <w:sz w:val="20"/>
                <w:szCs w:val="20"/>
                <w:lang w:val="en-GB"/>
              </w:rPr>
            </w:pPr>
          </w:p>
        </w:tc>
        <w:tc>
          <w:tcPr>
            <w:tcW w:w="403" w:type="pct"/>
          </w:tcPr>
          <w:p w14:paraId="02DCC5F3" w14:textId="77777777" w:rsidR="00A02F15" w:rsidRPr="00FC04A3" w:rsidRDefault="00A02F15" w:rsidP="00A02F15">
            <w:pPr>
              <w:jc w:val="center"/>
              <w:rPr>
                <w:sz w:val="20"/>
                <w:szCs w:val="20"/>
                <w:lang w:val="en-GB"/>
              </w:rPr>
            </w:pPr>
          </w:p>
        </w:tc>
        <w:tc>
          <w:tcPr>
            <w:tcW w:w="348" w:type="pct"/>
          </w:tcPr>
          <w:p w14:paraId="6AA2BF29" w14:textId="77777777" w:rsidR="00A02F15" w:rsidRPr="00FC04A3" w:rsidRDefault="00A02F15" w:rsidP="00A02F15">
            <w:pPr>
              <w:jc w:val="center"/>
              <w:rPr>
                <w:sz w:val="20"/>
                <w:szCs w:val="20"/>
                <w:lang w:val="en-GB"/>
              </w:rPr>
            </w:pPr>
          </w:p>
        </w:tc>
      </w:tr>
      <w:tr w:rsidR="00A02F15" w:rsidRPr="00402AEC" w14:paraId="7E344781" w14:textId="77777777" w:rsidTr="00FC6976">
        <w:tc>
          <w:tcPr>
            <w:tcW w:w="1566" w:type="pct"/>
          </w:tcPr>
          <w:p w14:paraId="16EFC960" w14:textId="2F525A8A" w:rsidR="00A02F15" w:rsidRPr="00FC04A3" w:rsidRDefault="00A02F15" w:rsidP="00A02F15">
            <w:pPr>
              <w:rPr>
                <w:sz w:val="20"/>
                <w:szCs w:val="20"/>
                <w:lang w:val="en-GB"/>
              </w:rPr>
            </w:pPr>
            <w:r w:rsidRPr="00FC04A3">
              <w:rPr>
                <w:sz w:val="20"/>
                <w:szCs w:val="20"/>
                <w:lang w:val="en-GB"/>
              </w:rPr>
              <w:fldChar w:fldCharType="begin" w:fldLock="1"/>
            </w:r>
            <w:r w:rsidR="00BF2F60">
              <w:rPr>
                <w:sz w:val="20"/>
                <w:szCs w:val="20"/>
                <w:lang w:val="en-GB"/>
              </w:rPr>
              <w:instrText>ADDIN CSL_CITATION {"citationItems":[{"id":"ITEM-1","itemData":{"DOI":"10.13140/RG.2.2.36081.68969","author":[{"dropping-particle":"","family":"Lozano","given":"Rodrigo","non-dropping-particle":"","parse-names":false,"suffix":""},{"dropping-particle":"","family":"Witjes","given":"Sjors","non-dropping-particle":"","parse-names":false,"suffix":""},{"dropping-particle":"","family":"Geet","given":"Cuno","non-dropping-particle":"van","parse-names":false,"suffix":""},{"dropping-particle":"","family":"Willems","given":"Mandy","non-dropping-particle":"","parse-names":false,"suffix":""}],"id":"ITEM-1","issued":{"date-parts":[["2016"]]},"number-of-pages":"1-23","title":"Collaboration for Circular Economy : Linking sustainable public procurement and business models","type":"report"},"uris":["http://www.mendeley.com/documents/?uuid=ae81eedc-e573-417c-ba80-4173836cfffb","http://www.mendeley.com/documents/?uuid=75d7f8f9-d724-4ec1-af13-aa5efbed0e48"]}],"mendeley":{"formattedCitation":"(Lozano et al., 2016)","plainTextFormattedCitation":"(Lozano et al., 2016)","previouslyFormattedCitation":"(Lozano et al., 2016)"},"properties":{"noteIndex":0},"schema":"https://github.com/citation-style-language/schema/raw/master/csl-citation.json"}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(Lozano et al., 2016)</w:t>
            </w:r>
            <w:r w:rsidRPr="00FC04A3">
              <w:rPr>
                <w:sz w:val="20"/>
                <w:szCs w:val="20"/>
                <w:lang w:val="en-GB"/>
              </w:rPr>
              <w:fldChar w:fldCharType="end"/>
            </w:r>
          </w:p>
        </w:tc>
        <w:tc>
          <w:tcPr>
            <w:tcW w:w="681" w:type="pct"/>
          </w:tcPr>
          <w:p w14:paraId="080D228C" w14:textId="77777777" w:rsidR="00A02F15" w:rsidRPr="00FC04A3" w:rsidRDefault="00A02F15" w:rsidP="00A02F15">
            <w:pPr>
              <w:jc w:val="center"/>
              <w:rPr>
                <w:sz w:val="20"/>
                <w:szCs w:val="20"/>
                <w:lang w:val="en-GB"/>
              </w:rPr>
            </w:pPr>
          </w:p>
        </w:tc>
        <w:tc>
          <w:tcPr>
            <w:tcW w:w="403" w:type="pct"/>
          </w:tcPr>
          <w:p w14:paraId="7AF310F3" w14:textId="77777777" w:rsidR="00A02F15" w:rsidRPr="00FC04A3" w:rsidRDefault="00A02F15" w:rsidP="00A02F15">
            <w:pPr>
              <w:jc w:val="center"/>
              <w:rPr>
                <w:sz w:val="20"/>
                <w:szCs w:val="20"/>
                <w:lang w:val="en-GB"/>
              </w:rPr>
            </w:pPr>
          </w:p>
        </w:tc>
        <w:tc>
          <w:tcPr>
            <w:tcW w:w="305" w:type="pct"/>
          </w:tcPr>
          <w:p w14:paraId="59DE2E0A" w14:textId="77777777" w:rsidR="00A02F15" w:rsidRPr="00FC04A3" w:rsidRDefault="00A02F15" w:rsidP="00A02F15">
            <w:pPr>
              <w:jc w:val="center"/>
              <w:rPr>
                <w:sz w:val="20"/>
                <w:szCs w:val="20"/>
                <w:lang w:val="en-GB"/>
              </w:rPr>
            </w:pPr>
          </w:p>
        </w:tc>
        <w:tc>
          <w:tcPr>
            <w:tcW w:w="341" w:type="pct"/>
          </w:tcPr>
          <w:p w14:paraId="3B9927E6" w14:textId="0C548B5C" w:rsidR="00A02F15" w:rsidRPr="00FC04A3" w:rsidRDefault="00A02F15" w:rsidP="00A02F15">
            <w:pPr>
              <w:jc w:val="center"/>
              <w:rPr>
                <w:sz w:val="20"/>
                <w:szCs w:val="20"/>
                <w:lang w:val="en-GB"/>
              </w:rPr>
            </w:pPr>
            <w:r w:rsidRPr="00FC04A3">
              <w:rPr>
                <w:sz w:val="20"/>
                <w:szCs w:val="20"/>
                <w:lang w:val="en-GB"/>
              </w:rPr>
              <w:t>x</w:t>
            </w:r>
          </w:p>
        </w:tc>
        <w:tc>
          <w:tcPr>
            <w:tcW w:w="287" w:type="pct"/>
          </w:tcPr>
          <w:p w14:paraId="7D9C7C77" w14:textId="77777777" w:rsidR="00A02F15" w:rsidRPr="00FC04A3" w:rsidRDefault="00A02F15" w:rsidP="00A02F15">
            <w:pPr>
              <w:jc w:val="center"/>
              <w:rPr>
                <w:sz w:val="20"/>
                <w:szCs w:val="20"/>
                <w:lang w:val="en-GB"/>
              </w:rPr>
            </w:pPr>
          </w:p>
        </w:tc>
        <w:tc>
          <w:tcPr>
            <w:tcW w:w="311" w:type="pct"/>
          </w:tcPr>
          <w:p w14:paraId="775FE03B" w14:textId="77777777" w:rsidR="00A02F15" w:rsidRPr="00FC04A3" w:rsidRDefault="00A02F15" w:rsidP="00A02F15">
            <w:pPr>
              <w:jc w:val="center"/>
              <w:rPr>
                <w:sz w:val="20"/>
                <w:szCs w:val="20"/>
                <w:lang w:val="en-GB"/>
              </w:rPr>
            </w:pPr>
          </w:p>
        </w:tc>
        <w:tc>
          <w:tcPr>
            <w:tcW w:w="355" w:type="pct"/>
          </w:tcPr>
          <w:p w14:paraId="342A3324" w14:textId="77777777" w:rsidR="00A02F15" w:rsidRPr="00FC04A3" w:rsidRDefault="00A02F15" w:rsidP="00A02F15">
            <w:pPr>
              <w:jc w:val="center"/>
              <w:rPr>
                <w:sz w:val="20"/>
                <w:szCs w:val="20"/>
                <w:lang w:val="en-GB"/>
              </w:rPr>
            </w:pPr>
          </w:p>
        </w:tc>
        <w:tc>
          <w:tcPr>
            <w:tcW w:w="403" w:type="pct"/>
          </w:tcPr>
          <w:p w14:paraId="51F8C1B8" w14:textId="77777777" w:rsidR="00A02F15" w:rsidRPr="00FC04A3" w:rsidRDefault="00A02F15" w:rsidP="00A02F15">
            <w:pPr>
              <w:jc w:val="center"/>
              <w:rPr>
                <w:sz w:val="20"/>
                <w:szCs w:val="20"/>
                <w:lang w:val="en-GB"/>
              </w:rPr>
            </w:pPr>
          </w:p>
        </w:tc>
        <w:tc>
          <w:tcPr>
            <w:tcW w:w="348" w:type="pct"/>
          </w:tcPr>
          <w:p w14:paraId="4F2CA149" w14:textId="77777777" w:rsidR="00A02F15" w:rsidRPr="00FC04A3" w:rsidRDefault="00A02F15" w:rsidP="00A02F15">
            <w:pPr>
              <w:jc w:val="center"/>
              <w:rPr>
                <w:sz w:val="20"/>
                <w:szCs w:val="20"/>
                <w:lang w:val="en-GB"/>
              </w:rPr>
            </w:pPr>
          </w:p>
        </w:tc>
      </w:tr>
      <w:tr w:rsidR="00A02F15" w:rsidRPr="00402AEC" w14:paraId="6941745D" w14:textId="77777777" w:rsidTr="00FC6976">
        <w:tc>
          <w:tcPr>
            <w:tcW w:w="1566" w:type="pct"/>
          </w:tcPr>
          <w:p w14:paraId="5F027E10" w14:textId="1DC0512F" w:rsidR="00A02F15" w:rsidRPr="00FC04A3" w:rsidRDefault="00A02F15" w:rsidP="00A02F15">
            <w:pPr>
              <w:rPr>
                <w:sz w:val="20"/>
                <w:szCs w:val="20"/>
                <w:lang w:val="en-GB"/>
              </w:rPr>
            </w:pPr>
            <w:r w:rsidRPr="00FC04A3">
              <w:rPr>
                <w:sz w:val="20"/>
                <w:szCs w:val="20"/>
                <w:lang w:val="en-GB"/>
              </w:rPr>
              <w:fldChar w:fldCharType="begin" w:fldLock="1"/>
            </w:r>
            <w:r w:rsidR="003445CC">
              <w:rPr>
                <w:sz w:val="20"/>
                <w:szCs w:val="20"/>
                <w:lang w:val="en-GB"/>
              </w:rPr>
              <w:instrText>ADDIN CSL_CITATION {"citationItems":[{"id":"ITEM-1","itemData":{"DOI":"10.1016/j.jclepro.2017.10.003","ISSN":"09596526","abstract":"The circular economy (CE) can be a driver for sustainability and CE can be promoted and supported by the creation of new and innovative business models, which embed CE principles into their value propositions throughout the value chains. This study focuses on the environmental value propositions of the CE business models. The term environmental value proposition refers here to an absolute value being a promise of environmental improvement, which a company provides to the environment by its impacts throughout the whole value chain. The aim of this study is to outline a framework for evaluating the environmental value propositions of CE business models. The framework consists of an environmental value propositions table (EVPT) and a step-by-step approach towards an evaluation process. The framework was tested in three CE business model cases. The outlined framework enables a better understanding of circular economy principles, combining them with the environmental value proposition. With the framework, companies can plan and design new CE business models or they can verify intended environmental benefits and analyse their contribution to sustainability. The biggest challenges, when applying the framework, were related to the estimation of environmental benefits gained from the environmental value propositions at the system level. In the future, intensive scientific work should concentrate on developing environmental assessment methods specifically for companies developing new CE business models.","author":[{"dropping-particle":"","family":"Manninen","given":"Kaisa","non-dropping-particle":"","parse-names":false,"suffix":""},{"dropping-particle":"","family":"Koskela","given":"Sirkka","non-dropping-particle":"","parse-names":false,"suffix":""},{"dropping-particle":"","family":"Antikainen","given":"Riina","non-dropping-particle":"","parse-names":false,"suffix":""},{"dropping-particle":"","family":"Bocken","given":"Nancy M.P.","non-dropping-particle":"","parse-names":false,"suffix":""},{"dropping-particle":"","family":"Dahlbo","given":"Helena","non-dropping-particle":"","parse-names":false,"suffix":""},{"dropping-particle":"","family":"Aminoff","given":"Anna","non-dropping-particle":"","parse-names":false,"suffix":""}],"container-title":"Journal of Cleaner Production","id":"ITEM-1","issued":{"date-parts":[["2018"]]},"page":"413-422","publisher":"Elsevier Ltd","title":"Do circular economy business models capture intended environmental value propositions?","type":"article-journal","volume":"171"},"uris":["http://www.mendeley.com/documents/?uuid=63efae5a-fd69-482e-aa69-b6329bbdd37f"]}],"mendeley":{"formattedCitation":"(Manninen et al., 2018)","plainTextFormattedCitation":"(Manninen et al., 2018)","previouslyFormattedCitation":"(Manninen et al., 2018)"},"properties":{"noteIndex":0},"schema":"https://github.com/citation-style-language/schema/raw/master/csl-citation.json"}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(Manninen et al., 2018)</w:t>
            </w:r>
            <w:r w:rsidRPr="00FC04A3">
              <w:rPr>
                <w:sz w:val="20"/>
                <w:szCs w:val="20"/>
                <w:lang w:val="en-GB"/>
              </w:rPr>
              <w:fldChar w:fldCharType="end"/>
            </w:r>
          </w:p>
        </w:tc>
        <w:tc>
          <w:tcPr>
            <w:tcW w:w="681" w:type="pct"/>
          </w:tcPr>
          <w:p w14:paraId="7DAB0533" w14:textId="652DA4EB" w:rsidR="00A02F15" w:rsidRPr="00FC04A3" w:rsidRDefault="00A02F15" w:rsidP="00A02F15">
            <w:pPr>
              <w:jc w:val="center"/>
              <w:rPr>
                <w:sz w:val="20"/>
                <w:szCs w:val="20"/>
                <w:lang w:val="en-GB"/>
              </w:rPr>
            </w:pPr>
            <w:r w:rsidRPr="00FC04A3">
              <w:rPr>
                <w:sz w:val="20"/>
                <w:szCs w:val="20"/>
                <w:lang w:val="en-GB"/>
              </w:rPr>
              <w:t>x</w:t>
            </w:r>
          </w:p>
        </w:tc>
        <w:tc>
          <w:tcPr>
            <w:tcW w:w="403" w:type="pct"/>
          </w:tcPr>
          <w:p w14:paraId="24F36A1E" w14:textId="77777777" w:rsidR="00A02F15" w:rsidRPr="00FC04A3" w:rsidRDefault="00A02F15" w:rsidP="00A02F15">
            <w:pPr>
              <w:jc w:val="center"/>
              <w:rPr>
                <w:sz w:val="20"/>
                <w:szCs w:val="20"/>
                <w:lang w:val="en-GB"/>
              </w:rPr>
            </w:pPr>
          </w:p>
        </w:tc>
        <w:tc>
          <w:tcPr>
            <w:tcW w:w="305" w:type="pct"/>
          </w:tcPr>
          <w:p w14:paraId="293ACCA7" w14:textId="77777777" w:rsidR="00A02F15" w:rsidRPr="00FC04A3" w:rsidRDefault="00A02F15" w:rsidP="00A02F15">
            <w:pPr>
              <w:jc w:val="center"/>
              <w:rPr>
                <w:sz w:val="20"/>
                <w:szCs w:val="20"/>
                <w:lang w:val="en-GB"/>
              </w:rPr>
            </w:pPr>
          </w:p>
        </w:tc>
        <w:tc>
          <w:tcPr>
            <w:tcW w:w="341" w:type="pct"/>
          </w:tcPr>
          <w:p w14:paraId="4FC9EEA5" w14:textId="77777777" w:rsidR="00A02F15" w:rsidRPr="00FC04A3" w:rsidRDefault="00A02F15" w:rsidP="00A02F15">
            <w:pPr>
              <w:jc w:val="center"/>
              <w:rPr>
                <w:sz w:val="20"/>
                <w:szCs w:val="20"/>
                <w:lang w:val="en-GB"/>
              </w:rPr>
            </w:pPr>
          </w:p>
        </w:tc>
        <w:tc>
          <w:tcPr>
            <w:tcW w:w="287" w:type="pct"/>
          </w:tcPr>
          <w:p w14:paraId="10D510D4" w14:textId="77777777" w:rsidR="00A02F15" w:rsidRPr="00FC04A3" w:rsidRDefault="00A02F15" w:rsidP="00A02F15">
            <w:pPr>
              <w:jc w:val="center"/>
              <w:rPr>
                <w:sz w:val="20"/>
                <w:szCs w:val="20"/>
                <w:lang w:val="en-GB"/>
              </w:rPr>
            </w:pPr>
          </w:p>
        </w:tc>
        <w:tc>
          <w:tcPr>
            <w:tcW w:w="311" w:type="pct"/>
          </w:tcPr>
          <w:p w14:paraId="58F3432C" w14:textId="77777777" w:rsidR="00A02F15" w:rsidRPr="00FC04A3" w:rsidRDefault="00A02F15" w:rsidP="00A02F15">
            <w:pPr>
              <w:jc w:val="center"/>
              <w:rPr>
                <w:sz w:val="20"/>
                <w:szCs w:val="20"/>
                <w:lang w:val="en-GB"/>
              </w:rPr>
            </w:pPr>
          </w:p>
        </w:tc>
        <w:tc>
          <w:tcPr>
            <w:tcW w:w="355" w:type="pct"/>
          </w:tcPr>
          <w:p w14:paraId="0764C4A2" w14:textId="77777777" w:rsidR="00A02F15" w:rsidRPr="00FC04A3" w:rsidRDefault="00A02F15" w:rsidP="00A02F15">
            <w:pPr>
              <w:jc w:val="center"/>
              <w:rPr>
                <w:sz w:val="20"/>
                <w:szCs w:val="20"/>
                <w:lang w:val="en-GB"/>
              </w:rPr>
            </w:pPr>
          </w:p>
        </w:tc>
        <w:tc>
          <w:tcPr>
            <w:tcW w:w="403" w:type="pct"/>
          </w:tcPr>
          <w:p w14:paraId="3FD81F91" w14:textId="77777777" w:rsidR="00A02F15" w:rsidRPr="00FC04A3" w:rsidRDefault="00A02F15" w:rsidP="00A02F15">
            <w:pPr>
              <w:jc w:val="center"/>
              <w:rPr>
                <w:sz w:val="20"/>
                <w:szCs w:val="20"/>
                <w:lang w:val="en-GB"/>
              </w:rPr>
            </w:pPr>
          </w:p>
        </w:tc>
        <w:tc>
          <w:tcPr>
            <w:tcW w:w="348" w:type="pct"/>
          </w:tcPr>
          <w:p w14:paraId="613FD7AA" w14:textId="77777777" w:rsidR="00A02F15" w:rsidRPr="00FC04A3" w:rsidRDefault="00A02F15" w:rsidP="00A02F15">
            <w:pPr>
              <w:jc w:val="center"/>
              <w:rPr>
                <w:sz w:val="20"/>
                <w:szCs w:val="20"/>
                <w:lang w:val="en-GB"/>
              </w:rPr>
            </w:pPr>
          </w:p>
        </w:tc>
      </w:tr>
      <w:tr w:rsidR="00A02F15" w:rsidRPr="00402AEC" w14:paraId="5E2333C3" w14:textId="77777777" w:rsidTr="00FC6976">
        <w:tc>
          <w:tcPr>
            <w:tcW w:w="1566" w:type="pct"/>
          </w:tcPr>
          <w:p w14:paraId="1CC8095A" w14:textId="31677429" w:rsidR="00A02F15" w:rsidRPr="00FC04A3" w:rsidRDefault="00A02F15" w:rsidP="00A02F15">
            <w:pPr>
              <w:rPr>
                <w:sz w:val="20"/>
                <w:szCs w:val="20"/>
                <w:lang w:val="en-GB"/>
              </w:rPr>
            </w:pPr>
            <w:r w:rsidRPr="00FC04A3">
              <w:rPr>
                <w:sz w:val="20"/>
                <w:szCs w:val="20"/>
                <w:lang w:val="en-GB"/>
              </w:rPr>
              <w:fldChar w:fldCharType="begin" w:fldLock="1"/>
            </w:r>
            <w:r w:rsidR="00BF2F60">
              <w:rPr>
                <w:sz w:val="20"/>
                <w:szCs w:val="20"/>
                <w:lang w:val="en-GB"/>
              </w:rPr>
              <w:instrText>ADDIN CSL_CITATION {"citationItems":[{"id":"ITEM-1","itemData":{"DOI":"10.1111/jiec.12590","ISSN":"15309290","abstract":"The circular economy (CE) is essential for decoupling economic growth from resource consumption and environmental impacts. However, effective implementation requires a systemic change across supply chains, involving both technological and nontechnological innovations. Frameworks are beginning to emerge to foster CE thinking in organizations. However, literature review carried out as part of this research has revealed gaps in their ability to fulfil CE requirements. Furthermore, few frameworks provide support on how CE requirements may be implemented. To address these issues, this article presents a new framework, BECE (backcasting and eco-design for the circular economy), to ensure that businesses can implement CE requirements more readily. BECE empowers organizations to tackle the CE holistically by embedding the concept into corporate decision making and by bringing operational and systems thinking together, thus increasing the likelihood of successful implementation. The potential of the BECE framework was tested through a pilot workshop focusing on the development of a CE business model through redesign of products and supply chains. Using vacuum cleaners as an illustrative case study, several product design and supply-chain alternatives were identified, including the development of scenarios and action plans for their implementation at the business level. Although the case study focuses on a particular product, the BECE framework is generic and applicable across different products and business sectors.","author":[{"dropping-particle":"","family":"Mendoza","given":"Joan Manuel F.","non-dropping-particle":"","parse-names":false,"suffix":""},{"dropping-particle":"","family":"Sharmina","given":"Maria","non-dropping-particle":"","parse-names":false,"suffix":""},{"dropping-particle":"","family":"Gallego-Schmid","given":"Alejandro","non-dropping-particle":"","parse-names":false,"suffix":""},{"dropping-particle":"","family":"Heyes","given":"Graeme","non-dropping-particle":"","parse-names":false,"suffix":""},{"dropping-particle":"","family":"Azapagic","given":"Adisa","non-dropping-particle":"","parse-names":false,"suffix":""}],"container-title":"Journal of Industrial Ecology","id":"ITEM-1","issue":"3","issued":{"date-parts":[["2017"]]},"page":"526-544","title":"Integrating Backcasting and Eco-Design for the Circular Economy: The BECE Framework","type":"article-journal","volume":"21"},"uris":["http://www.mendeley.com/documents/?uuid=0dcf7c41-0a95-49dc-83a6-fa6306310b97","http://www.mendeley.com/documents/?uuid=caac43d6-c1b1-45bd-be18-1d6afaeecc2f"]}],"mendeley":{"formattedCitation":"(Mendoza et al., 2017)","plainTextFormattedCitation":"(Mendoza et al., 2017)","previouslyFormattedCitation":"(Mendoza et al., 2017)"},"properties":{"noteIndex":0},"schema":"https://github.com/citation-style-language/schema/raw/master/csl-citation.json"}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(Mendoza et al., 2017)</w:t>
            </w:r>
            <w:r w:rsidRPr="00FC04A3">
              <w:rPr>
                <w:sz w:val="20"/>
                <w:szCs w:val="20"/>
                <w:lang w:val="en-GB"/>
              </w:rPr>
              <w:fldChar w:fldCharType="end"/>
            </w:r>
          </w:p>
        </w:tc>
        <w:tc>
          <w:tcPr>
            <w:tcW w:w="681" w:type="pct"/>
          </w:tcPr>
          <w:p w14:paraId="411B7F96" w14:textId="5CDCAC6B" w:rsidR="00A02F15" w:rsidRPr="00FC04A3" w:rsidRDefault="00A02F15" w:rsidP="00A02F15">
            <w:pPr>
              <w:jc w:val="center"/>
              <w:rPr>
                <w:sz w:val="20"/>
                <w:szCs w:val="20"/>
                <w:lang w:val="en-GB"/>
              </w:rPr>
            </w:pPr>
            <w:r w:rsidRPr="00FC04A3">
              <w:rPr>
                <w:sz w:val="20"/>
                <w:szCs w:val="20"/>
                <w:lang w:val="en-GB"/>
              </w:rPr>
              <w:t>x</w:t>
            </w:r>
          </w:p>
        </w:tc>
        <w:tc>
          <w:tcPr>
            <w:tcW w:w="403" w:type="pct"/>
          </w:tcPr>
          <w:p w14:paraId="56FA78AE" w14:textId="77777777" w:rsidR="00A02F15" w:rsidRPr="00FC04A3" w:rsidRDefault="00A02F15" w:rsidP="00A02F15">
            <w:pPr>
              <w:jc w:val="center"/>
              <w:rPr>
                <w:sz w:val="20"/>
                <w:szCs w:val="20"/>
                <w:lang w:val="en-GB"/>
              </w:rPr>
            </w:pPr>
          </w:p>
        </w:tc>
        <w:tc>
          <w:tcPr>
            <w:tcW w:w="305" w:type="pct"/>
          </w:tcPr>
          <w:p w14:paraId="61F48739" w14:textId="77777777" w:rsidR="00A02F15" w:rsidRPr="00FC04A3" w:rsidRDefault="00A02F15" w:rsidP="00A02F15">
            <w:pPr>
              <w:jc w:val="center"/>
              <w:rPr>
                <w:sz w:val="20"/>
                <w:szCs w:val="20"/>
                <w:lang w:val="en-GB"/>
              </w:rPr>
            </w:pPr>
          </w:p>
        </w:tc>
        <w:tc>
          <w:tcPr>
            <w:tcW w:w="341" w:type="pct"/>
          </w:tcPr>
          <w:p w14:paraId="7CF471A4" w14:textId="77777777" w:rsidR="00A02F15" w:rsidRPr="00FC04A3" w:rsidRDefault="00A02F15" w:rsidP="00A02F15">
            <w:pPr>
              <w:jc w:val="center"/>
              <w:rPr>
                <w:sz w:val="20"/>
                <w:szCs w:val="20"/>
                <w:lang w:val="en-GB"/>
              </w:rPr>
            </w:pPr>
          </w:p>
        </w:tc>
        <w:tc>
          <w:tcPr>
            <w:tcW w:w="287" w:type="pct"/>
          </w:tcPr>
          <w:p w14:paraId="48B89BE9" w14:textId="77777777" w:rsidR="00A02F15" w:rsidRPr="00FC04A3" w:rsidRDefault="00A02F15" w:rsidP="00A02F15">
            <w:pPr>
              <w:jc w:val="center"/>
              <w:rPr>
                <w:sz w:val="20"/>
                <w:szCs w:val="20"/>
                <w:lang w:val="en-GB"/>
              </w:rPr>
            </w:pPr>
          </w:p>
        </w:tc>
        <w:tc>
          <w:tcPr>
            <w:tcW w:w="311" w:type="pct"/>
          </w:tcPr>
          <w:p w14:paraId="6D4212E2" w14:textId="77777777" w:rsidR="00A02F15" w:rsidRPr="00FC04A3" w:rsidRDefault="00A02F15" w:rsidP="00A02F15">
            <w:pPr>
              <w:jc w:val="center"/>
              <w:rPr>
                <w:sz w:val="20"/>
                <w:szCs w:val="20"/>
                <w:lang w:val="en-GB"/>
              </w:rPr>
            </w:pPr>
          </w:p>
        </w:tc>
        <w:tc>
          <w:tcPr>
            <w:tcW w:w="355" w:type="pct"/>
          </w:tcPr>
          <w:p w14:paraId="1ADB4EC2" w14:textId="77777777" w:rsidR="00A02F15" w:rsidRPr="00FC04A3" w:rsidRDefault="00A02F15" w:rsidP="00A02F15">
            <w:pPr>
              <w:jc w:val="center"/>
              <w:rPr>
                <w:sz w:val="20"/>
                <w:szCs w:val="20"/>
                <w:lang w:val="en-GB"/>
              </w:rPr>
            </w:pPr>
          </w:p>
        </w:tc>
        <w:tc>
          <w:tcPr>
            <w:tcW w:w="403" w:type="pct"/>
          </w:tcPr>
          <w:p w14:paraId="6A691641" w14:textId="77777777" w:rsidR="00A02F15" w:rsidRPr="00FC04A3" w:rsidRDefault="00A02F15" w:rsidP="00A02F15">
            <w:pPr>
              <w:jc w:val="center"/>
              <w:rPr>
                <w:sz w:val="20"/>
                <w:szCs w:val="20"/>
                <w:lang w:val="en-GB"/>
              </w:rPr>
            </w:pPr>
          </w:p>
        </w:tc>
        <w:tc>
          <w:tcPr>
            <w:tcW w:w="348" w:type="pct"/>
          </w:tcPr>
          <w:p w14:paraId="5C87BB24" w14:textId="77777777" w:rsidR="00A02F15" w:rsidRPr="00FC04A3" w:rsidRDefault="00A02F15" w:rsidP="00A02F15">
            <w:pPr>
              <w:jc w:val="center"/>
              <w:rPr>
                <w:sz w:val="20"/>
                <w:szCs w:val="20"/>
                <w:lang w:val="en-GB"/>
              </w:rPr>
            </w:pPr>
          </w:p>
        </w:tc>
      </w:tr>
      <w:tr w:rsidR="00A02F15" w:rsidRPr="00402AEC" w14:paraId="41FCF3AC" w14:textId="77777777" w:rsidTr="00FC6976">
        <w:tc>
          <w:tcPr>
            <w:tcW w:w="1566" w:type="pct"/>
          </w:tcPr>
          <w:p w14:paraId="3EB44760" w14:textId="233D3A1C" w:rsidR="00A02F15" w:rsidRPr="00FC04A3" w:rsidRDefault="00A02F15" w:rsidP="00A02F15">
            <w:pPr>
              <w:rPr>
                <w:sz w:val="20"/>
                <w:szCs w:val="20"/>
                <w:lang w:val="en-GB"/>
              </w:rPr>
            </w:pPr>
            <w:r w:rsidRPr="00FC04A3">
              <w:rPr>
                <w:sz w:val="20"/>
                <w:szCs w:val="20"/>
                <w:lang w:val="en-GB"/>
              </w:rPr>
              <w:fldChar w:fldCharType="begin" w:fldLock="1"/>
            </w:r>
            <w:r w:rsidR="00BF2F60">
              <w:rPr>
                <w:sz w:val="20"/>
                <w:szCs w:val="20"/>
                <w:lang w:val="en-GB"/>
              </w:rPr>
              <w:instrText>ADDIN CSL_CITATION {"citationItems":[{"id":"ITEM-1","itemData":{"DOI":"10.1016/j.jclepro.2017.12.078","ISSN":"09596526","abstract":"This paper addresses sustainable business models (SBMs), as an attempt to systematically integrate corporate sustainability principles (including economic, environmental and social goals; multi-stakeholder perspective and long-term outlook) into core business. However, understanding the mechanisms for this systematic integration is still challenging, given complexities of sustainable development. Therefore, SBM concept risks that, by trying to include everything, it may end up losing meaning and connection to practical solutions. To do so, we employ a multi-method approach encompassing a systematic literature review to ensure conceptual basis for the proposed framework and thirteen qualitative interviews with practitioners for face validation of the tool. This paper proposes the Sustainable Value Exchange Matrix, a visual framework to help academics and practitioners discuss sustainable business models, based on solid theory analysis and practice-oriented application. The tool proposed provokes reflections about organization's reason of existence and deployment of this purpose into the business model dimensions from a multi-stakeholder and from a value exchange perspective.","author":[{"dropping-particle":"","family":"Morioka","given":"Sandra Naomi","non-dropping-particle":"","parse-names":false,"suffix":""},{"dropping-particle":"","family":"Bolis","given":"Ivan","non-dropping-particle":"","parse-names":false,"suffix":""},{"dropping-particle":"","family":"Monteiro de Carvalho","given":"Marly","non-dropping-particle":"","parse-names":false,"suffix":""}],"container-title":"Journal of Cleaner Production","id":"ITEM-1","issued":{"date-parts":[["2018"]]},"page":"76-88","publisher":"Elsevier Ltd","title":"From an ideal dream towards reality analysis: Proposing Sustainable Value Exchange Matrix (SVEM) from systematic literature review on sustainable business models and face validation","type":"article-journal","volume":"178"},"uris":["http://www.mendeley.com/documents/?uuid=48a5eae8-e57b-4cbd-81be-80f00b4c8d08","http://www.mendeley.com/documents/?uuid=a1c5ca1a-ebd9-4934-a3ea-27f46f0ca95b"]}],"mendeley":{"formattedCitation":"(Morioka et al., 2018)","plainTextFormattedCitation":"(Morioka et al., 2018)","previouslyFormattedCitation":"(Morioka et al., 2018)"},"properties":{"noteIndex":0},"schema":"https://github.com/citation-style-language/schema/raw/master/csl-citation.json"}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(Morioka et al., 2018)</w:t>
            </w:r>
            <w:r w:rsidRPr="00FC04A3">
              <w:rPr>
                <w:sz w:val="20"/>
                <w:szCs w:val="20"/>
                <w:lang w:val="en-GB"/>
              </w:rPr>
              <w:fldChar w:fldCharType="end"/>
            </w:r>
          </w:p>
        </w:tc>
        <w:tc>
          <w:tcPr>
            <w:tcW w:w="681" w:type="pct"/>
          </w:tcPr>
          <w:p w14:paraId="2522F49C" w14:textId="77777777" w:rsidR="00A02F15" w:rsidRPr="00FC04A3" w:rsidRDefault="00A02F15" w:rsidP="00A02F15">
            <w:pPr>
              <w:jc w:val="center"/>
              <w:rPr>
                <w:sz w:val="20"/>
                <w:szCs w:val="20"/>
                <w:lang w:val="en-GB"/>
              </w:rPr>
            </w:pPr>
          </w:p>
        </w:tc>
        <w:tc>
          <w:tcPr>
            <w:tcW w:w="403" w:type="pct"/>
          </w:tcPr>
          <w:p w14:paraId="490ECA21" w14:textId="77777777" w:rsidR="00A02F15" w:rsidRPr="00FC04A3" w:rsidRDefault="00A02F15" w:rsidP="00A02F15">
            <w:pPr>
              <w:jc w:val="center"/>
              <w:rPr>
                <w:sz w:val="20"/>
                <w:szCs w:val="20"/>
                <w:lang w:val="en-GB"/>
              </w:rPr>
            </w:pPr>
          </w:p>
        </w:tc>
        <w:tc>
          <w:tcPr>
            <w:tcW w:w="305" w:type="pct"/>
          </w:tcPr>
          <w:p w14:paraId="576D3C70" w14:textId="77777777" w:rsidR="00A02F15" w:rsidRPr="00FC04A3" w:rsidRDefault="00A02F15" w:rsidP="00A02F15">
            <w:pPr>
              <w:jc w:val="center"/>
              <w:rPr>
                <w:sz w:val="20"/>
                <w:szCs w:val="20"/>
                <w:lang w:val="en-GB"/>
              </w:rPr>
            </w:pPr>
          </w:p>
        </w:tc>
        <w:tc>
          <w:tcPr>
            <w:tcW w:w="341" w:type="pct"/>
          </w:tcPr>
          <w:p w14:paraId="14B47679" w14:textId="77777777" w:rsidR="00A02F15" w:rsidRPr="00FC04A3" w:rsidRDefault="00A02F15" w:rsidP="00A02F15">
            <w:pPr>
              <w:jc w:val="center"/>
              <w:rPr>
                <w:sz w:val="20"/>
                <w:szCs w:val="20"/>
                <w:lang w:val="en-GB"/>
              </w:rPr>
            </w:pPr>
          </w:p>
        </w:tc>
        <w:tc>
          <w:tcPr>
            <w:tcW w:w="287" w:type="pct"/>
          </w:tcPr>
          <w:p w14:paraId="6A31B501" w14:textId="77777777" w:rsidR="00A02F15" w:rsidRPr="00FC04A3" w:rsidRDefault="00A02F15" w:rsidP="00A02F15">
            <w:pPr>
              <w:jc w:val="center"/>
              <w:rPr>
                <w:sz w:val="20"/>
                <w:szCs w:val="20"/>
                <w:lang w:val="en-GB"/>
              </w:rPr>
            </w:pPr>
          </w:p>
        </w:tc>
        <w:tc>
          <w:tcPr>
            <w:tcW w:w="311" w:type="pct"/>
          </w:tcPr>
          <w:p w14:paraId="0FF9D849" w14:textId="77777777" w:rsidR="00A02F15" w:rsidRPr="00FC04A3" w:rsidRDefault="00A02F15" w:rsidP="00A02F15">
            <w:pPr>
              <w:jc w:val="center"/>
              <w:rPr>
                <w:sz w:val="20"/>
                <w:szCs w:val="20"/>
                <w:lang w:val="en-GB"/>
              </w:rPr>
            </w:pPr>
          </w:p>
        </w:tc>
        <w:tc>
          <w:tcPr>
            <w:tcW w:w="355" w:type="pct"/>
          </w:tcPr>
          <w:p w14:paraId="7EEB11BA" w14:textId="77777777" w:rsidR="00A02F15" w:rsidRPr="00FC04A3" w:rsidRDefault="00A02F15" w:rsidP="00A02F15">
            <w:pPr>
              <w:jc w:val="center"/>
              <w:rPr>
                <w:sz w:val="20"/>
                <w:szCs w:val="20"/>
                <w:lang w:val="en-GB"/>
              </w:rPr>
            </w:pPr>
          </w:p>
        </w:tc>
        <w:tc>
          <w:tcPr>
            <w:tcW w:w="403" w:type="pct"/>
          </w:tcPr>
          <w:p w14:paraId="1B140907" w14:textId="74BAF2F6" w:rsidR="00A02F15" w:rsidRPr="00FC04A3" w:rsidRDefault="00A02F15" w:rsidP="00A02F15">
            <w:pPr>
              <w:jc w:val="center"/>
              <w:rPr>
                <w:sz w:val="20"/>
                <w:szCs w:val="20"/>
                <w:lang w:val="en-GB"/>
              </w:rPr>
            </w:pPr>
            <w:r w:rsidRPr="00FC04A3">
              <w:rPr>
                <w:sz w:val="20"/>
                <w:szCs w:val="20"/>
                <w:lang w:val="en-GB"/>
              </w:rPr>
              <w:t>x</w:t>
            </w:r>
          </w:p>
        </w:tc>
        <w:tc>
          <w:tcPr>
            <w:tcW w:w="348" w:type="pct"/>
          </w:tcPr>
          <w:p w14:paraId="6AAB2024" w14:textId="77777777" w:rsidR="00A02F15" w:rsidRPr="00FC04A3" w:rsidRDefault="00A02F15" w:rsidP="00A02F15">
            <w:pPr>
              <w:jc w:val="center"/>
              <w:rPr>
                <w:sz w:val="20"/>
                <w:szCs w:val="20"/>
                <w:lang w:val="en-GB"/>
              </w:rPr>
            </w:pPr>
          </w:p>
        </w:tc>
      </w:tr>
      <w:tr w:rsidR="00A02F15" w:rsidRPr="00402AEC" w14:paraId="1152F9A1" w14:textId="77777777" w:rsidTr="00FC6976">
        <w:tc>
          <w:tcPr>
            <w:tcW w:w="1566" w:type="pct"/>
          </w:tcPr>
          <w:p w14:paraId="72FEAF79" w14:textId="4B36CE0D" w:rsidR="00A02F15" w:rsidRPr="00FC04A3" w:rsidRDefault="00A02F15" w:rsidP="00A02F15">
            <w:pPr>
              <w:rPr>
                <w:sz w:val="20"/>
                <w:szCs w:val="20"/>
                <w:highlight w:val="yellow"/>
                <w:lang w:val="en-GB"/>
              </w:rPr>
            </w:pPr>
            <w:r w:rsidRPr="00FC04A3">
              <w:rPr>
                <w:sz w:val="20"/>
                <w:szCs w:val="20"/>
                <w:lang w:val="en-GB"/>
              </w:rPr>
              <w:fldChar w:fldCharType="begin" w:fldLock="1"/>
            </w:r>
            <w:r w:rsidR="00BF2F60">
              <w:rPr>
                <w:sz w:val="20"/>
                <w:szCs w:val="20"/>
                <w:lang w:val="en-GB"/>
              </w:rPr>
              <w:instrText>ADDIN CSL_CITATION {"citationItems":[{"id":"ITEM-1","itemData":{"author":[{"dropping-particle":"","family":"Nerurkar","given":"Olive","non-dropping-particle":"","parse-names":false,"suffix":""}],"container-title":"Indian Journal of Economics and Development","id":"ITEM-1","issue":"1","issued":{"date-parts":[["2017"]]},"page":"1-6","title":"A framework of sustainable business models","type":"article-journal","volume":"5"},"uris":["http://www.mendeley.com/documents/?uuid=ef8a1a87-9140-4c50-aa04-44bd77b9275d","http://www.mendeley.com/documents/?uuid=c785aae8-7fa7-497a-95d8-ce5c6a41bd7b"]}],"mendeley":{"formattedCitation":"(Nerurkar, 2017)","plainTextFormattedCitation":"(Nerurkar, 2017)","previouslyFormattedCitation":"(Nerurkar, 2017)"},"properties":{"noteIndex":0},"schema":"https://github.com/citation-style-language/schema/raw/master/csl-citation.json"}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(Nerurkar, 2017)</w:t>
            </w:r>
            <w:r w:rsidRPr="00FC04A3">
              <w:rPr>
                <w:sz w:val="20"/>
                <w:szCs w:val="20"/>
                <w:lang w:val="en-GB"/>
              </w:rPr>
              <w:fldChar w:fldCharType="end"/>
            </w:r>
          </w:p>
        </w:tc>
        <w:tc>
          <w:tcPr>
            <w:tcW w:w="681" w:type="pct"/>
          </w:tcPr>
          <w:p w14:paraId="2F9EA520" w14:textId="77777777" w:rsidR="00A02F15" w:rsidRPr="00FC04A3" w:rsidRDefault="00A02F15" w:rsidP="00A02F15">
            <w:pPr>
              <w:jc w:val="center"/>
              <w:rPr>
                <w:sz w:val="20"/>
                <w:szCs w:val="20"/>
                <w:lang w:val="en-GB"/>
              </w:rPr>
            </w:pPr>
          </w:p>
        </w:tc>
        <w:tc>
          <w:tcPr>
            <w:tcW w:w="403" w:type="pct"/>
          </w:tcPr>
          <w:p w14:paraId="74319350" w14:textId="77777777" w:rsidR="00A02F15" w:rsidRPr="00FC04A3" w:rsidRDefault="00A02F15" w:rsidP="00A02F15">
            <w:pPr>
              <w:jc w:val="center"/>
              <w:rPr>
                <w:sz w:val="20"/>
                <w:szCs w:val="20"/>
                <w:lang w:val="en-GB"/>
              </w:rPr>
            </w:pPr>
          </w:p>
        </w:tc>
        <w:tc>
          <w:tcPr>
            <w:tcW w:w="305" w:type="pct"/>
          </w:tcPr>
          <w:p w14:paraId="2CED6A56" w14:textId="3D288B90" w:rsidR="00A02F15" w:rsidRPr="00FC04A3" w:rsidRDefault="00A02F15" w:rsidP="00A02F15">
            <w:pPr>
              <w:jc w:val="center"/>
              <w:rPr>
                <w:sz w:val="20"/>
                <w:szCs w:val="20"/>
                <w:lang w:val="en-GB"/>
              </w:rPr>
            </w:pPr>
            <w:r w:rsidRPr="00FC04A3">
              <w:rPr>
                <w:sz w:val="20"/>
                <w:szCs w:val="20"/>
                <w:lang w:val="en-GB"/>
              </w:rPr>
              <w:t>x</w:t>
            </w:r>
          </w:p>
        </w:tc>
        <w:tc>
          <w:tcPr>
            <w:tcW w:w="341" w:type="pct"/>
          </w:tcPr>
          <w:p w14:paraId="2B152BE7" w14:textId="77777777" w:rsidR="00A02F15" w:rsidRPr="00FC04A3" w:rsidRDefault="00A02F15" w:rsidP="00A02F15">
            <w:pPr>
              <w:jc w:val="center"/>
              <w:rPr>
                <w:sz w:val="20"/>
                <w:szCs w:val="20"/>
                <w:lang w:val="en-GB"/>
              </w:rPr>
            </w:pPr>
          </w:p>
        </w:tc>
        <w:tc>
          <w:tcPr>
            <w:tcW w:w="287" w:type="pct"/>
          </w:tcPr>
          <w:p w14:paraId="6641FB68" w14:textId="77777777" w:rsidR="00A02F15" w:rsidRPr="00FC04A3" w:rsidRDefault="00A02F15" w:rsidP="00A02F15">
            <w:pPr>
              <w:jc w:val="center"/>
              <w:rPr>
                <w:sz w:val="20"/>
                <w:szCs w:val="20"/>
                <w:lang w:val="en-GB"/>
              </w:rPr>
            </w:pPr>
          </w:p>
        </w:tc>
        <w:tc>
          <w:tcPr>
            <w:tcW w:w="311" w:type="pct"/>
          </w:tcPr>
          <w:p w14:paraId="0C56B15B" w14:textId="344B5F6E" w:rsidR="00A02F15" w:rsidRPr="00FC04A3" w:rsidRDefault="00A02F15" w:rsidP="00A02F15">
            <w:pPr>
              <w:jc w:val="center"/>
              <w:rPr>
                <w:sz w:val="20"/>
                <w:szCs w:val="20"/>
                <w:lang w:val="en-GB"/>
              </w:rPr>
            </w:pPr>
          </w:p>
        </w:tc>
        <w:tc>
          <w:tcPr>
            <w:tcW w:w="355" w:type="pct"/>
          </w:tcPr>
          <w:p w14:paraId="74DEAB19" w14:textId="77777777" w:rsidR="00A02F15" w:rsidRPr="00FC04A3" w:rsidRDefault="00A02F15" w:rsidP="00A02F15">
            <w:pPr>
              <w:jc w:val="center"/>
              <w:rPr>
                <w:sz w:val="20"/>
                <w:szCs w:val="20"/>
                <w:lang w:val="en-GB"/>
              </w:rPr>
            </w:pPr>
          </w:p>
        </w:tc>
        <w:tc>
          <w:tcPr>
            <w:tcW w:w="403" w:type="pct"/>
          </w:tcPr>
          <w:p w14:paraId="1D56E362" w14:textId="77777777" w:rsidR="00A02F15" w:rsidRPr="00FC04A3" w:rsidRDefault="00A02F15" w:rsidP="00A02F15">
            <w:pPr>
              <w:jc w:val="center"/>
              <w:rPr>
                <w:sz w:val="20"/>
                <w:szCs w:val="20"/>
                <w:lang w:val="en-GB"/>
              </w:rPr>
            </w:pPr>
          </w:p>
        </w:tc>
        <w:tc>
          <w:tcPr>
            <w:tcW w:w="348" w:type="pct"/>
          </w:tcPr>
          <w:p w14:paraId="295DDF79" w14:textId="77777777" w:rsidR="00A02F15" w:rsidRPr="00FC04A3" w:rsidRDefault="00A02F15" w:rsidP="00A02F15">
            <w:pPr>
              <w:jc w:val="center"/>
              <w:rPr>
                <w:sz w:val="20"/>
                <w:szCs w:val="20"/>
                <w:lang w:val="en-GB"/>
              </w:rPr>
            </w:pPr>
          </w:p>
        </w:tc>
      </w:tr>
      <w:tr w:rsidR="00A02F15" w:rsidRPr="00402AEC" w14:paraId="6395DFF1" w14:textId="77777777" w:rsidTr="00FC6976">
        <w:tc>
          <w:tcPr>
            <w:tcW w:w="1566" w:type="pct"/>
          </w:tcPr>
          <w:p w14:paraId="373F52B5" w14:textId="1F34DEAA" w:rsidR="00A02F15" w:rsidRPr="00FC04A3" w:rsidRDefault="00A02F15" w:rsidP="00A02F15">
            <w:pPr>
              <w:rPr>
                <w:sz w:val="20"/>
                <w:szCs w:val="20"/>
                <w:highlight w:val="yellow"/>
                <w:lang w:val="en-GB"/>
              </w:rPr>
            </w:pPr>
            <w:r w:rsidRPr="00FC04A3">
              <w:rPr>
                <w:sz w:val="20"/>
                <w:szCs w:val="20"/>
                <w:lang w:val="en-GB"/>
              </w:rPr>
              <w:fldChar w:fldCharType="begin" w:fldLock="1"/>
            </w:r>
            <w:r w:rsidR="00BF2F60">
              <w:rPr>
                <w:sz w:val="20"/>
                <w:szCs w:val="20"/>
                <w:lang w:val="en-GB"/>
              </w:rPr>
              <w:instrText>ADDIN CSL_CITATION {"citationItems":[{"id":"ITEM-1","itemData":{"abstract":"Circular business models are foreseen to contribute to enabling prolonged lifetimes of products and components through successive cycles of reuse, repair, remanufacturing and closing material loops. To realize economic viability and resource efficiency savings from a circular business model, early consideration and integrated planning of the product lifecycle and value creation architectures at the relevant points in the lifecycle is pivotal. However, the current frameworks for business model design have not been designed to recognize the specific opportunity points of the product lifecycle to create and capture additional value from cycling resources. They do not acknowledge that it often takes distinct value creation architectures and value propositions to capitalize on the value creation potential. To attend to this gap, this paper develops a circular business model framework that is based on the current understanding of resource efficiency strategies and systematically integrates lifecycle value management with traditional business model design thinking. Through this, the developed framework is intended to serve as guidance for circular business model development to incorporate circular principles and to capitalize on additional value from cycling resources. To explore the usefulness of the framework developed from literature, a comparative case study design with two cases of Swedish companies operating circular business models is employed. The framework proved useful to map the companies' distinct value creation architectures that enable cycling of resources and to point to opportunity spaces for additional value creation. Suggestions for further refinement are made.","author":[{"dropping-particle":"","family":"Nußholz","given":"Julia L.K.","non-dropping-particle":"","parse-names":false,"suffix":""}],"container-title":"PLATE 2017 - Product Lifetimes And The Environment Conference","id":"ITEM-1","issued":{"date-parts":[["2017"]]},"page":"1-8","publisher":"TU Delft","publisher-place":"Delft","title":"Circular Business Model Framework : Mapping value creation architectures along the product lifecycle","type":"paper-conference"},"uris":["http://www.mendeley.com/documents/?uuid=c58895b3-dc21-4784-9ac0-18e51aadd930","http://www.mendeley.com/documents/?uuid=0a032fa0-ddd9-4a7c-b291-0c8c729240c1"]}],"mendeley":{"formattedCitation":"(Nußholz, 2017a)","plainTextFormattedCitation":"(Nußholz, 2017a)","previouslyFormattedCitation":"(Nußholz, 2017a)"},"properties":{"noteIndex":0},"schema":"https://github.com/citation-style-language/schema/raw/master/csl-citation.json"}</w:instrText>
            </w:r>
            <w:r w:rsidRPr="00FC04A3">
              <w:rPr>
                <w:sz w:val="20"/>
                <w:szCs w:val="20"/>
                <w:lang w:val="en-GB"/>
              </w:rPr>
              <w:fldChar w:fldCharType="separate"/>
            </w:r>
            <w:r w:rsidRPr="008E630B">
              <w:rPr>
                <w:noProof/>
                <w:sz w:val="20"/>
                <w:szCs w:val="20"/>
                <w:lang w:val="en-GB"/>
              </w:rPr>
              <w:t>(Nußholz, 2017a)</w:t>
            </w:r>
            <w:r w:rsidRPr="00FC04A3">
              <w:rPr>
                <w:sz w:val="20"/>
                <w:szCs w:val="20"/>
                <w:lang w:val="en-GB"/>
              </w:rPr>
              <w:fldChar w:fldCharType="end"/>
            </w:r>
            <w:r w:rsidRPr="00FC04A3">
              <w:rPr>
                <w:rFonts w:eastAsiaTheme="minorEastAsia"/>
                <w:sz w:val="20"/>
                <w:szCs w:val="20"/>
                <w:highlight w:val="yellow"/>
                <w:lang w:val="en-GB"/>
              </w:rPr>
              <w:t xml:space="preserve"> </w:t>
            </w:r>
          </w:p>
        </w:tc>
        <w:tc>
          <w:tcPr>
            <w:tcW w:w="681" w:type="pct"/>
          </w:tcPr>
          <w:p w14:paraId="1354AC98" w14:textId="77777777" w:rsidR="00A02F15" w:rsidRPr="00FC04A3" w:rsidRDefault="00A02F15" w:rsidP="00A02F15">
            <w:pPr>
              <w:jc w:val="center"/>
              <w:rPr>
                <w:sz w:val="20"/>
                <w:szCs w:val="20"/>
                <w:lang w:val="en-GB"/>
              </w:rPr>
            </w:pPr>
          </w:p>
        </w:tc>
        <w:tc>
          <w:tcPr>
            <w:tcW w:w="403" w:type="pct"/>
          </w:tcPr>
          <w:p w14:paraId="326DF798" w14:textId="77777777" w:rsidR="00A02F15" w:rsidRPr="00FC04A3" w:rsidRDefault="00A02F15" w:rsidP="00A02F15">
            <w:pPr>
              <w:jc w:val="center"/>
              <w:rPr>
                <w:sz w:val="20"/>
                <w:szCs w:val="20"/>
                <w:lang w:val="en-GB"/>
              </w:rPr>
            </w:pPr>
            <w:r w:rsidRPr="00FC04A3">
              <w:rPr>
                <w:sz w:val="20"/>
                <w:szCs w:val="20"/>
                <w:lang w:val="en-GB"/>
              </w:rPr>
              <w:t>x</w:t>
            </w:r>
          </w:p>
        </w:tc>
        <w:tc>
          <w:tcPr>
            <w:tcW w:w="305" w:type="pct"/>
          </w:tcPr>
          <w:p w14:paraId="3FC05AC9" w14:textId="77777777" w:rsidR="00A02F15" w:rsidRPr="00FC04A3" w:rsidRDefault="00A02F15" w:rsidP="00A02F15">
            <w:pPr>
              <w:jc w:val="center"/>
              <w:rPr>
                <w:sz w:val="20"/>
                <w:szCs w:val="20"/>
                <w:lang w:val="en-GB"/>
              </w:rPr>
            </w:pPr>
          </w:p>
        </w:tc>
        <w:tc>
          <w:tcPr>
            <w:tcW w:w="341" w:type="pct"/>
          </w:tcPr>
          <w:p w14:paraId="51679F52" w14:textId="77777777" w:rsidR="00A02F15" w:rsidRPr="00FC04A3" w:rsidRDefault="00A02F15" w:rsidP="00A02F15">
            <w:pPr>
              <w:jc w:val="center"/>
              <w:rPr>
                <w:sz w:val="20"/>
                <w:szCs w:val="20"/>
                <w:lang w:val="en-GB"/>
              </w:rPr>
            </w:pPr>
          </w:p>
        </w:tc>
        <w:tc>
          <w:tcPr>
            <w:tcW w:w="287" w:type="pct"/>
          </w:tcPr>
          <w:p w14:paraId="0F57DF83" w14:textId="77777777" w:rsidR="00A02F15" w:rsidRPr="00FC04A3" w:rsidRDefault="00A02F15" w:rsidP="00A02F15">
            <w:pPr>
              <w:jc w:val="center"/>
              <w:rPr>
                <w:sz w:val="20"/>
                <w:szCs w:val="20"/>
                <w:lang w:val="en-GB"/>
              </w:rPr>
            </w:pPr>
          </w:p>
        </w:tc>
        <w:tc>
          <w:tcPr>
            <w:tcW w:w="311" w:type="pct"/>
          </w:tcPr>
          <w:p w14:paraId="39266C72" w14:textId="77777777" w:rsidR="00A02F15" w:rsidRPr="00FC04A3" w:rsidRDefault="00A02F15" w:rsidP="00A02F15">
            <w:pPr>
              <w:jc w:val="center"/>
              <w:rPr>
                <w:sz w:val="20"/>
                <w:szCs w:val="20"/>
                <w:lang w:val="en-GB"/>
              </w:rPr>
            </w:pPr>
          </w:p>
        </w:tc>
        <w:tc>
          <w:tcPr>
            <w:tcW w:w="355" w:type="pct"/>
          </w:tcPr>
          <w:p w14:paraId="121B32AD" w14:textId="77777777" w:rsidR="00A02F15" w:rsidRPr="00FC04A3" w:rsidRDefault="00A02F15" w:rsidP="00A02F15">
            <w:pPr>
              <w:jc w:val="center"/>
              <w:rPr>
                <w:sz w:val="20"/>
                <w:szCs w:val="20"/>
                <w:lang w:val="en-GB"/>
              </w:rPr>
            </w:pPr>
          </w:p>
        </w:tc>
        <w:tc>
          <w:tcPr>
            <w:tcW w:w="403" w:type="pct"/>
          </w:tcPr>
          <w:p w14:paraId="3873C17C" w14:textId="77777777" w:rsidR="00A02F15" w:rsidRPr="00FC04A3" w:rsidRDefault="00A02F15" w:rsidP="00A02F15">
            <w:pPr>
              <w:jc w:val="center"/>
              <w:rPr>
                <w:sz w:val="20"/>
                <w:szCs w:val="20"/>
                <w:lang w:val="en-GB"/>
              </w:rPr>
            </w:pPr>
          </w:p>
        </w:tc>
        <w:tc>
          <w:tcPr>
            <w:tcW w:w="348" w:type="pct"/>
          </w:tcPr>
          <w:p w14:paraId="4BD27316" w14:textId="77777777" w:rsidR="00A02F15" w:rsidRPr="00FC04A3" w:rsidRDefault="00A02F15" w:rsidP="00A02F15">
            <w:pPr>
              <w:jc w:val="center"/>
              <w:rPr>
                <w:sz w:val="20"/>
                <w:szCs w:val="20"/>
                <w:lang w:val="en-GB"/>
              </w:rPr>
            </w:pPr>
          </w:p>
        </w:tc>
      </w:tr>
      <w:tr w:rsidR="00A02F15" w:rsidRPr="00402AEC" w14:paraId="4B28EAA4" w14:textId="77777777" w:rsidTr="00FC6976">
        <w:tc>
          <w:tcPr>
            <w:tcW w:w="1566" w:type="pct"/>
          </w:tcPr>
          <w:p w14:paraId="07BD0F4C" w14:textId="6C55736E" w:rsidR="00A02F15" w:rsidRPr="00FC04A3" w:rsidRDefault="00A02F15" w:rsidP="00A02F15">
            <w:pPr>
              <w:rPr>
                <w:sz w:val="20"/>
                <w:szCs w:val="20"/>
                <w:highlight w:val="yellow"/>
                <w:lang w:val="en-GB"/>
              </w:rPr>
            </w:pPr>
            <w:r w:rsidRPr="00FC04A3">
              <w:rPr>
                <w:sz w:val="20"/>
                <w:szCs w:val="20"/>
                <w:lang w:val="en-GB"/>
              </w:rPr>
              <w:fldChar w:fldCharType="begin" w:fldLock="1"/>
            </w:r>
            <w:r w:rsidR="003445CC">
              <w:rPr>
                <w:sz w:val="20"/>
                <w:szCs w:val="20"/>
                <w:lang w:val="en-GB"/>
              </w:rPr>
              <w:instrText>ADDIN CSL_CITATION {"citationItems":[{"id":"ITEM-1","itemData":{"DOI":"10.3390/su9101810","ISBN":"2071-1050","ISSN":"20711050","abstract":"To aid companies in transitioning towards a circular economy and adopting strategies such as reuse, repair, and remanufacturing, the concept of circular business models has been developed. Although the concept draws on contributions from various academic disciplines, and despite its increasingly frequent use, few scholars clearly define what a circular business model is. Understanding about what makes a business model circular is diverse, hampering the theoretical development and practical application of circular business models. This study aims to help frame the field of circular business model research, by clarifying the fundamentals of the concept from the perspectives of resource efficiency and business model innovation. Expanding on these findings, a review of how the concept is used in recent academic literature is provided. It shows that a coherent view is lacking on which resource efficiency strategies classify a business model as circular. This study clarifies which resource efficiency strategies can be deemed as relevant key strategies for circular business models, and suggests a new definition of the concept. With the definition grounded in analysis of the fundamentals in terms of resource efficiency and business models, the study contributes to theoretical advancement and effective implementation of circular business models.","author":[{"dropping-particle":"","family":"Nußholz","given":"Julia L.K.","non-dropping-particle":"","parse-names":false,"suffix":""}],"container-title":"Sustainability (Switzerland)","id":"ITEM-1","issue":"1810","issued":{"date-parts":[["2017"]]},"page":"1-16","title":"Circular business models: Defining a concept and framing an emerging research field","type":"article-journal","volume":"9"},"uris":["http://www.mendeley.com/documents/?uuid=dd3fe7f7-3c33-4f01-bfd8-d478021a18d1","http://www.mendeley.com/documents/?uuid=b379f52c-dbfa-4922-aac7-cfa9a56e3899"]}],"mendeley":{"formattedCitation":"(Nußholz, 2017b)","plainTextFormattedCitation":"(Nußholz, 2017b)","previouslyFormattedCitation":"(Nußholz, 2017b)"},"properties":{"noteIndex":0},"schema":"https://github.com/citation-style-language/schema/raw/master/csl-citation.json"}</w:instrText>
            </w:r>
            <w:r w:rsidRPr="00FC04A3">
              <w:rPr>
                <w:sz w:val="20"/>
                <w:szCs w:val="20"/>
                <w:lang w:val="en-GB"/>
              </w:rPr>
              <w:fldChar w:fldCharType="separate"/>
            </w:r>
            <w:r w:rsidRPr="008E630B">
              <w:rPr>
                <w:noProof/>
                <w:sz w:val="20"/>
                <w:szCs w:val="20"/>
                <w:lang w:val="en-GB"/>
              </w:rPr>
              <w:t>(Nußholz, 2017b)</w:t>
            </w:r>
            <w:r w:rsidRPr="00FC04A3">
              <w:rPr>
                <w:sz w:val="20"/>
                <w:szCs w:val="20"/>
                <w:lang w:val="en-GB"/>
              </w:rPr>
              <w:fldChar w:fldCharType="end"/>
            </w:r>
          </w:p>
        </w:tc>
        <w:tc>
          <w:tcPr>
            <w:tcW w:w="681" w:type="pct"/>
          </w:tcPr>
          <w:p w14:paraId="7B009BEA" w14:textId="77777777" w:rsidR="00A02F15" w:rsidRPr="00FC04A3" w:rsidRDefault="00A02F15" w:rsidP="00A02F15">
            <w:pPr>
              <w:jc w:val="center"/>
              <w:rPr>
                <w:sz w:val="20"/>
                <w:szCs w:val="20"/>
                <w:lang w:val="en-GB"/>
              </w:rPr>
            </w:pPr>
          </w:p>
        </w:tc>
        <w:tc>
          <w:tcPr>
            <w:tcW w:w="403" w:type="pct"/>
          </w:tcPr>
          <w:p w14:paraId="616A60E2" w14:textId="77777777" w:rsidR="00A02F15" w:rsidRPr="00FC04A3" w:rsidRDefault="00A02F15" w:rsidP="00A02F15">
            <w:pPr>
              <w:jc w:val="center"/>
              <w:rPr>
                <w:sz w:val="20"/>
                <w:szCs w:val="20"/>
                <w:lang w:val="en-GB"/>
              </w:rPr>
            </w:pPr>
            <w:r w:rsidRPr="00FC04A3">
              <w:rPr>
                <w:sz w:val="20"/>
                <w:szCs w:val="20"/>
                <w:lang w:val="en-GB"/>
              </w:rPr>
              <w:t>x</w:t>
            </w:r>
          </w:p>
        </w:tc>
        <w:tc>
          <w:tcPr>
            <w:tcW w:w="305" w:type="pct"/>
          </w:tcPr>
          <w:p w14:paraId="4913A820" w14:textId="77777777" w:rsidR="00A02F15" w:rsidRPr="00FC04A3" w:rsidRDefault="00A02F15" w:rsidP="00A02F15">
            <w:pPr>
              <w:jc w:val="center"/>
              <w:rPr>
                <w:sz w:val="20"/>
                <w:szCs w:val="20"/>
                <w:lang w:val="en-GB"/>
              </w:rPr>
            </w:pPr>
          </w:p>
        </w:tc>
        <w:tc>
          <w:tcPr>
            <w:tcW w:w="341" w:type="pct"/>
          </w:tcPr>
          <w:p w14:paraId="1225AE4B" w14:textId="77777777" w:rsidR="00A02F15" w:rsidRPr="00FC04A3" w:rsidRDefault="00A02F15" w:rsidP="00A02F15">
            <w:pPr>
              <w:jc w:val="center"/>
              <w:rPr>
                <w:sz w:val="20"/>
                <w:szCs w:val="20"/>
                <w:lang w:val="en-GB"/>
              </w:rPr>
            </w:pPr>
          </w:p>
        </w:tc>
        <w:tc>
          <w:tcPr>
            <w:tcW w:w="287" w:type="pct"/>
          </w:tcPr>
          <w:p w14:paraId="4A9C1E7B" w14:textId="77777777" w:rsidR="00A02F15" w:rsidRPr="00FC04A3" w:rsidRDefault="00A02F15" w:rsidP="00A02F15">
            <w:pPr>
              <w:jc w:val="center"/>
              <w:rPr>
                <w:sz w:val="20"/>
                <w:szCs w:val="20"/>
                <w:lang w:val="en-GB"/>
              </w:rPr>
            </w:pPr>
          </w:p>
        </w:tc>
        <w:tc>
          <w:tcPr>
            <w:tcW w:w="311" w:type="pct"/>
          </w:tcPr>
          <w:p w14:paraId="624A271A" w14:textId="77777777" w:rsidR="00A02F15" w:rsidRPr="00FC04A3" w:rsidRDefault="00A02F15" w:rsidP="00A02F15">
            <w:pPr>
              <w:jc w:val="center"/>
              <w:rPr>
                <w:sz w:val="20"/>
                <w:szCs w:val="20"/>
                <w:lang w:val="en-GB"/>
              </w:rPr>
            </w:pPr>
          </w:p>
        </w:tc>
        <w:tc>
          <w:tcPr>
            <w:tcW w:w="355" w:type="pct"/>
          </w:tcPr>
          <w:p w14:paraId="51CB0927" w14:textId="77777777" w:rsidR="00A02F15" w:rsidRPr="00FC04A3" w:rsidRDefault="00A02F15" w:rsidP="00A02F15">
            <w:pPr>
              <w:jc w:val="center"/>
              <w:rPr>
                <w:sz w:val="20"/>
                <w:szCs w:val="20"/>
                <w:lang w:val="en-GB"/>
              </w:rPr>
            </w:pPr>
          </w:p>
        </w:tc>
        <w:tc>
          <w:tcPr>
            <w:tcW w:w="403" w:type="pct"/>
          </w:tcPr>
          <w:p w14:paraId="752B0EE8" w14:textId="77777777" w:rsidR="00A02F15" w:rsidRPr="00FC04A3" w:rsidRDefault="00A02F15" w:rsidP="00A02F15">
            <w:pPr>
              <w:jc w:val="center"/>
              <w:rPr>
                <w:sz w:val="20"/>
                <w:szCs w:val="20"/>
                <w:lang w:val="en-GB"/>
              </w:rPr>
            </w:pPr>
          </w:p>
        </w:tc>
        <w:tc>
          <w:tcPr>
            <w:tcW w:w="348" w:type="pct"/>
          </w:tcPr>
          <w:p w14:paraId="0FE7D026" w14:textId="77777777" w:rsidR="00A02F15" w:rsidRPr="00FC04A3" w:rsidRDefault="00A02F15" w:rsidP="00A02F15">
            <w:pPr>
              <w:jc w:val="center"/>
              <w:rPr>
                <w:sz w:val="20"/>
                <w:szCs w:val="20"/>
                <w:lang w:val="en-GB"/>
              </w:rPr>
            </w:pPr>
          </w:p>
        </w:tc>
      </w:tr>
      <w:tr w:rsidR="00A02F15" w:rsidRPr="00402AEC" w14:paraId="28CC6981" w14:textId="77777777" w:rsidTr="00FC6976">
        <w:tc>
          <w:tcPr>
            <w:tcW w:w="1566" w:type="pct"/>
          </w:tcPr>
          <w:p w14:paraId="7BBE6F30" w14:textId="6CB83678" w:rsidR="00A02F15" w:rsidRPr="00FC04A3" w:rsidRDefault="00A02F15" w:rsidP="00A02F15">
            <w:pPr>
              <w:rPr>
                <w:sz w:val="20"/>
                <w:szCs w:val="20"/>
                <w:highlight w:val="yellow"/>
                <w:lang w:val="en-GB"/>
              </w:rPr>
            </w:pPr>
            <w:r w:rsidRPr="00FC04A3">
              <w:rPr>
                <w:sz w:val="20"/>
                <w:szCs w:val="20"/>
                <w:lang w:val="en-GB"/>
              </w:rPr>
              <w:fldChar w:fldCharType="begin" w:fldLock="1"/>
            </w:r>
            <w:r w:rsidR="00BF2F60">
              <w:rPr>
                <w:sz w:val="20"/>
                <w:szCs w:val="20"/>
                <w:lang w:val="en-GB"/>
              </w:rPr>
              <w:instrText>ADDIN CSL_CITATION {"citationItems":[{"id":"ITEM-1","itemData":{"DOI":"10.1016/j.promfg.2017.02.037","ISBN":"2351-9789","ISSN":"23519789","abstract":"In the face of growing sustainability challenges, pressure on businesses to decouple environmental impacts from growth is mounting. New sustainable business models can be a systemic driver for change in industry and the wider business innovation literature suggests that strategic design approaches can be at the heart of business model innovation. One such approach, service design, involves solving problems through a service response, which unlocks value for each stakeholder in a value chain. Nevertheless, the value of service design to sustainable business is still often overlooked. Through a literature review and five illustrative case studies this paper systematically analyses how businesses can leverage service design for sustainable business model innovation. The research highlights how service design can support sustainable business model innovation by uncovering strategic as well as operational synergies between these complementary fields.","author":[{"dropping-particle":"","family":"Prendeville","given":"Sharon","non-dropping-particle":"","parse-names":false,"suffix":""},{"dropping-particle":"","family":"Bocken","given":"Nancy M.P.","non-dropping-particle":"","parse-names":false,"suffix":""}],"container-title":"GCSM 2016 - 14th Global Conference on Sustainable Manufacturing","id":"ITEM-1","issued":{"date-parts":[["2016"]]},"page":"292-299","publisher":"Elsevier","publisher-place":"Stellenbosch, South Africa","title":"Sustainable Business Models through Service Design","type":"paper-conference"},"uris":["http://www.mendeley.com/documents/?uuid=c0370c89-21f1-4ffc-ad27-133197eb5668","http://www.mendeley.com/documents/?uuid=648cb913-ee04-44f7-8a69-55a1d8b14d4a"]}],"mendeley":{"formattedCitation":"(Prendeville and Bocken, 2016)","plainTextFormattedCitation":"(Prendeville and Bocken, 2016)","previouslyFormattedCitation":"(Prendeville and Bocken, 2016)"},"properties":{"noteIndex":0},"schema":"https://github.com/citation-style-language/schema/raw/master/csl-citation.json"}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(Prendeville and Bocken, 2016)</w:t>
            </w:r>
            <w:r w:rsidRPr="00FC04A3">
              <w:rPr>
                <w:sz w:val="20"/>
                <w:szCs w:val="20"/>
                <w:lang w:val="en-GB"/>
              </w:rPr>
              <w:fldChar w:fldCharType="end"/>
            </w:r>
          </w:p>
        </w:tc>
        <w:tc>
          <w:tcPr>
            <w:tcW w:w="681" w:type="pct"/>
          </w:tcPr>
          <w:p w14:paraId="53BC8DEE" w14:textId="32D12F23" w:rsidR="00A02F15" w:rsidRPr="00FC04A3" w:rsidRDefault="00A02F15" w:rsidP="00A02F15">
            <w:pPr>
              <w:jc w:val="center"/>
              <w:rPr>
                <w:sz w:val="20"/>
                <w:szCs w:val="20"/>
                <w:lang w:val="en-GB"/>
              </w:rPr>
            </w:pPr>
          </w:p>
        </w:tc>
        <w:tc>
          <w:tcPr>
            <w:tcW w:w="403" w:type="pct"/>
          </w:tcPr>
          <w:p w14:paraId="039DC94B" w14:textId="77777777" w:rsidR="00A02F15" w:rsidRPr="00FC04A3" w:rsidRDefault="00A02F15" w:rsidP="00A02F15">
            <w:pPr>
              <w:jc w:val="center"/>
              <w:rPr>
                <w:sz w:val="20"/>
                <w:szCs w:val="20"/>
                <w:lang w:val="en-GB"/>
              </w:rPr>
            </w:pPr>
          </w:p>
        </w:tc>
        <w:tc>
          <w:tcPr>
            <w:tcW w:w="305" w:type="pct"/>
          </w:tcPr>
          <w:p w14:paraId="573FEFF4" w14:textId="77777777" w:rsidR="00A02F15" w:rsidRPr="00FC04A3" w:rsidRDefault="00A02F15" w:rsidP="00A02F15">
            <w:pPr>
              <w:jc w:val="center"/>
              <w:rPr>
                <w:sz w:val="20"/>
                <w:szCs w:val="20"/>
                <w:lang w:val="en-GB"/>
              </w:rPr>
            </w:pPr>
          </w:p>
        </w:tc>
        <w:tc>
          <w:tcPr>
            <w:tcW w:w="341" w:type="pct"/>
          </w:tcPr>
          <w:p w14:paraId="4AE535D6" w14:textId="77777777" w:rsidR="00A02F15" w:rsidRPr="00FC04A3" w:rsidRDefault="00A02F15" w:rsidP="00A02F15">
            <w:pPr>
              <w:jc w:val="center"/>
              <w:rPr>
                <w:sz w:val="20"/>
                <w:szCs w:val="20"/>
                <w:lang w:val="en-GB"/>
              </w:rPr>
            </w:pPr>
          </w:p>
        </w:tc>
        <w:tc>
          <w:tcPr>
            <w:tcW w:w="287" w:type="pct"/>
          </w:tcPr>
          <w:p w14:paraId="564F368C" w14:textId="77777777" w:rsidR="00A02F15" w:rsidRPr="00FC04A3" w:rsidRDefault="00A02F15" w:rsidP="00A02F15">
            <w:pPr>
              <w:jc w:val="center"/>
              <w:rPr>
                <w:sz w:val="20"/>
                <w:szCs w:val="20"/>
                <w:lang w:val="en-GB"/>
              </w:rPr>
            </w:pPr>
          </w:p>
        </w:tc>
        <w:tc>
          <w:tcPr>
            <w:tcW w:w="311" w:type="pct"/>
          </w:tcPr>
          <w:p w14:paraId="37EC709A" w14:textId="0ACF0704" w:rsidR="00A02F15" w:rsidRPr="00FC04A3" w:rsidRDefault="00A02F15" w:rsidP="00A02F15">
            <w:pPr>
              <w:jc w:val="center"/>
              <w:rPr>
                <w:sz w:val="20"/>
                <w:szCs w:val="20"/>
                <w:lang w:val="en-GB"/>
              </w:rPr>
            </w:pPr>
            <w:r w:rsidRPr="00FC04A3">
              <w:rPr>
                <w:sz w:val="20"/>
                <w:szCs w:val="20"/>
                <w:lang w:val="en-GB"/>
              </w:rPr>
              <w:t>x</w:t>
            </w:r>
          </w:p>
        </w:tc>
        <w:tc>
          <w:tcPr>
            <w:tcW w:w="355" w:type="pct"/>
          </w:tcPr>
          <w:p w14:paraId="04A89253" w14:textId="77777777" w:rsidR="00A02F15" w:rsidRPr="00FC04A3" w:rsidRDefault="00A02F15" w:rsidP="00A02F15">
            <w:pPr>
              <w:jc w:val="center"/>
              <w:rPr>
                <w:sz w:val="20"/>
                <w:szCs w:val="20"/>
                <w:lang w:val="en-GB"/>
              </w:rPr>
            </w:pPr>
          </w:p>
        </w:tc>
        <w:tc>
          <w:tcPr>
            <w:tcW w:w="403" w:type="pct"/>
          </w:tcPr>
          <w:p w14:paraId="52022D7A" w14:textId="77777777" w:rsidR="00A02F15" w:rsidRPr="00FC04A3" w:rsidRDefault="00A02F15" w:rsidP="00A02F15">
            <w:pPr>
              <w:jc w:val="center"/>
              <w:rPr>
                <w:sz w:val="20"/>
                <w:szCs w:val="20"/>
                <w:lang w:val="en-GB"/>
              </w:rPr>
            </w:pPr>
          </w:p>
        </w:tc>
        <w:tc>
          <w:tcPr>
            <w:tcW w:w="348" w:type="pct"/>
          </w:tcPr>
          <w:p w14:paraId="38978B6B" w14:textId="77777777" w:rsidR="00A02F15" w:rsidRPr="00FC04A3" w:rsidRDefault="00A02F15" w:rsidP="00A02F15">
            <w:pPr>
              <w:jc w:val="center"/>
              <w:rPr>
                <w:sz w:val="20"/>
                <w:szCs w:val="20"/>
                <w:lang w:val="en-GB"/>
              </w:rPr>
            </w:pPr>
          </w:p>
        </w:tc>
      </w:tr>
      <w:tr w:rsidR="00A02F15" w:rsidRPr="00402AEC" w14:paraId="47F69FE6" w14:textId="77777777" w:rsidTr="00FC6976">
        <w:tc>
          <w:tcPr>
            <w:tcW w:w="1566" w:type="pct"/>
          </w:tcPr>
          <w:p w14:paraId="44F84757" w14:textId="0566F68B" w:rsidR="00A02F15" w:rsidRPr="00FC04A3" w:rsidRDefault="00A02F15" w:rsidP="00A02F15">
            <w:pPr>
              <w:rPr>
                <w:sz w:val="20"/>
                <w:szCs w:val="20"/>
                <w:highlight w:val="yellow"/>
                <w:lang w:val="en-GB"/>
              </w:rPr>
            </w:pPr>
            <w:r w:rsidRPr="00FC04A3">
              <w:rPr>
                <w:sz w:val="20"/>
                <w:szCs w:val="20"/>
                <w:lang w:val="en-GB"/>
              </w:rPr>
              <w:fldChar w:fldCharType="begin" w:fldLock="1"/>
            </w:r>
            <w:r w:rsidR="00BF2F60">
              <w:rPr>
                <w:sz w:val="20"/>
                <w:szCs w:val="20"/>
                <w:lang w:val="en-GB"/>
              </w:rPr>
              <w:instrText>ADDIN CSL_CITATION {"citationItems":[{"id":"ITEM-1","itemData":{"DOI":"10.1515/vjbsd-2017-0003","ISSN":"1339-3367","abstract":"&lt;p&gt;The scope of the research is to find out how social entrepreneurship operations can be modelled within existing business methods using circular economy principles. A literature review was undertaken in order to clarify and find out different opinions regarding circularity and social businesses models. Moreover, the author interviewed managers of different social mission organizations in order to find out the critical factors that determine the sustainability and performances of the organizations. Using the results of the field and desk research, the author suggests the following business model elements to be considered by social enterprises aiming to implement circular economy principles: Desired social and environment vision; Value proposition; Alignment of organizations to the strategy and acceleration of change through executive leadership implication; Financial sustainable perspective: a) to increase financial resources and b) to manage costs; Stakeholders perspective: a) customers segments, b) users, c) employees, d) community beneficiaries, e) channels, f) customer relationships, g) Key partnerships; Internal process perspective: a) processes necessary to use circular economy principles; b) impact measurement and key activities; c) internal and external communication; Resources perspective: a) networks; b) skills on circular principles and social impact; c) information and technologies.`&lt;/p&gt;","author":[{"dropping-particle":"","family":"Stratan","given":"Dumitru","non-dropping-particle":"","parse-names":false,"suffix":""}],"container-title":"Visegrad Journal on Bioeconomy and Sustainable Development","id":"ITEM-1","issue":"1","issued":{"date-parts":[["2017"]]},"page":"17-23","title":"Success Factors of Sustainable Social Enterprises Through Circular Economy Perspective","type":"article-journal","volume":"6"},"uris":["http://www.mendeley.com/documents/?uuid=1672a14b-3c53-420b-9a18-bebb149d0322","http://www.mendeley.com/documents/?uuid=fd0306e0-b5bd-421a-9eb4-a956b4d80be4"]}],"mendeley":{"formattedCitation":"(Stratan, 2017)","plainTextFormattedCitation":"(Stratan, 2017)","previouslyFormattedCitation":"(Stratan, 2017)"},"properties":{"noteIndex":0},"schema":"https://github.com/citation-style-language/schema/raw/master/csl-citation.json"}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(Stratan, 2017)</w:t>
            </w:r>
            <w:r w:rsidRPr="00FC04A3">
              <w:rPr>
                <w:sz w:val="20"/>
                <w:szCs w:val="20"/>
                <w:lang w:val="en-GB"/>
              </w:rPr>
              <w:fldChar w:fldCharType="end"/>
            </w:r>
          </w:p>
        </w:tc>
        <w:tc>
          <w:tcPr>
            <w:tcW w:w="681" w:type="pct"/>
          </w:tcPr>
          <w:p w14:paraId="03D5A768" w14:textId="77777777" w:rsidR="00A02F15" w:rsidRPr="00FC04A3" w:rsidRDefault="00A02F15" w:rsidP="00A02F15">
            <w:pPr>
              <w:jc w:val="center"/>
              <w:rPr>
                <w:sz w:val="20"/>
                <w:szCs w:val="20"/>
                <w:lang w:val="en-GB"/>
              </w:rPr>
            </w:pPr>
          </w:p>
        </w:tc>
        <w:tc>
          <w:tcPr>
            <w:tcW w:w="403" w:type="pct"/>
          </w:tcPr>
          <w:p w14:paraId="3683E93E" w14:textId="242146D7" w:rsidR="00A02F15" w:rsidRPr="00FC04A3" w:rsidRDefault="00A02F15" w:rsidP="00A02F15">
            <w:pPr>
              <w:jc w:val="center"/>
              <w:rPr>
                <w:sz w:val="20"/>
                <w:szCs w:val="20"/>
                <w:lang w:val="en-GB"/>
              </w:rPr>
            </w:pPr>
            <w:r w:rsidRPr="00FC04A3">
              <w:rPr>
                <w:sz w:val="20"/>
                <w:szCs w:val="20"/>
                <w:lang w:val="en-GB"/>
              </w:rPr>
              <w:t>x</w:t>
            </w:r>
          </w:p>
        </w:tc>
        <w:tc>
          <w:tcPr>
            <w:tcW w:w="305" w:type="pct"/>
          </w:tcPr>
          <w:p w14:paraId="7D97CCA8" w14:textId="77777777" w:rsidR="00A02F15" w:rsidRPr="00FC04A3" w:rsidRDefault="00A02F15" w:rsidP="00A02F15">
            <w:pPr>
              <w:jc w:val="center"/>
              <w:rPr>
                <w:sz w:val="20"/>
                <w:szCs w:val="20"/>
                <w:lang w:val="en-GB"/>
              </w:rPr>
            </w:pPr>
          </w:p>
        </w:tc>
        <w:tc>
          <w:tcPr>
            <w:tcW w:w="341" w:type="pct"/>
          </w:tcPr>
          <w:p w14:paraId="439340C4" w14:textId="6C1DC6BD" w:rsidR="00A02F15" w:rsidRPr="00FC04A3" w:rsidRDefault="00A02F15" w:rsidP="00A02F15">
            <w:pPr>
              <w:jc w:val="center"/>
              <w:rPr>
                <w:sz w:val="20"/>
                <w:szCs w:val="20"/>
                <w:lang w:val="en-GB"/>
              </w:rPr>
            </w:pPr>
          </w:p>
        </w:tc>
        <w:tc>
          <w:tcPr>
            <w:tcW w:w="287" w:type="pct"/>
          </w:tcPr>
          <w:p w14:paraId="0328833D" w14:textId="77777777" w:rsidR="00A02F15" w:rsidRPr="00FC04A3" w:rsidRDefault="00A02F15" w:rsidP="00A02F15">
            <w:pPr>
              <w:jc w:val="center"/>
              <w:rPr>
                <w:sz w:val="20"/>
                <w:szCs w:val="20"/>
                <w:lang w:val="en-GB"/>
              </w:rPr>
            </w:pPr>
          </w:p>
        </w:tc>
        <w:tc>
          <w:tcPr>
            <w:tcW w:w="311" w:type="pct"/>
          </w:tcPr>
          <w:p w14:paraId="443F5B14" w14:textId="77777777" w:rsidR="00A02F15" w:rsidRPr="00FC04A3" w:rsidRDefault="00A02F15" w:rsidP="00A02F15">
            <w:pPr>
              <w:jc w:val="center"/>
              <w:rPr>
                <w:sz w:val="20"/>
                <w:szCs w:val="20"/>
                <w:lang w:val="en-GB"/>
              </w:rPr>
            </w:pPr>
          </w:p>
        </w:tc>
        <w:tc>
          <w:tcPr>
            <w:tcW w:w="355" w:type="pct"/>
          </w:tcPr>
          <w:p w14:paraId="4D95F6A4" w14:textId="77777777" w:rsidR="00A02F15" w:rsidRPr="00FC04A3" w:rsidRDefault="00A02F15" w:rsidP="00A02F15">
            <w:pPr>
              <w:jc w:val="center"/>
              <w:rPr>
                <w:sz w:val="20"/>
                <w:szCs w:val="20"/>
                <w:lang w:val="en-GB"/>
              </w:rPr>
            </w:pPr>
          </w:p>
        </w:tc>
        <w:tc>
          <w:tcPr>
            <w:tcW w:w="403" w:type="pct"/>
          </w:tcPr>
          <w:p w14:paraId="0D23E366" w14:textId="77777777" w:rsidR="00A02F15" w:rsidRPr="00FC04A3" w:rsidRDefault="00A02F15" w:rsidP="00A02F15">
            <w:pPr>
              <w:jc w:val="center"/>
              <w:rPr>
                <w:sz w:val="20"/>
                <w:szCs w:val="20"/>
                <w:lang w:val="en-GB"/>
              </w:rPr>
            </w:pPr>
          </w:p>
        </w:tc>
        <w:tc>
          <w:tcPr>
            <w:tcW w:w="348" w:type="pct"/>
          </w:tcPr>
          <w:p w14:paraId="34D77029" w14:textId="77777777" w:rsidR="00A02F15" w:rsidRPr="00FC04A3" w:rsidRDefault="00A02F15" w:rsidP="00A02F15">
            <w:pPr>
              <w:jc w:val="center"/>
              <w:rPr>
                <w:sz w:val="20"/>
                <w:szCs w:val="20"/>
                <w:lang w:val="en-GB"/>
              </w:rPr>
            </w:pPr>
          </w:p>
        </w:tc>
      </w:tr>
      <w:tr w:rsidR="00A02F15" w:rsidRPr="00402AEC" w14:paraId="5D87E3C7" w14:textId="77777777" w:rsidTr="00FC6976">
        <w:tc>
          <w:tcPr>
            <w:tcW w:w="1566" w:type="pct"/>
          </w:tcPr>
          <w:p w14:paraId="5B610D93" w14:textId="5464787E" w:rsidR="00A02F15" w:rsidRPr="00FC04A3" w:rsidRDefault="00A02F15" w:rsidP="00A02F15">
            <w:pPr>
              <w:rPr>
                <w:sz w:val="20"/>
                <w:szCs w:val="20"/>
                <w:highlight w:val="yellow"/>
                <w:lang w:val="en-GB"/>
              </w:rPr>
            </w:pPr>
            <w:r w:rsidRPr="00FC04A3">
              <w:rPr>
                <w:sz w:val="20"/>
                <w:szCs w:val="20"/>
                <w:lang w:val="en-GB"/>
              </w:rPr>
              <w:fldChar w:fldCharType="begin" w:fldLock="1"/>
            </w:r>
            <w:r w:rsidR="003445CC">
              <w:rPr>
                <w:sz w:val="20"/>
                <w:szCs w:val="20"/>
                <w:lang w:val="en-GB"/>
              </w:rPr>
              <w:instrText>ADDIN CSL_CITATION {"citationItems":[{"id":"ITEM-1","itemData":{"DOI":"10.1016/j.cirp.2017.05.001","ISSN":"17260604","abstract":"In the recent years, increasing attention has been posed towards enhancing the sustainability of manufacturing processes by reducing the consumption of resources and key materials, the energy consumption and the environmental footprint, while also increasing companies’ competitiveness in global market contexts. De- and remanufacturing includes the set of technologies/systems, tools and knowledge-based methods to recover and reuse functions and materials from industrial waste and post-consumer products, under a Circular Economy perspective. This new paradigm can potentially support the sustainability challenges in strategic manufacturing sectors, such as aeronautics, automotive, electronics, consumer goods, and mechatronics. A new generation of smart de- and remanufacturing systems showing higher levels of automation, flexibility and adaptability to changing material mixtures and values is emerging and there is a need for systematizing the existing approaches to support their operations. Such innovative de- and remanufacturing system design, management and control approaches as well as advanced technological enablers have a key role to support the Circular Economy paradigm. This paper revises system level problems, methods and tools to support this paradigm and highlights the main challenges and opportunities towards a new generation of advanced de- and remanufacturing systems.","author":[{"dropping-particle":"","family":"Tolio","given":"Tullio","non-dropping-particle":"","parse-names":false,"suffix":""},{"dropping-particle":"","family":"Bernard","given":"Alain","non-dropping-particle":"","parse-names":false,"suffix":""},{"dropping-particle":"","family":"Colledani","given":"Marcello","non-dropping-particle":"","parse-names":false,"suffix":""},{"dropping-particle":"","family":"Kara","given":"Sami","non-dropping-particle":"","parse-names":false,"suffix":""},{"dropping-particle":"","family":"Seliger","given":"Günther","non-dropping-particle":"","parse-names":false,"suffix":""},{"dropping-particle":"","family":"Duflou","given":"Joost R.","non-dropping-particle":"","parse-names":false,"suffix":""},{"dropping-particle":"","family":"Battaia","given":"Olga","non-dropping-particle":"","parse-names":false,"suffix":""},{"dropping-particle":"","family":"Takata","given":"Shozo","non-dropping-particle":"","parse-names":false,"suffix":""}],"container-title":"CIRP Annals - Manufacturing Technology","id":"ITEM-1","issue":"2","issued":{"date-parts":[["2017"]]},"page":"585-609","title":"Design, management and control of demanufacturing and remanufacturing systems","type":"article-journal","volume":"66"},"uris":["http://www.mendeley.com/documents/?uuid=cb739884-e74d-449c-a77b-376e28fce5da"]}],"mendeley":{"formattedCitation":"(Tolio et al., 2017)","plainTextFormattedCitation":"(Tolio et al., 2017)","previouslyFormattedCitation":"(Tolio et al., 2017)"},"properties":{"noteIndex":0},"schema":"https://github.com/citation-style-language/schema/raw/master/csl-citation.json"}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(Tolio et al., 2017)</w:t>
            </w:r>
            <w:r w:rsidRPr="00FC04A3">
              <w:rPr>
                <w:sz w:val="20"/>
                <w:szCs w:val="20"/>
                <w:lang w:val="en-GB"/>
              </w:rPr>
              <w:fldChar w:fldCharType="end"/>
            </w:r>
          </w:p>
        </w:tc>
        <w:tc>
          <w:tcPr>
            <w:tcW w:w="681" w:type="pct"/>
          </w:tcPr>
          <w:p w14:paraId="3552A422" w14:textId="77777777" w:rsidR="00A02F15" w:rsidRPr="00FC04A3" w:rsidRDefault="00A02F15" w:rsidP="00A02F15">
            <w:pPr>
              <w:jc w:val="center"/>
              <w:rPr>
                <w:sz w:val="20"/>
                <w:szCs w:val="20"/>
                <w:lang w:val="en-GB"/>
              </w:rPr>
            </w:pPr>
          </w:p>
        </w:tc>
        <w:tc>
          <w:tcPr>
            <w:tcW w:w="403" w:type="pct"/>
          </w:tcPr>
          <w:p w14:paraId="3E6F7D20" w14:textId="77777777" w:rsidR="00A02F15" w:rsidRPr="00FC04A3" w:rsidRDefault="00A02F15" w:rsidP="00A02F15">
            <w:pPr>
              <w:jc w:val="center"/>
              <w:rPr>
                <w:sz w:val="20"/>
                <w:szCs w:val="20"/>
                <w:lang w:val="en-GB"/>
              </w:rPr>
            </w:pPr>
          </w:p>
        </w:tc>
        <w:tc>
          <w:tcPr>
            <w:tcW w:w="305" w:type="pct"/>
          </w:tcPr>
          <w:p w14:paraId="5620071F" w14:textId="77777777" w:rsidR="00A02F15" w:rsidRPr="00FC04A3" w:rsidRDefault="00A02F15" w:rsidP="00A02F15">
            <w:pPr>
              <w:jc w:val="center"/>
              <w:rPr>
                <w:sz w:val="20"/>
                <w:szCs w:val="20"/>
                <w:lang w:val="en-GB"/>
              </w:rPr>
            </w:pPr>
          </w:p>
        </w:tc>
        <w:tc>
          <w:tcPr>
            <w:tcW w:w="341" w:type="pct"/>
          </w:tcPr>
          <w:p w14:paraId="25BE0994" w14:textId="77777777" w:rsidR="00A02F15" w:rsidRPr="00FC04A3" w:rsidRDefault="00A02F15" w:rsidP="00A02F15">
            <w:pPr>
              <w:jc w:val="center"/>
              <w:rPr>
                <w:sz w:val="20"/>
                <w:szCs w:val="20"/>
                <w:lang w:val="en-GB"/>
              </w:rPr>
            </w:pPr>
          </w:p>
        </w:tc>
        <w:tc>
          <w:tcPr>
            <w:tcW w:w="287" w:type="pct"/>
          </w:tcPr>
          <w:p w14:paraId="06823A07" w14:textId="77777777" w:rsidR="00A02F15" w:rsidRPr="00FC04A3" w:rsidRDefault="00A02F15" w:rsidP="00A02F15">
            <w:pPr>
              <w:jc w:val="center"/>
              <w:rPr>
                <w:sz w:val="20"/>
                <w:szCs w:val="20"/>
                <w:lang w:val="en-GB"/>
              </w:rPr>
            </w:pPr>
            <w:r w:rsidRPr="00FC04A3">
              <w:rPr>
                <w:sz w:val="20"/>
                <w:szCs w:val="20"/>
                <w:lang w:val="en-GB"/>
              </w:rPr>
              <w:t>x</w:t>
            </w:r>
          </w:p>
        </w:tc>
        <w:tc>
          <w:tcPr>
            <w:tcW w:w="311" w:type="pct"/>
          </w:tcPr>
          <w:p w14:paraId="4CF8C80E" w14:textId="77777777" w:rsidR="00A02F15" w:rsidRPr="00FC04A3" w:rsidRDefault="00A02F15" w:rsidP="00A02F15">
            <w:pPr>
              <w:jc w:val="center"/>
              <w:rPr>
                <w:sz w:val="20"/>
                <w:szCs w:val="20"/>
                <w:lang w:val="en-GB"/>
              </w:rPr>
            </w:pPr>
          </w:p>
        </w:tc>
        <w:tc>
          <w:tcPr>
            <w:tcW w:w="355" w:type="pct"/>
          </w:tcPr>
          <w:p w14:paraId="7F1F8CAF" w14:textId="77777777" w:rsidR="00A02F15" w:rsidRPr="00FC04A3" w:rsidRDefault="00A02F15" w:rsidP="00A02F15">
            <w:pPr>
              <w:jc w:val="center"/>
              <w:rPr>
                <w:sz w:val="20"/>
                <w:szCs w:val="20"/>
                <w:lang w:val="en-GB"/>
              </w:rPr>
            </w:pPr>
          </w:p>
        </w:tc>
        <w:tc>
          <w:tcPr>
            <w:tcW w:w="403" w:type="pct"/>
          </w:tcPr>
          <w:p w14:paraId="78652057" w14:textId="77777777" w:rsidR="00A02F15" w:rsidRPr="00FC04A3" w:rsidRDefault="00A02F15" w:rsidP="00A02F15">
            <w:pPr>
              <w:jc w:val="center"/>
              <w:rPr>
                <w:sz w:val="20"/>
                <w:szCs w:val="20"/>
                <w:lang w:val="en-GB"/>
              </w:rPr>
            </w:pPr>
          </w:p>
        </w:tc>
        <w:tc>
          <w:tcPr>
            <w:tcW w:w="348" w:type="pct"/>
          </w:tcPr>
          <w:p w14:paraId="5A9692BB" w14:textId="77777777" w:rsidR="00A02F15" w:rsidRPr="00FC04A3" w:rsidRDefault="00A02F15" w:rsidP="00A02F15">
            <w:pPr>
              <w:jc w:val="center"/>
              <w:rPr>
                <w:sz w:val="20"/>
                <w:szCs w:val="20"/>
                <w:lang w:val="en-GB"/>
              </w:rPr>
            </w:pPr>
          </w:p>
        </w:tc>
      </w:tr>
      <w:tr w:rsidR="00A02F15" w:rsidRPr="00402AEC" w14:paraId="258403D8" w14:textId="77777777" w:rsidTr="00FC6976">
        <w:tc>
          <w:tcPr>
            <w:tcW w:w="1566" w:type="pct"/>
          </w:tcPr>
          <w:p w14:paraId="413A2CF3" w14:textId="6FEBFDA2" w:rsidR="00A02F15" w:rsidRPr="00FC04A3" w:rsidRDefault="00A02F15" w:rsidP="00A02F15">
            <w:pPr>
              <w:rPr>
                <w:sz w:val="20"/>
                <w:szCs w:val="20"/>
                <w:highlight w:val="yellow"/>
                <w:lang w:val="en-GB"/>
              </w:rPr>
            </w:pPr>
            <w:r w:rsidRPr="00FC04A3">
              <w:rPr>
                <w:sz w:val="20"/>
                <w:szCs w:val="20"/>
                <w:lang w:val="en-GB"/>
              </w:rPr>
              <w:fldChar w:fldCharType="begin" w:fldLock="1"/>
            </w:r>
            <w:r w:rsidR="00BF2F60">
              <w:rPr>
                <w:sz w:val="20"/>
                <w:szCs w:val="20"/>
                <w:lang w:val="en-GB"/>
              </w:rPr>
              <w:instrText>ADDIN CSL_CITATION {"citationItems":[{"id":"ITEM-1","itemData":{"DOI":"10.1016/j.jclepro.2017.09.047","ISSN":"09596526","abstract":"Circular Economy has undoubtedly become one of the hot topics in public debates about new and more sustainable industrial paradigms and strategies. In this respect, the fashion of Circular Economy is in the fact that it aims at overcoming the dominant linear take, make, disposal economy model, i.e. “a traditional open-ended economy model developed with no built-in tendency to recycle, which is reflected by treating the environment as a waste reservoir” (Su et al., 2013). Circular Economy, indeed, bases on the establishment of closed production systems, where resources are reused and kept in a loop of production and usage, allowing generating more value and for a longer period. Despite the interest for Circular Economy by politicians and practitioners, scholars, particularly in the strategic management field, are still struggling with a lack of a framework explaining how companies willing to become circular adapt their existing business model or create a new one. By extensively reviewing, through the lens of business model literature, the extant contributions on Circular Economy, we propose a taxonomy of Circular Economy Business Models based on the degree of adoption of circularity along two major dimensions: (i) the customer value proposition &amp; interface, i.e. the implementation of the circularity concept in proposing value to customers; (ii) the value network, i.e. the ways through which interacting with suppliers and reorganizing the own internal activities. The taxonomy is then initially tested through some explorative case studies, showing in practice the ability of the framework to properly distinguish different modes of adoption of Circular Economy.","author":[{"dropping-particle":"","family":"Urbinati","given":"Andrea","non-dropping-particle":"","parse-names":false,"suffix":""},{"dropping-particle":"","family":"Chiaroni","given":"Davide","non-dropping-particle":"","parse-names":false,"suffix":""},{"dropping-particle":"","family":"Chiesa","given":"Vittorio","non-dropping-particle":"","parse-names":false,"suffix":""}],"container-title":"Journal of Cleaner Production","id":"ITEM-1","issued":{"date-parts":[["2017"]]},"page":"487-498","publisher":"Elsevier Ltd","title":"Towards a new taxonomy of circular economy business models","type":"article-journal","volume":"168"},"uris":["http://www.mendeley.com/documents/?uuid=ecb74adc-0843-4801-9508-39ee55517539","http://www.mendeley.com/documents/?uuid=79339b9b-3274-46de-9a40-04c0412bf5bf"]}],"mendeley":{"formattedCitation":"(Urbinati et al., 2017)","plainTextFormattedCitation":"(Urbinati et al., 2017)","previouslyFormattedCitation":"(Urbinati et al., 2017)"},"properties":{"noteIndex":0},"schema":"https://github.com/citation-style-language/schema/raw/master/csl-citation.json"}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(Urbinati et al., 2017)</w:t>
            </w:r>
            <w:r w:rsidRPr="00FC04A3">
              <w:rPr>
                <w:sz w:val="20"/>
                <w:szCs w:val="20"/>
                <w:lang w:val="en-GB"/>
              </w:rPr>
              <w:fldChar w:fldCharType="end"/>
            </w:r>
          </w:p>
        </w:tc>
        <w:tc>
          <w:tcPr>
            <w:tcW w:w="681" w:type="pct"/>
          </w:tcPr>
          <w:p w14:paraId="6FDB3014" w14:textId="77777777" w:rsidR="00A02F15" w:rsidRPr="00FC04A3" w:rsidRDefault="00A02F15" w:rsidP="00A02F15">
            <w:pPr>
              <w:jc w:val="center"/>
              <w:rPr>
                <w:sz w:val="20"/>
                <w:szCs w:val="20"/>
                <w:lang w:val="en-GB"/>
              </w:rPr>
            </w:pPr>
          </w:p>
        </w:tc>
        <w:tc>
          <w:tcPr>
            <w:tcW w:w="403" w:type="pct"/>
          </w:tcPr>
          <w:p w14:paraId="46D06C3F" w14:textId="59A74B4D" w:rsidR="00A02F15" w:rsidRPr="00FC04A3" w:rsidRDefault="00A02F15" w:rsidP="00A02F15">
            <w:pPr>
              <w:jc w:val="center"/>
              <w:rPr>
                <w:sz w:val="20"/>
                <w:szCs w:val="20"/>
                <w:lang w:val="en-GB"/>
              </w:rPr>
            </w:pPr>
            <w:r w:rsidRPr="00FC04A3">
              <w:rPr>
                <w:sz w:val="20"/>
                <w:szCs w:val="20"/>
                <w:lang w:val="en-GB"/>
              </w:rPr>
              <w:t>x</w:t>
            </w:r>
          </w:p>
        </w:tc>
        <w:tc>
          <w:tcPr>
            <w:tcW w:w="305" w:type="pct"/>
          </w:tcPr>
          <w:p w14:paraId="44D585D4" w14:textId="77777777" w:rsidR="00A02F15" w:rsidRPr="00FC04A3" w:rsidRDefault="00A02F15" w:rsidP="00A02F15">
            <w:pPr>
              <w:jc w:val="center"/>
              <w:rPr>
                <w:sz w:val="20"/>
                <w:szCs w:val="20"/>
                <w:lang w:val="en-GB"/>
              </w:rPr>
            </w:pPr>
          </w:p>
        </w:tc>
        <w:tc>
          <w:tcPr>
            <w:tcW w:w="341" w:type="pct"/>
          </w:tcPr>
          <w:p w14:paraId="4E7BE0CB" w14:textId="77777777" w:rsidR="00A02F15" w:rsidRPr="00FC04A3" w:rsidRDefault="00A02F15" w:rsidP="00A02F15">
            <w:pPr>
              <w:jc w:val="center"/>
              <w:rPr>
                <w:sz w:val="20"/>
                <w:szCs w:val="20"/>
                <w:lang w:val="en-GB"/>
              </w:rPr>
            </w:pPr>
          </w:p>
        </w:tc>
        <w:tc>
          <w:tcPr>
            <w:tcW w:w="287" w:type="pct"/>
          </w:tcPr>
          <w:p w14:paraId="016BB03B" w14:textId="77777777" w:rsidR="00A02F15" w:rsidRPr="00FC04A3" w:rsidRDefault="00A02F15" w:rsidP="00A02F15">
            <w:pPr>
              <w:jc w:val="center"/>
              <w:rPr>
                <w:sz w:val="20"/>
                <w:szCs w:val="20"/>
                <w:lang w:val="en-GB"/>
              </w:rPr>
            </w:pPr>
          </w:p>
        </w:tc>
        <w:tc>
          <w:tcPr>
            <w:tcW w:w="311" w:type="pct"/>
          </w:tcPr>
          <w:p w14:paraId="1B546ACD" w14:textId="77777777" w:rsidR="00A02F15" w:rsidRPr="00FC04A3" w:rsidRDefault="00A02F15" w:rsidP="00A02F15">
            <w:pPr>
              <w:jc w:val="center"/>
              <w:rPr>
                <w:sz w:val="20"/>
                <w:szCs w:val="20"/>
                <w:lang w:val="en-GB"/>
              </w:rPr>
            </w:pPr>
          </w:p>
        </w:tc>
        <w:tc>
          <w:tcPr>
            <w:tcW w:w="355" w:type="pct"/>
          </w:tcPr>
          <w:p w14:paraId="10920A20" w14:textId="77777777" w:rsidR="00A02F15" w:rsidRPr="00FC04A3" w:rsidRDefault="00A02F15" w:rsidP="00A02F15">
            <w:pPr>
              <w:jc w:val="center"/>
              <w:rPr>
                <w:sz w:val="20"/>
                <w:szCs w:val="20"/>
                <w:lang w:val="en-GB"/>
              </w:rPr>
            </w:pPr>
          </w:p>
        </w:tc>
        <w:tc>
          <w:tcPr>
            <w:tcW w:w="403" w:type="pct"/>
          </w:tcPr>
          <w:p w14:paraId="4D9B2FD3" w14:textId="77777777" w:rsidR="00A02F15" w:rsidRPr="00FC04A3" w:rsidRDefault="00A02F15" w:rsidP="00A02F15">
            <w:pPr>
              <w:jc w:val="center"/>
              <w:rPr>
                <w:sz w:val="20"/>
                <w:szCs w:val="20"/>
                <w:lang w:val="en-GB"/>
              </w:rPr>
            </w:pPr>
          </w:p>
        </w:tc>
        <w:tc>
          <w:tcPr>
            <w:tcW w:w="348" w:type="pct"/>
          </w:tcPr>
          <w:p w14:paraId="55868AB4" w14:textId="77777777" w:rsidR="00A02F15" w:rsidRPr="00FC04A3" w:rsidRDefault="00A02F15" w:rsidP="00A02F15">
            <w:pPr>
              <w:jc w:val="center"/>
              <w:rPr>
                <w:sz w:val="20"/>
                <w:szCs w:val="20"/>
                <w:lang w:val="en-GB"/>
              </w:rPr>
            </w:pPr>
          </w:p>
        </w:tc>
      </w:tr>
      <w:tr w:rsidR="00A02F15" w:rsidRPr="0037718C" w14:paraId="3938A6BF" w14:textId="77777777" w:rsidTr="00FC6976">
        <w:tc>
          <w:tcPr>
            <w:tcW w:w="1566" w:type="pct"/>
          </w:tcPr>
          <w:p w14:paraId="549430E3" w14:textId="209AFBA4" w:rsidR="00A02F15" w:rsidRPr="00FC04A3" w:rsidRDefault="00A02F15" w:rsidP="00A02F15">
            <w:pPr>
              <w:rPr>
                <w:sz w:val="20"/>
                <w:szCs w:val="20"/>
                <w:highlight w:val="yellow"/>
                <w:lang w:val="en-GB"/>
              </w:rPr>
            </w:pPr>
            <w:r w:rsidRPr="00FC04A3">
              <w:rPr>
                <w:sz w:val="20"/>
                <w:szCs w:val="20"/>
                <w:lang w:val="en-GB"/>
              </w:rPr>
              <w:fldChar w:fldCharType="begin" w:fldLock="1"/>
            </w:r>
            <w:r w:rsidR="00BF2F60">
              <w:rPr>
                <w:sz w:val="20"/>
                <w:szCs w:val="20"/>
                <w:lang w:val="en-GB"/>
              </w:rPr>
              <w:instrText>ADDIN CSL_CITATION {"citationItems":[{"id":"ITEM-1","itemData":{"DOI":"10.1016/j.resconrec.2016.04.015","ISBN":"0921-3449","ISSN":"18790658","abstract":"Sustainability aims at addressing environmental and socio-economic issues in the long term. In general, the literature on sustainability has focused mainly on the environmental issues, whereas, more recently, a Circular Economy has been proposed as one of the latest concepts for addressing both the environmental and socio-economic issues. A Circular Economy aims at transforming waste into resources and on bridging production and consumption activities; however, there is still limited research focusing on these aspects. This paper addresses the link between procurement and supply practices, and proposes changing from a traditional public procurement process, based on product-selling business models, to a more service-oriented system. The paper proposes a framework to include technical and non-technical specifications of product/service combinations that improve resource usage efficiency through recovery. The framework also considers socio-cultural specifications and physical and social proximity between the stakeholders in the procurement process. The framework is based on collaboration, which is a vital link between the public procurement process and the development of more sustainable business models, where the experience gained in the collaboration process serves as the bases for suppliers and procurers in improving their contribution to CE, whilst at the same time securing economic benefits for both parties. Although, in this process, the specification setting may take longer, the relationships between procurer and supplier tend to be longer lasting and stronger. This research shows that collaboration between procurers and suppliers throughout the procurement process can lead to reductions in raw material utilisation and waste generation, whilst promoting the development of new, more sustainable, business models.","author":[{"dropping-particle":"","family":"Witjes","given":"Sjors","non-dropping-particle":"","parse-names":false,"suffix":""},{"dropping-particle":"","family":"Lozano","given":"Rodrigo","non-dropping-particle":"","parse-names":false,"suffix":""}],"container-title":"Resources, Conservation and Recycling","id":"ITEM-1","issued":{"date-parts":[["2016"]]},"page":"37-44","publisher":"Elsevier B.V.","title":"Towards a more Circular Economy: Proposing a framework linking sustainable public procurement and sustainable business models","type":"article-journal","volume":"112"},"uris":["http://www.mendeley.com/documents/?uuid=92bb97b0-ed6f-4016-bd65-c96d761a8e1a","http://www.mendeley.com/documents/?uuid=48f376a6-a9ca-4827-90bc-ee592752feaf"]}],"mendeley":{"formattedCitation":"(Witjes and Lozano, 2016)","plainTextFormattedCitation":"(Witjes and Lozano, 2016)","previouslyFormattedCitation":"(Witjes and Lozano, 2016)"},"properties":{"noteIndex":0},"schema":"https://github.com/citation-style-language/schema/raw/master/csl-citation.json"}</w:instrText>
            </w:r>
            <w:r w:rsidRPr="00FC04A3">
              <w:rPr>
                <w:sz w:val="20"/>
                <w:szCs w:val="20"/>
                <w:lang w:val="en-GB"/>
              </w:rPr>
              <w:fldChar w:fldCharType="separate"/>
            </w:r>
            <w:r w:rsidRPr="00FC04A3">
              <w:rPr>
                <w:noProof/>
                <w:sz w:val="20"/>
                <w:szCs w:val="20"/>
                <w:lang w:val="en-GB"/>
              </w:rPr>
              <w:t>(Witjes and Lozano, 2016)</w:t>
            </w:r>
            <w:r w:rsidRPr="00FC04A3">
              <w:rPr>
                <w:sz w:val="20"/>
                <w:szCs w:val="20"/>
                <w:lang w:val="en-GB"/>
              </w:rPr>
              <w:fldChar w:fldCharType="end"/>
            </w:r>
          </w:p>
        </w:tc>
        <w:tc>
          <w:tcPr>
            <w:tcW w:w="681" w:type="pct"/>
          </w:tcPr>
          <w:p w14:paraId="54244FE0" w14:textId="332BD731" w:rsidR="00A02F15" w:rsidRPr="00FC04A3" w:rsidRDefault="00A02F15" w:rsidP="00A02F15">
            <w:pPr>
              <w:jc w:val="center"/>
              <w:rPr>
                <w:sz w:val="20"/>
                <w:szCs w:val="20"/>
                <w:lang w:val="en-GB"/>
              </w:rPr>
            </w:pPr>
          </w:p>
        </w:tc>
        <w:tc>
          <w:tcPr>
            <w:tcW w:w="403" w:type="pct"/>
          </w:tcPr>
          <w:p w14:paraId="1019354C" w14:textId="3B973728" w:rsidR="00A02F15" w:rsidRPr="00FC04A3" w:rsidRDefault="00A02F15" w:rsidP="00A02F15">
            <w:pPr>
              <w:jc w:val="center"/>
              <w:rPr>
                <w:sz w:val="20"/>
                <w:szCs w:val="20"/>
                <w:lang w:val="en-GB"/>
              </w:rPr>
            </w:pPr>
          </w:p>
        </w:tc>
        <w:tc>
          <w:tcPr>
            <w:tcW w:w="305" w:type="pct"/>
          </w:tcPr>
          <w:p w14:paraId="321E4DD2" w14:textId="77777777" w:rsidR="00A02F15" w:rsidRPr="00FC04A3" w:rsidRDefault="00A02F15" w:rsidP="00A02F15">
            <w:pPr>
              <w:jc w:val="center"/>
              <w:rPr>
                <w:sz w:val="20"/>
                <w:szCs w:val="20"/>
                <w:lang w:val="en-GB"/>
              </w:rPr>
            </w:pPr>
          </w:p>
        </w:tc>
        <w:tc>
          <w:tcPr>
            <w:tcW w:w="341" w:type="pct"/>
          </w:tcPr>
          <w:p w14:paraId="4F9C4762" w14:textId="3E36A97D" w:rsidR="00A02F15" w:rsidRPr="00FC04A3" w:rsidRDefault="00A02F15" w:rsidP="00A02F15">
            <w:pPr>
              <w:jc w:val="center"/>
              <w:rPr>
                <w:sz w:val="20"/>
                <w:szCs w:val="20"/>
                <w:lang w:val="en-GB"/>
              </w:rPr>
            </w:pPr>
            <w:r w:rsidRPr="00FC04A3">
              <w:rPr>
                <w:sz w:val="20"/>
                <w:szCs w:val="20"/>
                <w:lang w:val="en-GB"/>
              </w:rPr>
              <w:t>x</w:t>
            </w:r>
          </w:p>
        </w:tc>
        <w:tc>
          <w:tcPr>
            <w:tcW w:w="287" w:type="pct"/>
          </w:tcPr>
          <w:p w14:paraId="396B4921" w14:textId="77777777" w:rsidR="00A02F15" w:rsidRPr="00FC04A3" w:rsidRDefault="00A02F15" w:rsidP="00A02F15">
            <w:pPr>
              <w:jc w:val="center"/>
              <w:rPr>
                <w:sz w:val="20"/>
                <w:szCs w:val="20"/>
                <w:lang w:val="en-GB"/>
              </w:rPr>
            </w:pPr>
          </w:p>
        </w:tc>
        <w:tc>
          <w:tcPr>
            <w:tcW w:w="311" w:type="pct"/>
          </w:tcPr>
          <w:p w14:paraId="63E13840" w14:textId="77777777" w:rsidR="00A02F15" w:rsidRPr="00FC04A3" w:rsidRDefault="00A02F15" w:rsidP="00A02F15">
            <w:pPr>
              <w:jc w:val="center"/>
              <w:rPr>
                <w:sz w:val="20"/>
                <w:szCs w:val="20"/>
                <w:lang w:val="en-GB"/>
              </w:rPr>
            </w:pPr>
          </w:p>
        </w:tc>
        <w:tc>
          <w:tcPr>
            <w:tcW w:w="355" w:type="pct"/>
          </w:tcPr>
          <w:p w14:paraId="5237D11B" w14:textId="77777777" w:rsidR="00A02F15" w:rsidRPr="00FC04A3" w:rsidRDefault="00A02F15" w:rsidP="00A02F15">
            <w:pPr>
              <w:jc w:val="center"/>
              <w:rPr>
                <w:sz w:val="20"/>
                <w:szCs w:val="20"/>
                <w:lang w:val="en-GB"/>
              </w:rPr>
            </w:pPr>
          </w:p>
        </w:tc>
        <w:tc>
          <w:tcPr>
            <w:tcW w:w="403" w:type="pct"/>
          </w:tcPr>
          <w:p w14:paraId="425DDB31" w14:textId="77777777" w:rsidR="00A02F15" w:rsidRPr="00FC04A3" w:rsidRDefault="00A02F15" w:rsidP="00A02F15">
            <w:pPr>
              <w:jc w:val="center"/>
              <w:rPr>
                <w:sz w:val="20"/>
                <w:szCs w:val="20"/>
                <w:lang w:val="en-GB"/>
              </w:rPr>
            </w:pPr>
          </w:p>
        </w:tc>
        <w:tc>
          <w:tcPr>
            <w:tcW w:w="348" w:type="pct"/>
          </w:tcPr>
          <w:p w14:paraId="25AEAD3C" w14:textId="77777777" w:rsidR="00A02F15" w:rsidRPr="00FC04A3" w:rsidRDefault="00A02F15" w:rsidP="00A02F15">
            <w:pPr>
              <w:jc w:val="center"/>
              <w:rPr>
                <w:sz w:val="20"/>
                <w:szCs w:val="20"/>
                <w:lang w:val="en-GB"/>
              </w:rPr>
            </w:pPr>
          </w:p>
        </w:tc>
      </w:tr>
      <w:tr w:rsidR="000E5B95" w:rsidRPr="0037718C" w14:paraId="6F877945" w14:textId="77777777" w:rsidTr="00FC6976">
        <w:tc>
          <w:tcPr>
            <w:tcW w:w="1566" w:type="pct"/>
          </w:tcPr>
          <w:p w14:paraId="1E0876FF" w14:textId="33197807" w:rsidR="000E5B95" w:rsidRPr="00746DB3" w:rsidRDefault="009648BE" w:rsidP="00A02F15">
            <w:pPr>
              <w:rPr>
                <w:b/>
                <w:sz w:val="20"/>
                <w:szCs w:val="20"/>
                <w:lang w:val="en-GB"/>
              </w:rPr>
            </w:pPr>
            <w:r>
              <w:rPr>
                <w:b/>
                <w:sz w:val="20"/>
                <w:szCs w:val="20"/>
                <w:lang w:val="en-GB"/>
              </w:rPr>
              <w:t>Total</w:t>
            </w:r>
          </w:p>
        </w:tc>
        <w:tc>
          <w:tcPr>
            <w:tcW w:w="681" w:type="pct"/>
          </w:tcPr>
          <w:p w14:paraId="45C9D334" w14:textId="68F24B6A" w:rsidR="000E5B95" w:rsidRPr="00746DB3" w:rsidRDefault="000E5B95" w:rsidP="00A02F15">
            <w:pPr>
              <w:jc w:val="center"/>
              <w:rPr>
                <w:b/>
                <w:sz w:val="20"/>
                <w:szCs w:val="20"/>
                <w:lang w:val="en-GB"/>
              </w:rPr>
            </w:pPr>
            <w:r w:rsidRPr="00746DB3">
              <w:rPr>
                <w:b/>
                <w:sz w:val="20"/>
                <w:szCs w:val="20"/>
                <w:lang w:val="en-GB"/>
              </w:rPr>
              <w:t>5</w:t>
            </w:r>
          </w:p>
        </w:tc>
        <w:tc>
          <w:tcPr>
            <w:tcW w:w="403" w:type="pct"/>
          </w:tcPr>
          <w:p w14:paraId="6AB83F11" w14:textId="7BD8D14F" w:rsidR="000E5B95" w:rsidRPr="00746DB3" w:rsidRDefault="000E5B95" w:rsidP="00A02F15">
            <w:pPr>
              <w:jc w:val="center"/>
              <w:rPr>
                <w:b/>
                <w:sz w:val="20"/>
                <w:szCs w:val="20"/>
                <w:lang w:val="en-GB"/>
              </w:rPr>
            </w:pPr>
            <w:r w:rsidRPr="00746DB3">
              <w:rPr>
                <w:b/>
                <w:sz w:val="20"/>
                <w:szCs w:val="20"/>
                <w:lang w:val="en-GB"/>
              </w:rPr>
              <w:t>8</w:t>
            </w:r>
          </w:p>
        </w:tc>
        <w:tc>
          <w:tcPr>
            <w:tcW w:w="305" w:type="pct"/>
          </w:tcPr>
          <w:p w14:paraId="39584C76" w14:textId="4977E74F" w:rsidR="000E5B95" w:rsidRPr="00746DB3" w:rsidRDefault="000E5B95" w:rsidP="00A02F15">
            <w:pPr>
              <w:jc w:val="center"/>
              <w:rPr>
                <w:b/>
                <w:sz w:val="20"/>
                <w:szCs w:val="20"/>
                <w:lang w:val="en-GB"/>
              </w:rPr>
            </w:pPr>
            <w:r w:rsidRPr="00746DB3">
              <w:rPr>
                <w:b/>
                <w:sz w:val="20"/>
                <w:szCs w:val="20"/>
                <w:lang w:val="en-GB"/>
              </w:rPr>
              <w:t>1</w:t>
            </w:r>
          </w:p>
        </w:tc>
        <w:tc>
          <w:tcPr>
            <w:tcW w:w="341" w:type="pct"/>
          </w:tcPr>
          <w:p w14:paraId="0B7A2A2E" w14:textId="06C87465" w:rsidR="000E5B95" w:rsidRPr="00746DB3" w:rsidRDefault="000E5B95" w:rsidP="00A02F15">
            <w:pPr>
              <w:jc w:val="center"/>
              <w:rPr>
                <w:b/>
                <w:sz w:val="20"/>
                <w:szCs w:val="20"/>
                <w:lang w:val="en-GB"/>
              </w:rPr>
            </w:pPr>
            <w:r w:rsidRPr="00746DB3">
              <w:rPr>
                <w:b/>
                <w:sz w:val="20"/>
                <w:szCs w:val="20"/>
                <w:lang w:val="en-GB"/>
              </w:rPr>
              <w:t>2</w:t>
            </w:r>
          </w:p>
        </w:tc>
        <w:tc>
          <w:tcPr>
            <w:tcW w:w="287" w:type="pct"/>
          </w:tcPr>
          <w:p w14:paraId="68B0DBFC" w14:textId="5125B526" w:rsidR="000E5B95" w:rsidRPr="00746DB3" w:rsidRDefault="000E5B95" w:rsidP="00A02F15">
            <w:pPr>
              <w:jc w:val="center"/>
              <w:rPr>
                <w:b/>
                <w:sz w:val="20"/>
                <w:szCs w:val="20"/>
                <w:lang w:val="en-GB"/>
              </w:rPr>
            </w:pPr>
            <w:r w:rsidRPr="00746DB3">
              <w:rPr>
                <w:b/>
                <w:sz w:val="20"/>
                <w:szCs w:val="20"/>
                <w:lang w:val="en-GB"/>
              </w:rPr>
              <w:t>1</w:t>
            </w:r>
          </w:p>
        </w:tc>
        <w:tc>
          <w:tcPr>
            <w:tcW w:w="311" w:type="pct"/>
          </w:tcPr>
          <w:p w14:paraId="63F43201" w14:textId="25AFBDDC" w:rsidR="000E5B95" w:rsidRPr="00746DB3" w:rsidRDefault="000E5B95" w:rsidP="00A02F15">
            <w:pPr>
              <w:jc w:val="center"/>
              <w:rPr>
                <w:b/>
                <w:sz w:val="20"/>
                <w:szCs w:val="20"/>
                <w:lang w:val="en-GB"/>
              </w:rPr>
            </w:pPr>
            <w:r w:rsidRPr="00746DB3">
              <w:rPr>
                <w:b/>
                <w:sz w:val="20"/>
                <w:szCs w:val="20"/>
                <w:lang w:val="en-GB"/>
              </w:rPr>
              <w:t>3</w:t>
            </w:r>
          </w:p>
        </w:tc>
        <w:tc>
          <w:tcPr>
            <w:tcW w:w="355" w:type="pct"/>
          </w:tcPr>
          <w:p w14:paraId="2A2F39F0" w14:textId="040A66CE" w:rsidR="000E5B95" w:rsidRPr="00746DB3" w:rsidRDefault="000E5B95" w:rsidP="00A02F15">
            <w:pPr>
              <w:jc w:val="center"/>
              <w:rPr>
                <w:b/>
                <w:sz w:val="20"/>
                <w:szCs w:val="20"/>
                <w:lang w:val="en-GB"/>
              </w:rPr>
            </w:pPr>
            <w:r w:rsidRPr="00746DB3">
              <w:rPr>
                <w:b/>
                <w:sz w:val="20"/>
                <w:szCs w:val="20"/>
                <w:lang w:val="en-GB"/>
              </w:rPr>
              <w:t>1</w:t>
            </w:r>
          </w:p>
        </w:tc>
        <w:tc>
          <w:tcPr>
            <w:tcW w:w="403" w:type="pct"/>
          </w:tcPr>
          <w:p w14:paraId="70CE8367" w14:textId="0A22942E" w:rsidR="000E5B95" w:rsidRPr="00746DB3" w:rsidRDefault="000E5B95" w:rsidP="00A02F15">
            <w:pPr>
              <w:jc w:val="center"/>
              <w:rPr>
                <w:b/>
                <w:sz w:val="20"/>
                <w:szCs w:val="20"/>
                <w:lang w:val="en-GB"/>
              </w:rPr>
            </w:pPr>
            <w:r w:rsidRPr="00746DB3">
              <w:rPr>
                <w:b/>
                <w:sz w:val="20"/>
                <w:szCs w:val="20"/>
                <w:lang w:val="en-GB"/>
              </w:rPr>
              <w:t>1</w:t>
            </w:r>
          </w:p>
        </w:tc>
        <w:tc>
          <w:tcPr>
            <w:tcW w:w="348" w:type="pct"/>
          </w:tcPr>
          <w:p w14:paraId="3D93F0BE" w14:textId="0FDCE2B1" w:rsidR="000E5B95" w:rsidRPr="00746DB3" w:rsidRDefault="000E5B95" w:rsidP="00A02F15">
            <w:pPr>
              <w:jc w:val="center"/>
              <w:rPr>
                <w:b/>
                <w:sz w:val="20"/>
                <w:szCs w:val="20"/>
                <w:lang w:val="en-GB"/>
              </w:rPr>
            </w:pPr>
            <w:r w:rsidRPr="00746DB3">
              <w:rPr>
                <w:b/>
                <w:sz w:val="20"/>
                <w:szCs w:val="20"/>
                <w:lang w:val="en-GB"/>
              </w:rPr>
              <w:t>1</w:t>
            </w:r>
          </w:p>
        </w:tc>
      </w:tr>
      <w:tr w:rsidR="00A02F15" w:rsidRPr="0037718C" w14:paraId="2666ED07" w14:textId="77777777" w:rsidTr="00D62E44">
        <w:tc>
          <w:tcPr>
            <w:tcW w:w="5000" w:type="pct"/>
            <w:gridSpan w:val="10"/>
          </w:tcPr>
          <w:p w14:paraId="796EB01B" w14:textId="77777777" w:rsidR="00A02F15" w:rsidRPr="00402AEC" w:rsidRDefault="00A02F15" w:rsidP="00A02F15">
            <w:pPr>
              <w:jc w:val="both"/>
              <w:rPr>
                <w:lang w:val="en-GB"/>
              </w:rPr>
            </w:pPr>
            <w:r w:rsidRPr="00402AEC">
              <w:rPr>
                <w:sz w:val="20"/>
                <w:lang w:val="en-GB"/>
              </w:rPr>
              <w:t>BMC= Business Model Canvas; SI= Sustainability Impact; PPP= Public-Private Partnership; OS= Operation Strategy; CD= Circular Design; BSC= Balanced Score Card; VEM= Value Exchange Matrix; MM= Morphological Matrix</w:t>
            </w:r>
          </w:p>
        </w:tc>
      </w:tr>
    </w:tbl>
    <w:p w14:paraId="559FEAB3" w14:textId="77777777" w:rsidR="00F14CCD" w:rsidRPr="00402AEC" w:rsidRDefault="00F14CCD" w:rsidP="00F14CCD">
      <w:pPr>
        <w:spacing w:line="360" w:lineRule="auto"/>
        <w:jc w:val="both"/>
        <w:rPr>
          <w:lang w:val="en-GB" w:bidi="en-US"/>
        </w:rPr>
      </w:pPr>
    </w:p>
    <w:p w14:paraId="2A47F710" w14:textId="1CF35EB1" w:rsidR="00C56298" w:rsidRDefault="00F14CCD" w:rsidP="00F14CCD">
      <w:pPr>
        <w:spacing w:after="240" w:line="360" w:lineRule="auto"/>
        <w:jc w:val="both"/>
        <w:rPr>
          <w:lang w:val="en-GB" w:bidi="en-US"/>
        </w:rPr>
      </w:pPr>
      <w:r w:rsidRPr="00402AEC">
        <w:rPr>
          <w:lang w:val="en-GB" w:bidi="en-US"/>
        </w:rPr>
        <w:lastRenderedPageBreak/>
        <w:t xml:space="preserve">The ReSOLVE framework is a set of principles defined by </w:t>
      </w:r>
      <w:r w:rsidRPr="009601F2">
        <w:rPr>
          <w:lang w:val="en-GB" w:bidi="en-US"/>
        </w:rPr>
        <w:fldChar w:fldCharType="begin" w:fldLock="1"/>
      </w:r>
      <w:r w:rsidR="003445CC">
        <w:rPr>
          <w:lang w:val="en-GB" w:bidi="en-US"/>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Transition","type":"report"},"uris":["http://www.mendeley.com/documents/?uuid=971e4fa0-7fe9-4e1f-b452-62303eeda0d3"]}],"mendeley":{"formattedCitation":"(The Ellen MacArthur Foundation, 2015)","manualFormatting":"The Ellen MacArthur Foundation (2015)","plainTextFormattedCitation":"(The Ellen MacArthur Foundation, 2015)","previouslyFormattedCitation":"(The Ellen MacArthur Foundation, 2015)"},"properties":{"noteIndex":0},"schema":"https://github.com/citation-style-language/schema/raw/master/csl-citation.json"}</w:instrText>
      </w:r>
      <w:r w:rsidRPr="009601F2">
        <w:rPr>
          <w:lang w:val="en-GB" w:bidi="en-US"/>
        </w:rPr>
        <w:fldChar w:fldCharType="separate"/>
      </w:r>
      <w:r w:rsidRPr="00402AEC">
        <w:rPr>
          <w:noProof/>
          <w:lang w:val="en-GB" w:bidi="en-US"/>
        </w:rPr>
        <w:t>The Ellen MacArthur Foundation (2015)</w:t>
      </w:r>
      <w:r w:rsidRPr="009601F2">
        <w:rPr>
          <w:lang w:val="en-GB" w:bidi="en-US"/>
        </w:rPr>
        <w:fldChar w:fldCharType="end"/>
      </w:r>
      <w:r w:rsidRPr="00402AEC">
        <w:rPr>
          <w:lang w:val="en-GB" w:bidi="en-US"/>
        </w:rPr>
        <w:t xml:space="preserve"> focused on supporting companies and governments during the definition of CE policies. This framework identifies six different ways to be circular: </w:t>
      </w:r>
    </w:p>
    <w:p w14:paraId="7DB20E20" w14:textId="177D5F4D" w:rsidR="0053732B" w:rsidRDefault="00F14CCD" w:rsidP="00C41BD9">
      <w:pPr>
        <w:pStyle w:val="Paragrafoelenco"/>
        <w:numPr>
          <w:ilvl w:val="0"/>
          <w:numId w:val="40"/>
        </w:numPr>
        <w:spacing w:after="240" w:line="360" w:lineRule="auto"/>
        <w:rPr>
          <w:rFonts w:ascii="Times New Roman" w:hAnsi="Times New Roman" w:cs="Times New Roman"/>
          <w:sz w:val="24"/>
          <w:lang w:val="en-GB" w:bidi="en-US"/>
        </w:rPr>
      </w:pPr>
      <w:r w:rsidRPr="00746DB3">
        <w:rPr>
          <w:rFonts w:ascii="Times New Roman" w:hAnsi="Times New Roman" w:cs="Times New Roman"/>
          <w:sz w:val="24"/>
          <w:lang w:val="en-GB" w:bidi="en-US"/>
        </w:rPr>
        <w:t>Regenerate</w:t>
      </w:r>
      <w:r w:rsidR="0053732B">
        <w:rPr>
          <w:rFonts w:ascii="Times New Roman" w:hAnsi="Times New Roman" w:cs="Times New Roman"/>
          <w:sz w:val="24"/>
          <w:lang w:val="en-GB" w:bidi="en-US"/>
        </w:rPr>
        <w:t xml:space="preserve"> </w:t>
      </w:r>
      <w:r w:rsidR="005F6A25">
        <w:rPr>
          <w:rFonts w:ascii="Times New Roman" w:hAnsi="Times New Roman" w:cs="Times New Roman"/>
          <w:sz w:val="24"/>
          <w:lang w:val="en-GB" w:bidi="en-US"/>
        </w:rPr>
        <w:t>–</w:t>
      </w:r>
      <w:r w:rsidR="0053732B">
        <w:rPr>
          <w:rFonts w:ascii="Times New Roman" w:hAnsi="Times New Roman" w:cs="Times New Roman"/>
          <w:sz w:val="24"/>
          <w:lang w:val="en-GB" w:bidi="en-US"/>
        </w:rPr>
        <w:t xml:space="preserve"> </w:t>
      </w:r>
      <w:r w:rsidR="00295A70">
        <w:rPr>
          <w:rFonts w:ascii="Times New Roman" w:hAnsi="Times New Roman" w:cs="Times New Roman"/>
          <w:sz w:val="24"/>
          <w:lang w:val="en-GB" w:bidi="en-US"/>
        </w:rPr>
        <w:t>or</w:t>
      </w:r>
      <w:r w:rsidR="00C7097B" w:rsidRPr="00386D10">
        <w:rPr>
          <w:rFonts w:ascii="Times New Roman" w:hAnsi="Times New Roman" w:cs="Times New Roman"/>
          <w:sz w:val="24"/>
          <w:lang w:val="en-GB" w:bidi="en-US"/>
        </w:rPr>
        <w:t xml:space="preserve"> actions focused on: </w:t>
      </w:r>
      <w:r w:rsidR="00AD3FD8">
        <w:rPr>
          <w:rFonts w:ascii="Times New Roman" w:hAnsi="Times New Roman" w:cs="Times New Roman"/>
          <w:sz w:val="24"/>
          <w:lang w:val="en-GB" w:bidi="en-US"/>
        </w:rPr>
        <w:t>i</w:t>
      </w:r>
      <w:r w:rsidR="00C7097B" w:rsidRPr="00386D10">
        <w:rPr>
          <w:rFonts w:ascii="Times New Roman" w:hAnsi="Times New Roman" w:cs="Times New Roman"/>
          <w:sz w:val="24"/>
          <w:lang w:val="en-GB" w:bidi="en-US"/>
        </w:rPr>
        <w:t xml:space="preserve">) shifting on renewable energy and secondary materials, </w:t>
      </w:r>
      <w:r w:rsidR="00AD3FD8">
        <w:rPr>
          <w:rFonts w:ascii="Times New Roman" w:hAnsi="Times New Roman" w:cs="Times New Roman"/>
          <w:sz w:val="24"/>
          <w:lang w:val="en-GB" w:bidi="en-US"/>
        </w:rPr>
        <w:t>ii</w:t>
      </w:r>
      <w:r w:rsidR="00C7097B" w:rsidRPr="00386D10">
        <w:rPr>
          <w:rFonts w:ascii="Times New Roman" w:hAnsi="Times New Roman" w:cs="Times New Roman"/>
          <w:sz w:val="24"/>
          <w:lang w:val="en-GB" w:bidi="en-US"/>
        </w:rPr>
        <w:t xml:space="preserve">) reclaiming/retaining/restoring health of the ecosystem or </w:t>
      </w:r>
      <w:r w:rsidR="00AD3FD8">
        <w:rPr>
          <w:rFonts w:ascii="Times New Roman" w:hAnsi="Times New Roman" w:cs="Times New Roman"/>
          <w:sz w:val="24"/>
          <w:lang w:val="en-GB" w:bidi="en-US"/>
        </w:rPr>
        <w:t>iii</w:t>
      </w:r>
      <w:r w:rsidR="00C7097B" w:rsidRPr="00386D10">
        <w:rPr>
          <w:rFonts w:ascii="Times New Roman" w:hAnsi="Times New Roman" w:cs="Times New Roman"/>
          <w:sz w:val="24"/>
          <w:lang w:val="en-GB" w:bidi="en-US"/>
        </w:rPr>
        <w:t>) returning recovered biological resources to the biosphere</w:t>
      </w:r>
      <w:r w:rsidR="00295A70">
        <w:rPr>
          <w:rFonts w:ascii="Times New Roman" w:hAnsi="Times New Roman" w:cs="Times New Roman"/>
          <w:sz w:val="24"/>
          <w:lang w:val="en-GB" w:bidi="en-US"/>
        </w:rPr>
        <w:t>;</w:t>
      </w:r>
    </w:p>
    <w:p w14:paraId="7902381B" w14:textId="2E1AA22A" w:rsidR="0053732B" w:rsidRDefault="00F14CCD" w:rsidP="00C41BD9">
      <w:pPr>
        <w:pStyle w:val="Paragrafoelenco"/>
        <w:numPr>
          <w:ilvl w:val="0"/>
          <w:numId w:val="40"/>
        </w:numPr>
        <w:spacing w:after="240" w:line="360" w:lineRule="auto"/>
        <w:rPr>
          <w:rFonts w:ascii="Times New Roman" w:hAnsi="Times New Roman" w:cs="Times New Roman"/>
          <w:sz w:val="24"/>
          <w:lang w:val="en-GB" w:bidi="en-US"/>
        </w:rPr>
      </w:pPr>
      <w:r w:rsidRPr="00746DB3">
        <w:rPr>
          <w:rFonts w:ascii="Times New Roman" w:hAnsi="Times New Roman" w:cs="Times New Roman"/>
          <w:sz w:val="24"/>
          <w:lang w:val="en-GB" w:bidi="en-US"/>
        </w:rPr>
        <w:t>Share</w:t>
      </w:r>
      <w:r w:rsidR="00C7097B">
        <w:rPr>
          <w:rFonts w:ascii="Times New Roman" w:hAnsi="Times New Roman" w:cs="Times New Roman"/>
          <w:sz w:val="24"/>
          <w:lang w:val="en-GB" w:bidi="en-US"/>
        </w:rPr>
        <w:t xml:space="preserve"> </w:t>
      </w:r>
      <w:r w:rsidR="005F6A25">
        <w:rPr>
          <w:rFonts w:ascii="Times New Roman" w:hAnsi="Times New Roman" w:cs="Times New Roman"/>
          <w:sz w:val="24"/>
          <w:lang w:val="en-GB" w:bidi="en-US"/>
        </w:rPr>
        <w:t>–</w:t>
      </w:r>
      <w:r w:rsidR="00C7097B">
        <w:rPr>
          <w:rFonts w:ascii="Times New Roman" w:hAnsi="Times New Roman" w:cs="Times New Roman"/>
          <w:sz w:val="24"/>
          <w:lang w:val="en-GB" w:bidi="en-US"/>
        </w:rPr>
        <w:t xml:space="preserve"> </w:t>
      </w:r>
      <w:r w:rsidR="00295A70">
        <w:rPr>
          <w:rFonts w:ascii="Times New Roman" w:hAnsi="Times New Roman" w:cs="Times New Roman"/>
          <w:sz w:val="24"/>
          <w:lang w:val="en-GB" w:bidi="en-US"/>
        </w:rPr>
        <w:t>or</w:t>
      </w:r>
      <w:r w:rsidR="005F6A25">
        <w:rPr>
          <w:rFonts w:ascii="Times New Roman" w:hAnsi="Times New Roman" w:cs="Times New Roman"/>
          <w:sz w:val="24"/>
          <w:lang w:val="en-GB" w:bidi="en-US"/>
        </w:rPr>
        <w:t xml:space="preserve"> </w:t>
      </w:r>
      <w:r w:rsidR="00295A70" w:rsidRPr="00146DCA">
        <w:rPr>
          <w:rFonts w:ascii="Times New Roman" w:hAnsi="Times New Roman" w:cs="Times New Roman"/>
          <w:sz w:val="24"/>
          <w:lang w:val="en-GB" w:bidi="en-US"/>
        </w:rPr>
        <w:t xml:space="preserve">actions focused on: </w:t>
      </w:r>
      <w:r w:rsidR="00AD3FD8">
        <w:rPr>
          <w:rFonts w:ascii="Times New Roman" w:hAnsi="Times New Roman" w:cs="Times New Roman"/>
          <w:sz w:val="24"/>
          <w:lang w:val="en-GB" w:bidi="en-US"/>
        </w:rPr>
        <w:t>i</w:t>
      </w:r>
      <w:r w:rsidR="00295A70" w:rsidRPr="00146DCA">
        <w:rPr>
          <w:rFonts w:ascii="Times New Roman" w:hAnsi="Times New Roman" w:cs="Times New Roman"/>
          <w:sz w:val="24"/>
          <w:lang w:val="en-GB" w:bidi="en-US"/>
        </w:rPr>
        <w:t xml:space="preserve">) sharing assets, </w:t>
      </w:r>
      <w:r w:rsidR="00AD3FD8">
        <w:rPr>
          <w:rFonts w:ascii="Times New Roman" w:hAnsi="Times New Roman" w:cs="Times New Roman"/>
          <w:sz w:val="24"/>
          <w:lang w:val="en-GB" w:bidi="en-US"/>
        </w:rPr>
        <w:t>ii</w:t>
      </w:r>
      <w:r w:rsidR="00295A70" w:rsidRPr="00146DCA">
        <w:rPr>
          <w:rFonts w:ascii="Times New Roman" w:hAnsi="Times New Roman" w:cs="Times New Roman"/>
          <w:sz w:val="24"/>
          <w:lang w:val="en-GB" w:bidi="en-US"/>
        </w:rPr>
        <w:t xml:space="preserve">) reuse/second hand or </w:t>
      </w:r>
      <w:r w:rsidR="00AD3FD8">
        <w:rPr>
          <w:rFonts w:ascii="Times New Roman" w:hAnsi="Times New Roman" w:cs="Times New Roman"/>
          <w:sz w:val="24"/>
          <w:lang w:val="en-GB" w:bidi="en-US"/>
        </w:rPr>
        <w:t>iii</w:t>
      </w:r>
      <w:r w:rsidR="00295A70" w:rsidRPr="00146DCA">
        <w:rPr>
          <w:rFonts w:ascii="Times New Roman" w:hAnsi="Times New Roman" w:cs="Times New Roman"/>
          <w:sz w:val="24"/>
          <w:lang w:val="en-GB" w:bidi="en-US"/>
        </w:rPr>
        <w:t>) prolonging product lifetime through maintenance/DfX rules</w:t>
      </w:r>
      <w:r w:rsidR="00295A70">
        <w:rPr>
          <w:rFonts w:ascii="Times New Roman" w:hAnsi="Times New Roman" w:cs="Times New Roman"/>
          <w:sz w:val="24"/>
          <w:lang w:val="en-GB" w:bidi="en-US"/>
        </w:rPr>
        <w:t>;</w:t>
      </w:r>
    </w:p>
    <w:p w14:paraId="49A815B5" w14:textId="7B3DCDC0" w:rsidR="0053732B" w:rsidRDefault="00F14CCD" w:rsidP="00C41BD9">
      <w:pPr>
        <w:pStyle w:val="Paragrafoelenco"/>
        <w:numPr>
          <w:ilvl w:val="0"/>
          <w:numId w:val="40"/>
        </w:numPr>
        <w:spacing w:after="240" w:line="360" w:lineRule="auto"/>
        <w:rPr>
          <w:rFonts w:ascii="Times New Roman" w:hAnsi="Times New Roman" w:cs="Times New Roman"/>
          <w:sz w:val="24"/>
          <w:lang w:val="en-GB" w:bidi="en-US"/>
        </w:rPr>
      </w:pPr>
      <w:r w:rsidRPr="00746DB3">
        <w:rPr>
          <w:rFonts w:ascii="Times New Roman" w:hAnsi="Times New Roman" w:cs="Times New Roman"/>
          <w:sz w:val="24"/>
          <w:lang w:val="en-GB" w:bidi="en-US"/>
        </w:rPr>
        <w:t>Optimize</w:t>
      </w:r>
      <w:r w:rsidR="00C7097B">
        <w:rPr>
          <w:rFonts w:ascii="Times New Roman" w:hAnsi="Times New Roman" w:cs="Times New Roman"/>
          <w:sz w:val="24"/>
          <w:lang w:val="en-GB" w:bidi="en-US"/>
        </w:rPr>
        <w:t xml:space="preserve"> </w:t>
      </w:r>
      <w:r w:rsidR="005F6A25">
        <w:rPr>
          <w:rFonts w:ascii="Times New Roman" w:hAnsi="Times New Roman" w:cs="Times New Roman"/>
          <w:sz w:val="24"/>
          <w:lang w:val="en-GB" w:bidi="en-US"/>
        </w:rPr>
        <w:t>–</w:t>
      </w:r>
      <w:r w:rsidR="00C7097B">
        <w:rPr>
          <w:rFonts w:ascii="Times New Roman" w:hAnsi="Times New Roman" w:cs="Times New Roman"/>
          <w:sz w:val="24"/>
          <w:lang w:val="en-GB" w:bidi="en-US"/>
        </w:rPr>
        <w:t xml:space="preserve"> </w:t>
      </w:r>
      <w:r w:rsidR="005F6A25">
        <w:rPr>
          <w:rFonts w:ascii="Times New Roman" w:hAnsi="Times New Roman" w:cs="Times New Roman"/>
          <w:sz w:val="24"/>
          <w:lang w:val="en-GB" w:bidi="en-US"/>
        </w:rPr>
        <w:t xml:space="preserve">or </w:t>
      </w:r>
      <w:r w:rsidR="005F6A25" w:rsidRPr="00BB5F01">
        <w:rPr>
          <w:rFonts w:ascii="Times New Roman" w:hAnsi="Times New Roman" w:cs="Times New Roman"/>
          <w:sz w:val="24"/>
          <w:lang w:val="en-GB" w:bidi="en-US"/>
        </w:rPr>
        <w:t>act</w:t>
      </w:r>
      <w:r w:rsidR="000F451F">
        <w:rPr>
          <w:rFonts w:ascii="Times New Roman" w:hAnsi="Times New Roman" w:cs="Times New Roman"/>
          <w:sz w:val="24"/>
          <w:lang w:val="en-GB" w:bidi="en-US"/>
        </w:rPr>
        <w:t>i</w:t>
      </w:r>
      <w:r w:rsidR="005F6A25" w:rsidRPr="00BB5F01">
        <w:rPr>
          <w:rFonts w:ascii="Times New Roman" w:hAnsi="Times New Roman" w:cs="Times New Roman"/>
          <w:sz w:val="24"/>
          <w:lang w:val="en-GB" w:bidi="en-US"/>
        </w:rPr>
        <w:t>o</w:t>
      </w:r>
      <w:r w:rsidR="000F451F">
        <w:rPr>
          <w:rFonts w:ascii="Times New Roman" w:hAnsi="Times New Roman" w:cs="Times New Roman"/>
          <w:sz w:val="24"/>
          <w:lang w:val="en-GB" w:bidi="en-US"/>
        </w:rPr>
        <w:t>n</w:t>
      </w:r>
      <w:r w:rsidR="005F6A25" w:rsidRPr="00BB5F01">
        <w:rPr>
          <w:rFonts w:ascii="Times New Roman" w:hAnsi="Times New Roman" w:cs="Times New Roman"/>
          <w:sz w:val="24"/>
          <w:lang w:val="en-GB" w:bidi="en-US"/>
        </w:rPr>
        <w:t xml:space="preserve">s focused on: </w:t>
      </w:r>
      <w:r w:rsidR="00AD3FD8">
        <w:rPr>
          <w:rFonts w:ascii="Times New Roman" w:hAnsi="Times New Roman" w:cs="Times New Roman"/>
          <w:sz w:val="24"/>
          <w:lang w:val="en-GB" w:bidi="en-US"/>
        </w:rPr>
        <w:t>i</w:t>
      </w:r>
      <w:r w:rsidR="005F6A25" w:rsidRPr="00BB5F01">
        <w:rPr>
          <w:rFonts w:ascii="Times New Roman" w:hAnsi="Times New Roman" w:cs="Times New Roman"/>
          <w:sz w:val="24"/>
          <w:lang w:val="en-GB" w:bidi="en-US"/>
        </w:rPr>
        <w:t xml:space="preserve">) increasing performance/efficiency of products, </w:t>
      </w:r>
      <w:r w:rsidR="00AD3FD8">
        <w:rPr>
          <w:rFonts w:ascii="Times New Roman" w:hAnsi="Times New Roman" w:cs="Times New Roman"/>
          <w:sz w:val="24"/>
          <w:lang w:val="en-GB" w:bidi="en-US"/>
        </w:rPr>
        <w:t>ii</w:t>
      </w:r>
      <w:r w:rsidR="005F6A25" w:rsidRPr="00BB5F01">
        <w:rPr>
          <w:rFonts w:ascii="Times New Roman" w:hAnsi="Times New Roman" w:cs="Times New Roman"/>
          <w:sz w:val="24"/>
          <w:lang w:val="en-GB" w:bidi="en-US"/>
        </w:rPr>
        <w:t xml:space="preserve">) removing waste in production and supply chains or </w:t>
      </w:r>
      <w:r w:rsidR="00AD3FD8">
        <w:rPr>
          <w:rFonts w:ascii="Times New Roman" w:hAnsi="Times New Roman" w:cs="Times New Roman"/>
          <w:sz w:val="24"/>
          <w:lang w:val="en-GB" w:bidi="en-US"/>
        </w:rPr>
        <w:t>iii</w:t>
      </w:r>
      <w:r w:rsidR="005F6A25" w:rsidRPr="00BB5F01">
        <w:rPr>
          <w:rFonts w:ascii="Times New Roman" w:hAnsi="Times New Roman" w:cs="Times New Roman"/>
          <w:sz w:val="24"/>
          <w:lang w:val="en-GB" w:bidi="en-US"/>
        </w:rPr>
        <w:t>) leveraging big data, automation, remote sensing and steering</w:t>
      </w:r>
      <w:r w:rsidR="002943B5">
        <w:rPr>
          <w:rFonts w:ascii="Times New Roman" w:hAnsi="Times New Roman" w:cs="Times New Roman"/>
          <w:sz w:val="24"/>
          <w:lang w:val="en-GB" w:bidi="en-US"/>
        </w:rPr>
        <w:t>;</w:t>
      </w:r>
    </w:p>
    <w:p w14:paraId="4FEB6927" w14:textId="45ED4673" w:rsidR="0053732B" w:rsidRDefault="00F14CCD" w:rsidP="00C41BD9">
      <w:pPr>
        <w:pStyle w:val="Paragrafoelenco"/>
        <w:numPr>
          <w:ilvl w:val="0"/>
          <w:numId w:val="40"/>
        </w:numPr>
        <w:spacing w:after="240" w:line="360" w:lineRule="auto"/>
        <w:rPr>
          <w:rFonts w:ascii="Times New Roman" w:hAnsi="Times New Roman" w:cs="Times New Roman"/>
          <w:sz w:val="24"/>
          <w:lang w:val="en-GB" w:bidi="en-US"/>
        </w:rPr>
      </w:pPr>
      <w:r w:rsidRPr="00746DB3">
        <w:rPr>
          <w:rFonts w:ascii="Times New Roman" w:hAnsi="Times New Roman" w:cs="Times New Roman"/>
          <w:sz w:val="24"/>
          <w:lang w:val="en-GB" w:bidi="en-US"/>
        </w:rPr>
        <w:t>Loop</w:t>
      </w:r>
      <w:r w:rsidR="00C7097B">
        <w:rPr>
          <w:rFonts w:ascii="Times New Roman" w:hAnsi="Times New Roman" w:cs="Times New Roman"/>
          <w:sz w:val="24"/>
          <w:lang w:val="en-GB" w:bidi="en-US"/>
        </w:rPr>
        <w:t xml:space="preserve"> </w:t>
      </w:r>
      <w:r w:rsidR="002943B5">
        <w:rPr>
          <w:rFonts w:ascii="Times New Roman" w:hAnsi="Times New Roman" w:cs="Times New Roman"/>
          <w:sz w:val="24"/>
          <w:lang w:val="en-GB" w:bidi="en-US"/>
        </w:rPr>
        <w:t>–</w:t>
      </w:r>
      <w:r w:rsidR="00C7097B">
        <w:rPr>
          <w:rFonts w:ascii="Times New Roman" w:hAnsi="Times New Roman" w:cs="Times New Roman"/>
          <w:sz w:val="24"/>
          <w:lang w:val="en-GB" w:bidi="en-US"/>
        </w:rPr>
        <w:t xml:space="preserve"> </w:t>
      </w:r>
      <w:r w:rsidR="002943B5">
        <w:rPr>
          <w:rFonts w:ascii="Times New Roman" w:hAnsi="Times New Roman" w:cs="Times New Roman"/>
          <w:sz w:val="24"/>
          <w:lang w:val="en-GB" w:bidi="en-US"/>
        </w:rPr>
        <w:t xml:space="preserve">or </w:t>
      </w:r>
      <w:r w:rsidR="002943B5" w:rsidRPr="00647784">
        <w:rPr>
          <w:rFonts w:ascii="Times New Roman" w:hAnsi="Times New Roman" w:cs="Times New Roman"/>
          <w:sz w:val="24"/>
          <w:lang w:val="en-GB" w:bidi="en-US"/>
        </w:rPr>
        <w:t>act</w:t>
      </w:r>
      <w:r w:rsidR="002943B5">
        <w:rPr>
          <w:rFonts w:ascii="Times New Roman" w:hAnsi="Times New Roman" w:cs="Times New Roman"/>
          <w:sz w:val="24"/>
          <w:lang w:val="en-GB" w:bidi="en-US"/>
        </w:rPr>
        <w:t>ions</w:t>
      </w:r>
      <w:r w:rsidR="002943B5" w:rsidRPr="00647784">
        <w:rPr>
          <w:rFonts w:ascii="Times New Roman" w:hAnsi="Times New Roman" w:cs="Times New Roman"/>
          <w:sz w:val="24"/>
          <w:lang w:val="en-GB" w:bidi="en-US"/>
        </w:rPr>
        <w:t xml:space="preserve"> focused on: </w:t>
      </w:r>
      <w:r w:rsidR="00AD3FD8">
        <w:rPr>
          <w:rFonts w:ascii="Times New Roman" w:hAnsi="Times New Roman" w:cs="Times New Roman"/>
          <w:sz w:val="24"/>
          <w:lang w:val="en-GB" w:bidi="en-US"/>
        </w:rPr>
        <w:t>i</w:t>
      </w:r>
      <w:r w:rsidR="002943B5" w:rsidRPr="00647784">
        <w:rPr>
          <w:rFonts w:ascii="Times New Roman" w:hAnsi="Times New Roman" w:cs="Times New Roman"/>
          <w:sz w:val="24"/>
          <w:lang w:val="en-GB" w:bidi="en-US"/>
        </w:rPr>
        <w:t xml:space="preserve">) remanufacturing of products/components, </w:t>
      </w:r>
      <w:r w:rsidR="00AD3FD8">
        <w:rPr>
          <w:rFonts w:ascii="Times New Roman" w:hAnsi="Times New Roman" w:cs="Times New Roman"/>
          <w:sz w:val="24"/>
          <w:lang w:val="en-GB" w:bidi="en-US"/>
        </w:rPr>
        <w:t>ii</w:t>
      </w:r>
      <w:r w:rsidR="002943B5" w:rsidRPr="00647784">
        <w:rPr>
          <w:rFonts w:ascii="Times New Roman" w:hAnsi="Times New Roman" w:cs="Times New Roman"/>
          <w:sz w:val="24"/>
          <w:lang w:val="en-GB" w:bidi="en-US"/>
        </w:rPr>
        <w:t xml:space="preserve">) recycling of materials, </w:t>
      </w:r>
      <w:r w:rsidR="00AD3FD8">
        <w:rPr>
          <w:rFonts w:ascii="Times New Roman" w:hAnsi="Times New Roman" w:cs="Times New Roman"/>
          <w:sz w:val="24"/>
          <w:lang w:val="en-GB" w:bidi="en-US"/>
        </w:rPr>
        <w:t>iii</w:t>
      </w:r>
      <w:r w:rsidR="002943B5" w:rsidRPr="00647784">
        <w:rPr>
          <w:rFonts w:ascii="Times New Roman" w:hAnsi="Times New Roman" w:cs="Times New Roman"/>
          <w:sz w:val="24"/>
          <w:lang w:val="en-GB" w:bidi="en-US"/>
        </w:rPr>
        <w:t xml:space="preserve">) anaerobic digestion of wastes or </w:t>
      </w:r>
      <w:r w:rsidR="00AD3FD8">
        <w:rPr>
          <w:rFonts w:ascii="Times New Roman" w:hAnsi="Times New Roman" w:cs="Times New Roman"/>
          <w:sz w:val="24"/>
          <w:lang w:val="en-GB" w:bidi="en-US"/>
        </w:rPr>
        <w:t>iv</w:t>
      </w:r>
      <w:r w:rsidR="002943B5" w:rsidRPr="00647784">
        <w:rPr>
          <w:rFonts w:ascii="Times New Roman" w:hAnsi="Times New Roman" w:cs="Times New Roman"/>
          <w:sz w:val="24"/>
          <w:lang w:val="en-GB" w:bidi="en-US"/>
        </w:rPr>
        <w:t>) extraction of biochemicals from organic wastes</w:t>
      </w:r>
      <w:r w:rsidR="002943B5">
        <w:rPr>
          <w:rFonts w:ascii="Times New Roman" w:hAnsi="Times New Roman" w:cs="Times New Roman"/>
          <w:sz w:val="24"/>
          <w:lang w:val="en-GB" w:bidi="en-US"/>
        </w:rPr>
        <w:t>;</w:t>
      </w:r>
    </w:p>
    <w:p w14:paraId="68D4236E" w14:textId="654893A6" w:rsidR="0053732B" w:rsidRDefault="00F14CCD" w:rsidP="00C41BD9">
      <w:pPr>
        <w:pStyle w:val="Paragrafoelenco"/>
        <w:numPr>
          <w:ilvl w:val="0"/>
          <w:numId w:val="40"/>
        </w:numPr>
        <w:spacing w:after="240" w:line="360" w:lineRule="auto"/>
        <w:rPr>
          <w:rFonts w:ascii="Times New Roman" w:hAnsi="Times New Roman" w:cs="Times New Roman"/>
          <w:sz w:val="24"/>
          <w:lang w:val="en-GB" w:bidi="en-US"/>
        </w:rPr>
      </w:pPr>
      <w:r w:rsidRPr="00746DB3">
        <w:rPr>
          <w:rFonts w:ascii="Times New Roman" w:hAnsi="Times New Roman" w:cs="Times New Roman"/>
          <w:sz w:val="24"/>
          <w:lang w:val="en-GB" w:bidi="en-US"/>
        </w:rPr>
        <w:t>Virtualize</w:t>
      </w:r>
      <w:r w:rsidR="00C7097B">
        <w:rPr>
          <w:rFonts w:ascii="Times New Roman" w:hAnsi="Times New Roman" w:cs="Times New Roman"/>
          <w:sz w:val="24"/>
          <w:lang w:val="en-GB" w:bidi="en-US"/>
        </w:rPr>
        <w:t xml:space="preserve"> </w:t>
      </w:r>
      <w:r w:rsidR="002943B5">
        <w:rPr>
          <w:rFonts w:ascii="Times New Roman" w:hAnsi="Times New Roman" w:cs="Times New Roman"/>
          <w:sz w:val="24"/>
          <w:lang w:val="en-GB" w:bidi="en-US"/>
        </w:rPr>
        <w:t>–</w:t>
      </w:r>
      <w:r w:rsidR="00C7097B">
        <w:rPr>
          <w:rFonts w:ascii="Times New Roman" w:hAnsi="Times New Roman" w:cs="Times New Roman"/>
          <w:sz w:val="24"/>
          <w:lang w:val="en-GB" w:bidi="en-US"/>
        </w:rPr>
        <w:t xml:space="preserve"> </w:t>
      </w:r>
      <w:r w:rsidR="002943B5">
        <w:rPr>
          <w:rFonts w:ascii="Times New Roman" w:hAnsi="Times New Roman" w:cs="Times New Roman"/>
          <w:sz w:val="24"/>
          <w:lang w:val="en-GB" w:bidi="en-US"/>
        </w:rPr>
        <w:t xml:space="preserve">or </w:t>
      </w:r>
      <w:r w:rsidR="002943B5" w:rsidRPr="00D758BC">
        <w:rPr>
          <w:rFonts w:ascii="Times New Roman" w:hAnsi="Times New Roman" w:cs="Times New Roman"/>
          <w:sz w:val="24"/>
          <w:lang w:val="en-GB" w:bidi="en-US"/>
        </w:rPr>
        <w:t>act</w:t>
      </w:r>
      <w:r w:rsidR="002943B5">
        <w:rPr>
          <w:rFonts w:ascii="Times New Roman" w:hAnsi="Times New Roman" w:cs="Times New Roman"/>
          <w:sz w:val="24"/>
          <w:lang w:val="en-GB" w:bidi="en-US"/>
        </w:rPr>
        <w:t>ions</w:t>
      </w:r>
      <w:r w:rsidR="002943B5" w:rsidRPr="00D758BC">
        <w:rPr>
          <w:rFonts w:ascii="Times New Roman" w:hAnsi="Times New Roman" w:cs="Times New Roman"/>
          <w:sz w:val="24"/>
          <w:lang w:val="en-GB" w:bidi="en-US"/>
        </w:rPr>
        <w:t xml:space="preserve"> focused on direct/indirect dematerialization of products</w:t>
      </w:r>
      <w:r w:rsidR="00DE1805">
        <w:rPr>
          <w:rFonts w:ascii="Times New Roman" w:hAnsi="Times New Roman" w:cs="Times New Roman"/>
          <w:sz w:val="24"/>
          <w:lang w:val="en-GB" w:bidi="en-US"/>
        </w:rPr>
        <w:t>;</w:t>
      </w:r>
    </w:p>
    <w:p w14:paraId="72FBC7F7" w14:textId="11AB9180" w:rsidR="00F14CCD" w:rsidRPr="00746DB3" w:rsidRDefault="00F14CCD" w:rsidP="00746DB3">
      <w:pPr>
        <w:pStyle w:val="Paragrafoelenco"/>
        <w:numPr>
          <w:ilvl w:val="0"/>
          <w:numId w:val="40"/>
        </w:numPr>
        <w:spacing w:after="240" w:line="360" w:lineRule="auto"/>
        <w:rPr>
          <w:lang w:val="en-GB" w:bidi="en-US"/>
        </w:rPr>
      </w:pPr>
      <w:r w:rsidRPr="00746DB3">
        <w:rPr>
          <w:rFonts w:ascii="Times New Roman" w:hAnsi="Times New Roman" w:cs="Times New Roman"/>
          <w:sz w:val="24"/>
          <w:lang w:val="en-GB" w:bidi="en-US"/>
        </w:rPr>
        <w:t>Exchange</w:t>
      </w:r>
      <w:r w:rsidR="00C7097B">
        <w:rPr>
          <w:rFonts w:ascii="Times New Roman" w:hAnsi="Times New Roman" w:cs="Times New Roman"/>
          <w:sz w:val="24"/>
          <w:lang w:val="en-GB" w:bidi="en-US"/>
        </w:rPr>
        <w:t xml:space="preserve"> </w:t>
      </w:r>
      <w:r w:rsidR="00DE1805">
        <w:rPr>
          <w:rFonts w:ascii="Times New Roman" w:hAnsi="Times New Roman" w:cs="Times New Roman"/>
          <w:sz w:val="24"/>
          <w:lang w:val="en-GB" w:bidi="en-US"/>
        </w:rPr>
        <w:t xml:space="preserve">– or actions </w:t>
      </w:r>
      <w:r w:rsidRPr="00746DB3">
        <w:rPr>
          <w:rFonts w:ascii="Times New Roman" w:hAnsi="Times New Roman" w:cs="Times New Roman"/>
          <w:sz w:val="24"/>
          <w:lang w:val="en-GB" w:bidi="en-US"/>
        </w:rPr>
        <w:t xml:space="preserve">focused on: </w:t>
      </w:r>
      <w:r w:rsidR="00AD3FD8">
        <w:rPr>
          <w:rFonts w:ascii="Times New Roman" w:hAnsi="Times New Roman" w:cs="Times New Roman"/>
          <w:sz w:val="24"/>
          <w:lang w:val="en-GB" w:bidi="en-US"/>
        </w:rPr>
        <w:t>i</w:t>
      </w:r>
      <w:r w:rsidRPr="00746DB3">
        <w:rPr>
          <w:rFonts w:ascii="Times New Roman" w:hAnsi="Times New Roman" w:cs="Times New Roman"/>
          <w:sz w:val="24"/>
          <w:lang w:val="en-GB" w:bidi="en-US"/>
        </w:rPr>
        <w:t xml:space="preserve">) replacing old materials with advanced non-renewable ones, </w:t>
      </w:r>
      <w:r w:rsidR="00AD3FD8">
        <w:rPr>
          <w:rFonts w:ascii="Times New Roman" w:hAnsi="Times New Roman" w:cs="Times New Roman"/>
          <w:sz w:val="24"/>
          <w:lang w:val="en-GB" w:bidi="en-US"/>
        </w:rPr>
        <w:t>ii</w:t>
      </w:r>
      <w:r w:rsidRPr="00746DB3">
        <w:rPr>
          <w:rFonts w:ascii="Times New Roman" w:hAnsi="Times New Roman" w:cs="Times New Roman"/>
          <w:sz w:val="24"/>
          <w:lang w:val="en-GB" w:bidi="en-US"/>
        </w:rPr>
        <w:t>) appl</w:t>
      </w:r>
      <w:r w:rsidR="00DE1805">
        <w:rPr>
          <w:rFonts w:ascii="Times New Roman" w:hAnsi="Times New Roman" w:cs="Times New Roman"/>
          <w:sz w:val="24"/>
          <w:lang w:val="en-GB" w:bidi="en-US"/>
        </w:rPr>
        <w:t>ying</w:t>
      </w:r>
      <w:r w:rsidRPr="00746DB3">
        <w:rPr>
          <w:rFonts w:ascii="Times New Roman" w:hAnsi="Times New Roman" w:cs="Times New Roman"/>
          <w:sz w:val="24"/>
          <w:lang w:val="en-GB" w:bidi="en-US"/>
        </w:rPr>
        <w:t xml:space="preserve"> new technologies </w:t>
      </w:r>
      <w:r w:rsidR="00BA7A90">
        <w:rPr>
          <w:rFonts w:ascii="Times New Roman" w:hAnsi="Times New Roman" w:cs="Times New Roman"/>
          <w:sz w:val="24"/>
          <w:lang w:val="en-GB" w:bidi="en-US"/>
        </w:rPr>
        <w:t xml:space="preserve">in traditional processes </w:t>
      </w:r>
      <w:r w:rsidRPr="00746DB3">
        <w:rPr>
          <w:rFonts w:ascii="Times New Roman" w:hAnsi="Times New Roman" w:cs="Times New Roman"/>
          <w:sz w:val="24"/>
          <w:lang w:val="en-GB" w:bidi="en-US"/>
        </w:rPr>
        <w:t xml:space="preserve">or </w:t>
      </w:r>
      <w:r w:rsidR="00AD3FD8">
        <w:rPr>
          <w:rFonts w:ascii="Times New Roman" w:hAnsi="Times New Roman" w:cs="Times New Roman"/>
          <w:sz w:val="24"/>
          <w:lang w:val="en-GB" w:bidi="en-US"/>
        </w:rPr>
        <w:t>iii</w:t>
      </w:r>
      <w:r w:rsidRPr="00746DB3">
        <w:rPr>
          <w:rFonts w:ascii="Times New Roman" w:hAnsi="Times New Roman" w:cs="Times New Roman"/>
          <w:sz w:val="24"/>
          <w:lang w:val="en-GB" w:bidi="en-US"/>
        </w:rPr>
        <w:t>) transfor</w:t>
      </w:r>
      <w:r w:rsidR="00BA7A90">
        <w:rPr>
          <w:rFonts w:ascii="Times New Roman" w:hAnsi="Times New Roman" w:cs="Times New Roman"/>
          <w:sz w:val="24"/>
          <w:lang w:val="en-GB" w:bidi="en-US"/>
        </w:rPr>
        <w:t>ming</w:t>
      </w:r>
      <w:r w:rsidRPr="00746DB3">
        <w:rPr>
          <w:rFonts w:ascii="Times New Roman" w:hAnsi="Times New Roman" w:cs="Times New Roman"/>
          <w:sz w:val="24"/>
          <w:lang w:val="en-GB" w:bidi="en-US"/>
        </w:rPr>
        <w:t xml:space="preserve"> products/services.</w:t>
      </w:r>
    </w:p>
    <w:p w14:paraId="0581F12D" w14:textId="7F5CB139" w:rsidR="00957DBD" w:rsidRDefault="00F14CCD">
      <w:pPr>
        <w:spacing w:after="240" w:line="360" w:lineRule="auto"/>
        <w:jc w:val="both"/>
        <w:rPr>
          <w:lang w:val="en-GB" w:bidi="en-US"/>
        </w:rPr>
      </w:pPr>
      <w:r w:rsidRPr="00402AEC">
        <w:rPr>
          <w:lang w:val="en-GB" w:bidi="en-US"/>
        </w:rPr>
        <w:t xml:space="preserve">Even if the ReSOLVE framework cannot be referred </w:t>
      </w:r>
      <w:r w:rsidR="00565685">
        <w:rPr>
          <w:lang w:val="en-GB" w:bidi="en-US"/>
        </w:rPr>
        <w:t xml:space="preserve">to </w:t>
      </w:r>
      <w:r w:rsidRPr="00402AEC">
        <w:rPr>
          <w:lang w:val="en-GB" w:bidi="en-US"/>
        </w:rPr>
        <w:t>as a real classification method, many experts start</w:t>
      </w:r>
      <w:r w:rsidR="00555019">
        <w:rPr>
          <w:lang w:val="en-GB" w:bidi="en-US"/>
        </w:rPr>
        <w:t>ed</w:t>
      </w:r>
      <w:r w:rsidRPr="00402AEC">
        <w:rPr>
          <w:lang w:val="en-GB" w:bidi="en-US"/>
        </w:rPr>
        <w:t xml:space="preserve"> from it </w:t>
      </w:r>
      <w:r w:rsidR="006400D7">
        <w:rPr>
          <w:lang w:val="en-GB" w:bidi="en-US"/>
        </w:rPr>
        <w:t>for</w:t>
      </w:r>
      <w:r w:rsidRPr="00402AEC">
        <w:rPr>
          <w:lang w:val="en-GB" w:bidi="en-US"/>
        </w:rPr>
        <w:t xml:space="preserve"> develop</w:t>
      </w:r>
      <w:r w:rsidR="006400D7">
        <w:rPr>
          <w:lang w:val="en-GB" w:bidi="en-US"/>
        </w:rPr>
        <w:t>ing</w:t>
      </w:r>
      <w:r w:rsidRPr="00402AEC">
        <w:rPr>
          <w:lang w:val="en-GB" w:bidi="en-US"/>
        </w:rPr>
        <w:t xml:space="preserve"> their own classification methods. </w:t>
      </w:r>
      <w:r w:rsidR="00AE09A1">
        <w:rPr>
          <w:lang w:val="en-GB" w:bidi="en-US"/>
        </w:rPr>
        <w:t xml:space="preserve">For example, </w:t>
      </w:r>
      <w:r w:rsidRPr="009601F2">
        <w:rPr>
          <w:lang w:val="en-GB" w:bidi="en-US"/>
        </w:rPr>
        <w:fldChar w:fldCharType="begin" w:fldLock="1"/>
      </w:r>
      <w:r w:rsidR="00BF2F60">
        <w:rPr>
          <w:lang w:val="en-GB" w:bidi="en-US"/>
        </w:rPr>
        <w:instrText>ADDIN CSL_CITATION {"citationItems":[{"id":"ITEM-1","itemData":{"author":[{"dropping-particle":"","family":"Charter","given":"Martin","non-dropping-particle":"","parse-names":false,"suffix":""}],"container-title":"Sustainable Innovation 2016","id":"ITEM-1","issued":{"date-parts":[["2016"]]},"page":"64-69","title":"Circular Economy Business Models","type":"paper-conference"},"uris":["http://www.mendeley.com/documents/?uuid=def9751c-0e21-44c2-8c10-105c5e8eaf91","http://www.mendeley.com/documents/?uuid=1439eaf5-5545-40d6-97f0-503595326c6d"]}],"mendeley":{"formattedCitation":"(Charter, 2016)","manualFormatting":"Charter (2016)","plainTextFormattedCitation":"(Charter, 2016)","previouslyFormattedCitation":"(Charter, 2016)"},"properties":{"noteIndex":0},"schema":"https://github.com/citation-style-language/schema/raw/master/csl-citation.json"}</w:instrText>
      </w:r>
      <w:r w:rsidRPr="009601F2">
        <w:rPr>
          <w:lang w:val="en-GB" w:bidi="en-US"/>
        </w:rPr>
        <w:fldChar w:fldCharType="separate"/>
      </w:r>
      <w:r w:rsidRPr="00402AEC">
        <w:rPr>
          <w:noProof/>
          <w:lang w:val="en-GB" w:bidi="en-US"/>
        </w:rPr>
        <w:t>Charter (2016)</w:t>
      </w:r>
      <w:r w:rsidRPr="009601F2">
        <w:rPr>
          <w:lang w:val="en-GB" w:bidi="en-US"/>
        </w:rPr>
        <w:fldChar w:fldCharType="end"/>
      </w:r>
      <w:r w:rsidRPr="00402AEC">
        <w:rPr>
          <w:lang w:val="en-GB" w:bidi="en-US"/>
        </w:rPr>
        <w:t xml:space="preserve"> </w:t>
      </w:r>
      <w:r w:rsidR="00957DBD" w:rsidRPr="00402AEC">
        <w:rPr>
          <w:lang w:val="en-GB" w:bidi="en-US"/>
        </w:rPr>
        <w:t>tr</w:t>
      </w:r>
      <w:r w:rsidR="00957DBD">
        <w:rPr>
          <w:lang w:val="en-GB" w:bidi="en-US"/>
        </w:rPr>
        <w:t>ied</w:t>
      </w:r>
      <w:r w:rsidR="00957DBD" w:rsidRPr="00402AEC">
        <w:rPr>
          <w:lang w:val="en-GB" w:bidi="en-US"/>
        </w:rPr>
        <w:t xml:space="preserve"> to translate in practical terms what theoretically defined by the ReSOLVE framework</w:t>
      </w:r>
      <w:r w:rsidR="009C1104">
        <w:rPr>
          <w:lang w:val="en-GB" w:bidi="en-US"/>
        </w:rPr>
        <w:t>,</w:t>
      </w:r>
      <w:r w:rsidR="00FB4F48">
        <w:rPr>
          <w:lang w:val="en-GB" w:bidi="en-US"/>
        </w:rPr>
        <w:t xml:space="preserve"> by categorising CBMs into two macro classes and six sub-</w:t>
      </w:r>
      <w:r w:rsidR="000B5C30">
        <w:rPr>
          <w:lang w:val="en-GB" w:bidi="en-US"/>
        </w:rPr>
        <w:t>segments.</w:t>
      </w:r>
      <w:r w:rsidR="00FB4F48">
        <w:rPr>
          <w:lang w:val="en-GB" w:bidi="en-US"/>
        </w:rPr>
        <w:t xml:space="preserve"> </w:t>
      </w:r>
      <w:r w:rsidR="004228B4" w:rsidRPr="009601F2">
        <w:rPr>
          <w:lang w:val="en-GB" w:bidi="en-US"/>
        </w:rPr>
        <w:fldChar w:fldCharType="begin" w:fldLock="1"/>
      </w:r>
      <w:r w:rsidR="003445CC">
        <w:rPr>
          <w:lang w:val="en-GB" w:bidi="en-US"/>
        </w:rPr>
        <w:instrText>ADDIN CSL_CITATION {"citationItems":[{"id":"ITEM-1","itemData":{"DOI":"10.1016/j.jclepro.2017.10.003","ISSN":"09596526","abstract":"The circular economy (CE) can be a driver for sustainability and CE can be promoted and supported by the creation of new and innovative business models, which embed CE principles into their value propositions throughout the value chains. This study focuses on the environmental value propositions of the CE business models. The term environmental value proposition refers here to an absolute value being a promise of environmental improvement, which a company provides to the environment by its impacts throughout the whole value chain. The aim of this study is to outline a framework for evaluating the environmental value propositions of CE business models. The framework consists of an environmental value propositions table (EVPT) and a step-by-step approach towards an evaluation process. The framework was tested in three CE business model cases. The outlined framework enables a better understanding of circular economy principles, combining them with the environmental value proposition. With the framework, companies can plan and design new CE business models or they can verify intended environmental benefits and analyse their contribution to sustainability. The biggest challenges, when applying the framework, were related to the estimation of environmental benefits gained from the environmental value propositions at the system level. In the future, intensive scientific work should concentrate on developing environmental assessment methods specifically for companies developing new CE business models.","author":[{"dropping-particle":"","family":"Manninen","given":"Kaisa","non-dropping-particle":"","parse-names":false,"suffix":""},{"dropping-particle":"","family":"Koskela","given":"Sirkka","non-dropping-particle":"","parse-names":false,"suffix":""},{"dropping-particle":"","family":"Antikainen","given":"Riina","non-dropping-particle":"","parse-names":false,"suffix":""},{"dropping-particle":"","family":"Bocken","given":"Nancy M.P.","non-dropping-particle":"","parse-names":false,"suffix":""},{"dropping-particle":"","family":"Dahlbo","given":"Helena","non-dropping-particle":"","parse-names":false,"suffix":""},{"dropping-particle":"","family":"Aminoff","given":"Anna","non-dropping-particle":"","parse-names":false,"suffix":""}],"container-title":"Journal of Cleaner Production","id":"ITEM-1","issued":{"date-parts":[["2018"]]},"page":"413-422","publisher":"Elsevier Ltd","title":"Do circular economy business models capture intended environmental value propositions?","type":"article-journal","volume":"171"},"uris":["http://www.mendeley.com/documents/?uuid=63efae5a-fd69-482e-aa69-b6329bbdd37f"]}],"mendeley":{"formattedCitation":"(Manninen et al., 2018)","manualFormatting":"Manninen et al. (2018)","plainTextFormattedCitation":"(Manninen et al., 2018)","previouslyFormattedCitation":"(Manninen et al., 2018)"},"properties":{"noteIndex":0},"schema":"https://github.com/citation-style-language/schema/raw/master/csl-citation.json"}</w:instrText>
      </w:r>
      <w:r w:rsidR="004228B4" w:rsidRPr="009601F2">
        <w:rPr>
          <w:lang w:val="en-GB" w:bidi="en-US"/>
        </w:rPr>
        <w:fldChar w:fldCharType="separate"/>
      </w:r>
      <w:r w:rsidR="004228B4" w:rsidRPr="00402AEC">
        <w:rPr>
          <w:noProof/>
          <w:lang w:val="en-GB" w:bidi="en-US"/>
        </w:rPr>
        <w:t xml:space="preserve">Manninen et al. </w:t>
      </w:r>
      <w:r w:rsidR="004228B4">
        <w:rPr>
          <w:noProof/>
          <w:lang w:val="en-GB" w:bidi="en-US"/>
        </w:rPr>
        <w:t>(</w:t>
      </w:r>
      <w:r w:rsidR="004228B4" w:rsidRPr="00402AEC">
        <w:rPr>
          <w:noProof/>
          <w:lang w:val="en-GB" w:bidi="en-US"/>
        </w:rPr>
        <w:t>2018)</w:t>
      </w:r>
      <w:r w:rsidR="004228B4" w:rsidRPr="009601F2">
        <w:rPr>
          <w:lang w:val="en-GB" w:bidi="en-US"/>
        </w:rPr>
        <w:fldChar w:fldCharType="end"/>
      </w:r>
      <w:r w:rsidR="004228B4" w:rsidRPr="00402AEC">
        <w:rPr>
          <w:lang w:val="en-GB" w:bidi="en-US"/>
        </w:rPr>
        <w:t xml:space="preserve"> exploit</w:t>
      </w:r>
      <w:r w:rsidR="004228B4">
        <w:rPr>
          <w:lang w:val="en-GB" w:bidi="en-US"/>
        </w:rPr>
        <w:t>ed</w:t>
      </w:r>
      <w:r w:rsidR="004228B4" w:rsidRPr="00402AEC">
        <w:rPr>
          <w:lang w:val="en-GB" w:bidi="en-US"/>
        </w:rPr>
        <w:t xml:space="preserve"> the ReSOLVE framework to develop an Environmental Value Proposition Table (EVPT)</w:t>
      </w:r>
      <w:r w:rsidR="002F4450">
        <w:rPr>
          <w:lang w:val="en-GB" w:bidi="en-US"/>
        </w:rPr>
        <w:t xml:space="preserve"> </w:t>
      </w:r>
      <w:r w:rsidR="004B7C2C">
        <w:rPr>
          <w:lang w:val="en-GB" w:bidi="en-US"/>
        </w:rPr>
        <w:t xml:space="preserve">for </w:t>
      </w:r>
      <w:r w:rsidR="0088417D">
        <w:rPr>
          <w:lang w:val="en-GB" w:bidi="en-US"/>
        </w:rPr>
        <w:t xml:space="preserve">embedding the environmental side </w:t>
      </w:r>
      <w:r w:rsidR="004B7C2C">
        <w:rPr>
          <w:lang w:val="en-GB" w:bidi="en-US"/>
        </w:rPr>
        <w:t xml:space="preserve">on the value proposition </w:t>
      </w:r>
      <w:r w:rsidR="001428FE">
        <w:rPr>
          <w:lang w:val="en-GB" w:bidi="en-US"/>
        </w:rPr>
        <w:t>of CBMs.</w:t>
      </w:r>
      <w:r w:rsidR="0088417D">
        <w:rPr>
          <w:lang w:val="en-GB" w:bidi="en-US"/>
        </w:rPr>
        <w:t xml:space="preserve"> </w:t>
      </w:r>
      <w:r w:rsidR="001428FE" w:rsidRPr="009601F2">
        <w:rPr>
          <w:lang w:val="en-GB" w:bidi="en-US"/>
        </w:rPr>
        <w:fldChar w:fldCharType="begin" w:fldLock="1"/>
      </w:r>
      <w:r w:rsidR="00BF2F60">
        <w:rPr>
          <w:lang w:val="en-GB" w:bidi="en-US"/>
        </w:rPr>
        <w:instrText>ADDIN CSL_CITATION {"citationItems":[{"id":"ITEM-1","itemData":{"DOI":"10.1111/jiec.12590","ISSN":"15309290","abstract":"The circular economy (CE) is essential for decoupling economic growth from resource consumption and environmental impacts. However, effective implementation requires a systemic change across supply chains, involving both technological and nontechnological innovations. Frameworks are beginning to emerge to foster CE thinking in organizations. However, literature review carried out as part of this research has revealed gaps in their ability to fulfil CE requirements. Furthermore, few frameworks provide support on how CE requirements may be implemented. To address these issues, this article presents a new framework, BECE (backcasting and eco-design for the circular economy), to ensure that businesses can implement CE requirements more readily. BECE empowers organizations to tackle the CE holistically by embedding the concept into corporate decision making and by bringing operational and systems thinking together, thus increasing the likelihood of successful implementation. The potential of the BECE framework was tested through a pilot workshop focusing on the development of a CE business model through redesign of products and supply chains. Using vacuum cleaners as an illustrative case study, several product design and supply-chain alternatives were identified, including the development of scenarios and action plans for their implementation at the business level. Although the case study focuses on a particular product, the BECE framework is generic and applicable across different products and business sectors.","author":[{"dropping-particle":"","family":"Mendoza","given":"Joan Manuel F.","non-dropping-particle":"","parse-names":false,"suffix":""},{"dropping-particle":"","family":"Sharmina","given":"Maria","non-dropping-particle":"","parse-names":false,"suffix":""},{"dropping-particle":"","family":"Gallego-Schmid","given":"Alejandro","non-dropping-particle":"","parse-names":false,"suffix":""},{"dropping-particle":"","family":"Heyes","given":"Graeme","non-dropping-particle":"","parse-names":false,"suffix":""},{"dropping-particle":"","family":"Azapagic","given":"Adisa","non-dropping-particle":"","parse-names":false,"suffix":""}],"container-title":"Journal of Industrial Ecology","id":"ITEM-1","issue":"3","issued":{"date-parts":[["2017"]]},"page":"526-544","title":"Integrating Backcasting and Eco-Design for the Circular Economy: The BECE Framework","type":"article-journal","volume":"21"},"uris":["http://www.mendeley.com/documents/?uuid=caac43d6-c1b1-45bd-be18-1d6afaeecc2f","http://www.mendeley.com/documents/?uuid=0dcf7c41-0a95-49dc-83a6-fa6306310b97"]}],"mendeley":{"formattedCitation":"(Mendoza et al., 2017)","manualFormatting":"Mendoza et al. (2017)","plainTextFormattedCitation":"(Mendoza et al., 2017)","previouslyFormattedCitation":"(Mendoza et al., 2017)"},"properties":{"noteIndex":0},"schema":"https://github.com/citation-style-language/schema/raw/master/csl-citation.json"}</w:instrText>
      </w:r>
      <w:r w:rsidR="001428FE" w:rsidRPr="009601F2">
        <w:rPr>
          <w:lang w:val="en-GB" w:bidi="en-US"/>
        </w:rPr>
        <w:fldChar w:fldCharType="separate"/>
      </w:r>
      <w:r w:rsidR="001428FE" w:rsidRPr="00402AEC">
        <w:rPr>
          <w:noProof/>
          <w:lang w:val="en-GB" w:bidi="en-US"/>
        </w:rPr>
        <w:t>Mendoza et al. (2017)</w:t>
      </w:r>
      <w:r w:rsidR="001428FE" w:rsidRPr="009601F2">
        <w:rPr>
          <w:lang w:val="en-GB" w:bidi="en-US"/>
        </w:rPr>
        <w:fldChar w:fldCharType="end"/>
      </w:r>
      <w:r w:rsidR="001428FE" w:rsidRPr="00402AEC">
        <w:rPr>
          <w:lang w:val="en-GB" w:bidi="en-US"/>
        </w:rPr>
        <w:t xml:space="preserve"> add</w:t>
      </w:r>
      <w:r w:rsidR="001428FE">
        <w:rPr>
          <w:lang w:val="en-GB" w:bidi="en-US"/>
        </w:rPr>
        <w:t>ed</w:t>
      </w:r>
      <w:r w:rsidR="001428FE" w:rsidRPr="00402AEC">
        <w:rPr>
          <w:lang w:val="en-GB" w:bidi="en-US"/>
        </w:rPr>
        <w:t xml:space="preserve"> to the </w:t>
      </w:r>
      <w:r w:rsidR="00D74DC0">
        <w:rPr>
          <w:lang w:val="en-GB" w:bidi="en-US"/>
        </w:rPr>
        <w:t xml:space="preserve">original </w:t>
      </w:r>
      <w:r w:rsidR="001428FE" w:rsidRPr="00402AEC">
        <w:rPr>
          <w:lang w:val="en-GB" w:bidi="en-US"/>
        </w:rPr>
        <w:t>ReSOLVE framework the “Implement” level, trying to reduce the gap between theoretical principles presented and their practical adoption.</w:t>
      </w:r>
      <w:r w:rsidR="00D74DC0" w:rsidRPr="00D74DC0">
        <w:rPr>
          <w:lang w:val="en-GB" w:bidi="en-US"/>
        </w:rPr>
        <w:t xml:space="preserve"> </w:t>
      </w:r>
      <w:r w:rsidR="00D74DC0" w:rsidRPr="00402AEC">
        <w:rPr>
          <w:lang w:val="en-GB" w:bidi="en-US"/>
        </w:rPr>
        <w:t xml:space="preserve">Finally, </w:t>
      </w:r>
      <w:r w:rsidR="00D74DC0" w:rsidRPr="00FC04A3">
        <w:rPr>
          <w:lang w:val="en-GB" w:bidi="en-US"/>
        </w:rPr>
        <w:fldChar w:fldCharType="begin" w:fldLock="1"/>
      </w:r>
      <w:r w:rsidR="003445CC">
        <w:rPr>
          <w:lang w:val="en-GB" w:bidi="en-US"/>
        </w:rPr>
        <w:instrText>ADDIN CSL_CITATION {"citationItems":[{"id":"ITEM-1","itemData":{"DOI":"10.1016/j.techfore.2017.09.010","ISBN":"00401625 (ISSN)","ISSN":"00401625","abstract":"This work makes the case for the integration of the circular economy (CE) and large-scale data (LD), also known as big data. The paper is one of the first to integrate conceptual and practical trends regarding: (a) the ReSOLVE based models of the circular economy; (b) key stakeholders roles in pursuing a more sustainable society; and (c) the volume, velocity, variety, and veracity (4V's) of large-scale data (LD) management. This study's contributions include: (1) introducing a new integrative framework to enhance the understanding of the CE-LD nexus; (2) a relational matrix which illustrates the complexity of large-scale data and stakeholders management; and (3) a research agenda, with clear research propositions and future research direction. The proposed CE-LD integrative framework provides socio-technical insights for academics, practitioners, managers, and policy decision-makers.","author":[{"dropping-particle":"","family":"Chiappetta Jabbour","given":"Charbel Jose","non-dropping-particle":"","parse-names":false,"suffix":""},{"dropping-particle":"","family":"Lopes de Sousa Jabbour","given":"Ana Beatriz","non-dropping-particle":"","parse-names":false,"suffix":""},{"dropping-particle":"","family":"Sarkis","given":"Joseph","non-dropping-particle":"","parse-names":false,"suffix":""},{"dropping-particle":"","family":"Godinho Filho","given":"Moacir","non-dropping-particle":"","parse-names":false,"suffix":""}],"container-title":"Technological Forecasting &amp; Social Change","id":"ITEM-1","issued":{"date-parts":[["2017"]]},"publisher":"Elsevier","title":"Unlocking the circular economy through new business models based on large-scale data: An integrative framework and research agenda","type":"article-journal"},"uris":["http://www.mendeley.com/documents/?uuid=169f20f9-27f2-4590-be6f-198a62917ce2"]}],"mendeley":{"formattedCitation":"(Chiappetta Jabbour et al., 2017)","manualFormatting":"Chiappetta Jabbour et al. (2017)","plainTextFormattedCitation":"(Chiappetta Jabbour et al., 2017)","previouslyFormattedCitation":"(Chiappetta Jabbour et al., 2017)"},"properties":{"noteIndex":0},"schema":"https://github.com/citation-style-language/schema/raw/master/csl-citation.json"}</w:instrText>
      </w:r>
      <w:r w:rsidR="00D74DC0" w:rsidRPr="00FC04A3">
        <w:rPr>
          <w:lang w:val="en-GB" w:bidi="en-US"/>
        </w:rPr>
        <w:fldChar w:fldCharType="separate"/>
      </w:r>
      <w:r w:rsidR="00D74DC0" w:rsidRPr="00402AEC">
        <w:rPr>
          <w:noProof/>
          <w:lang w:val="en-GB" w:bidi="en-US"/>
        </w:rPr>
        <w:t>Chiappetta Jabbour et al. (2017)</w:t>
      </w:r>
      <w:r w:rsidR="00D74DC0" w:rsidRPr="00FC04A3">
        <w:rPr>
          <w:lang w:val="en-GB" w:bidi="en-US"/>
        </w:rPr>
        <w:fldChar w:fldCharType="end"/>
      </w:r>
      <w:r w:rsidR="00D74DC0" w:rsidRPr="00402AEC">
        <w:rPr>
          <w:lang w:val="en-GB" w:bidi="en-US"/>
        </w:rPr>
        <w:t xml:space="preserve"> start</w:t>
      </w:r>
      <w:r w:rsidR="00D74DC0">
        <w:rPr>
          <w:lang w:val="en-GB" w:bidi="en-US"/>
        </w:rPr>
        <w:t>ed</w:t>
      </w:r>
      <w:r w:rsidR="00D74DC0" w:rsidRPr="00402AEC">
        <w:rPr>
          <w:lang w:val="en-GB" w:bidi="en-US"/>
        </w:rPr>
        <w:t xml:space="preserve"> from the ReSOLVE framework to map the relation between CBMs and big data analysis.</w:t>
      </w:r>
    </w:p>
    <w:p w14:paraId="4CD2DE10" w14:textId="649AE8F4" w:rsidR="00125FD7" w:rsidRPr="00746DB3" w:rsidRDefault="00680B73">
      <w:pPr>
        <w:spacing w:after="240" w:line="360" w:lineRule="auto"/>
        <w:jc w:val="both"/>
        <w:rPr>
          <w:lang w:bidi="en-US"/>
        </w:rPr>
      </w:pPr>
      <w:r w:rsidRPr="00402AEC">
        <w:rPr>
          <w:lang w:val="en-GB" w:bidi="en-US"/>
        </w:rPr>
        <w:t>Considering the BMC-based classification methods</w:t>
      </w:r>
      <w:r>
        <w:rPr>
          <w:lang w:val="en-GB" w:bidi="en-US"/>
        </w:rPr>
        <w:t>,</w:t>
      </w:r>
      <w:r w:rsidRPr="00402AEC">
        <w:rPr>
          <w:lang w:val="en-GB" w:bidi="en-US"/>
        </w:rPr>
        <w:t xml:space="preserve"> papers try to modify the original BMC </w:t>
      </w:r>
      <w:r>
        <w:rPr>
          <w:lang w:val="en-GB" w:bidi="en-US"/>
        </w:rPr>
        <w:t>for</w:t>
      </w:r>
      <w:r w:rsidRPr="00402AEC">
        <w:rPr>
          <w:lang w:val="en-GB" w:bidi="en-US"/>
        </w:rPr>
        <w:t xml:space="preserve"> mak</w:t>
      </w:r>
      <w:r>
        <w:rPr>
          <w:lang w:val="en-GB" w:bidi="en-US"/>
        </w:rPr>
        <w:t>ing</w:t>
      </w:r>
      <w:r w:rsidRPr="00402AEC">
        <w:rPr>
          <w:lang w:val="en-GB" w:bidi="en-US"/>
        </w:rPr>
        <w:t xml:space="preserve"> it able to map CBMs</w:t>
      </w:r>
      <w:r>
        <w:rPr>
          <w:lang w:val="en-GB" w:bidi="en-US"/>
        </w:rPr>
        <w:t>,</w:t>
      </w:r>
      <w:r w:rsidRPr="00402AEC">
        <w:rPr>
          <w:lang w:val="en-GB" w:bidi="en-US"/>
        </w:rPr>
        <w:t xml:space="preserve"> not only linear</w:t>
      </w:r>
      <w:r w:rsidR="00F87AA4">
        <w:rPr>
          <w:lang w:val="en-GB" w:bidi="en-US"/>
        </w:rPr>
        <w:t xml:space="preserve"> ones</w:t>
      </w:r>
      <w:r w:rsidRPr="00402AEC">
        <w:rPr>
          <w:lang w:val="en-GB" w:bidi="en-US"/>
        </w:rPr>
        <w:t xml:space="preserve">. </w:t>
      </w:r>
      <w:r>
        <w:rPr>
          <w:lang w:val="en-GB" w:bidi="en-US"/>
        </w:rPr>
        <w:t>For example,</w:t>
      </w:r>
      <w:r w:rsidRPr="00402AEC">
        <w:rPr>
          <w:lang w:val="en-GB" w:bidi="en-US"/>
        </w:rPr>
        <w:t xml:space="preserve"> </w:t>
      </w:r>
      <w:r w:rsidRPr="009601F2">
        <w:rPr>
          <w:lang w:val="en-GB" w:bidi="en-US"/>
        </w:rPr>
        <w:fldChar w:fldCharType="begin" w:fldLock="1"/>
      </w:r>
      <w:r w:rsidR="00BF2F60">
        <w:rPr>
          <w:lang w:val="en-GB" w:bidi="en-US"/>
        </w:rPr>
        <w:instrText>ADDIN CSL_CITATION {"citationItems":[{"id":"ITEM-1","itemData":{"DOI":"http://timreview.ca/article/1000","ISBN":"9783737540599","ISSN":"1927-0321","PMID":"19270321","abstract":"The Technology Innovation Management Review (TIM Review) provides insights about the issues and emerging trends relevant to launching and growing technology businesses. The TIM Review focuses on the theories, strategies, and tools that help small and large technology companies succeed. Our readers are looking for practical ideas they can apply within their own organizations. The TIM Review brings together diverse viewpoints – from academics, entrepren- eurs, companies of all sizes, the public sector, the com- munity sector, and others – to bridge the gap between theory and practice. In particular, we focus on the topics of technology and global entrepreneurship in small and large companies. We welcome input from readers into upcoming themes. Please visit timreview.ca to suggest themes and nominate authors and guest editors","author":[{"dropping-particle":"","family":"Antikainen","given":"Maria","non-dropping-particle":"","parse-names":false,"suffix":""},{"dropping-particle":"","family":"Valkokari","given":"Katri","non-dropping-particle":"","parse-names":false,"suffix":""}],"container-title":"Technology Innovation Management Review","id":"ITEM-1","issue":"7","issued":{"date-parts":[["2016"]]},"page":"1-8","title":"A Framework for Sustainable Circular Business Model Innovation","type":"article-journal","volume":"5"},"uris":["http://www.mendeley.com/documents/?uuid=c007b8ef-d2f5-42f6-97ac-87df1e0dce74","http://www.mendeley.com/documents/?uuid=85f8f690-b9f9-4635-a98f-30e85521b5ba"]}],"mendeley":{"formattedCitation":"(Antikainen and Valkokari, 2016)","manualFormatting":"Antikainen and Valkokari (2016)","plainTextFormattedCitation":"(Antikainen and Valkokari, 2016)","previouslyFormattedCitation":"(Antikainen and Valkokari, 2016)"},"properties":{"noteIndex":0},"schema":"https://github.com/citation-style-language/schema/raw/master/csl-citation.json"}</w:instrText>
      </w:r>
      <w:r w:rsidRPr="009601F2">
        <w:rPr>
          <w:lang w:val="en-GB" w:bidi="en-US"/>
        </w:rPr>
        <w:fldChar w:fldCharType="separate"/>
      </w:r>
      <w:r w:rsidRPr="00402AEC">
        <w:rPr>
          <w:noProof/>
          <w:lang w:val="en-GB" w:bidi="en-US"/>
        </w:rPr>
        <w:t>Antikainen and Valkokari (2016)</w:t>
      </w:r>
      <w:r w:rsidRPr="009601F2">
        <w:rPr>
          <w:lang w:val="en-GB" w:bidi="en-US"/>
        </w:rPr>
        <w:fldChar w:fldCharType="end"/>
      </w:r>
      <w:r>
        <w:rPr>
          <w:lang w:val="en-GB" w:bidi="en-US"/>
        </w:rPr>
        <w:t xml:space="preserve"> </w:t>
      </w:r>
      <w:r w:rsidRPr="00402AEC">
        <w:rPr>
          <w:lang w:val="en-GB" w:bidi="en-US"/>
        </w:rPr>
        <w:t>add</w:t>
      </w:r>
      <w:r>
        <w:rPr>
          <w:lang w:val="en-GB" w:bidi="en-US"/>
        </w:rPr>
        <w:t>ed</w:t>
      </w:r>
      <w:r w:rsidRPr="00402AEC">
        <w:rPr>
          <w:lang w:val="en-GB" w:bidi="en-US"/>
        </w:rPr>
        <w:t xml:space="preserve"> two evaluation levels to the original BMC</w:t>
      </w:r>
      <w:r>
        <w:rPr>
          <w:lang w:val="en-GB" w:bidi="en-US"/>
        </w:rPr>
        <w:t>,</w:t>
      </w:r>
      <w:r w:rsidRPr="00402AEC">
        <w:rPr>
          <w:lang w:val="en-GB" w:bidi="en-US"/>
        </w:rPr>
        <w:t xml:space="preserve"> with the intent </w:t>
      </w:r>
      <w:r>
        <w:rPr>
          <w:lang w:val="en-GB" w:bidi="en-US"/>
        </w:rPr>
        <w:t>of</w:t>
      </w:r>
      <w:r w:rsidRPr="00402AEC">
        <w:rPr>
          <w:lang w:val="en-GB" w:bidi="en-US"/>
        </w:rPr>
        <w:t xml:space="preserve"> better map</w:t>
      </w:r>
      <w:r>
        <w:rPr>
          <w:lang w:val="en-GB" w:bidi="en-US"/>
        </w:rPr>
        <w:t>ping</w:t>
      </w:r>
      <w:r w:rsidRPr="00402AEC">
        <w:rPr>
          <w:lang w:val="en-GB" w:bidi="en-US"/>
        </w:rPr>
        <w:t xml:space="preserve"> the existing links between a reference company and all the actors involved in its supply chain.</w:t>
      </w:r>
      <w:r w:rsidR="008120C4" w:rsidRPr="008120C4">
        <w:rPr>
          <w:lang w:val="en-GB" w:bidi="en-US"/>
        </w:rPr>
        <w:t xml:space="preserve"> </w:t>
      </w:r>
      <w:r w:rsidR="008120C4" w:rsidRPr="009601F2">
        <w:rPr>
          <w:lang w:val="en-GB" w:bidi="en-US"/>
        </w:rPr>
        <w:fldChar w:fldCharType="begin" w:fldLock="1"/>
      </w:r>
      <w:r w:rsidR="00BF2F60">
        <w:rPr>
          <w:lang w:val="en-GB" w:bidi="en-US"/>
        </w:rPr>
        <w:instrText>ADDIN CSL_CITATION {"citationItems":[{"id":"ITEM-1","itemData":{"abstract":"Circular business models are foreseen to contribute to enabling prolonged lifetimes of products and components through successive cycles of reuse, repair, remanufacturing and closing material loops. To realize economic viability and resource efficiency savings from a circular business model, early consideration and integrated planning of the product lifecycle and value creation architectures at the relevant points in the lifecycle is pivotal. However, the current frameworks for business model design have not been designed to recognize the specific opportunity points of the product lifecycle to create and capture additional value from cycling resources. They do not acknowledge that it often takes distinct value creation architectures and value propositions to capitalize on the value creation potential. To attend to this gap, this paper develops a circular business model framework that is based on the current understanding of resource efficiency strategies and systematically integrates lifecycle value management with traditional business model design thinking. Through this, the developed framework is intended to serve as guidance for circular business model development to incorporate circular principles and to capitalize on additional value from cycling resources. To explore the usefulness of the framework developed from literature, a comparative case study design with two cases of Swedish companies operating circular business models is employed. The framework proved useful to map the companies' distinct value creation architectures that enable cycling of resources and to point to opportunity spaces for additional value creation. Suggestions for further refinement are made.","author":[{"dropping-particle":"","family":"Nußholz","given":"Julia L.K.","non-dropping-particle":"","parse-names":false,"suffix":""}],"container-title":"PLATE 2017 - Product Lifetimes And The Environment Conference","id":"ITEM-1","issued":{"date-parts":[["2017"]]},"page":"1-8","publisher":"TU Delft","publisher-place":"Delft","title":"Circular Business Model Framework : Mapping value creation architectures along the product lifecycle","type":"paper-conference"},"uris":["http://www.mendeley.com/documents/?uuid=0a032fa0-ddd9-4a7c-b291-0c8c729240c1","http://www.mendeley.com/documents/?uuid=c58895b3-dc21-4784-9ac0-18e51aadd930"]}],"mendeley":{"formattedCitation":"(Nußholz, 2017a)","manualFormatting":"Nussholz (2017a","plainTextFormattedCitation":"(Nußholz, 2017a)","previouslyFormattedCitation":"(Nußholz, 2017a)"},"properties":{"noteIndex":0},"schema":"https://github.com/citation-style-language/schema/raw/master/csl-citation.json"}</w:instrText>
      </w:r>
      <w:r w:rsidR="008120C4" w:rsidRPr="009601F2">
        <w:rPr>
          <w:lang w:val="en-GB" w:bidi="en-US"/>
        </w:rPr>
        <w:fldChar w:fldCharType="separate"/>
      </w:r>
      <w:r w:rsidR="008120C4" w:rsidRPr="00402AEC">
        <w:rPr>
          <w:noProof/>
          <w:lang w:val="en-GB" w:bidi="en-US"/>
        </w:rPr>
        <w:t>Nussholz (2017a</w:t>
      </w:r>
      <w:r w:rsidR="008120C4" w:rsidRPr="009601F2">
        <w:rPr>
          <w:lang w:val="en-GB" w:bidi="en-US"/>
        </w:rPr>
        <w:fldChar w:fldCharType="end"/>
      </w:r>
      <w:r w:rsidR="008120C4" w:rsidRPr="00402AEC">
        <w:rPr>
          <w:lang w:val="en-GB" w:bidi="en-US"/>
        </w:rPr>
        <w:t xml:space="preserve">, </w:t>
      </w:r>
      <w:r w:rsidR="008120C4" w:rsidRPr="009601F2">
        <w:rPr>
          <w:lang w:val="en-GB" w:bidi="en-US"/>
        </w:rPr>
        <w:fldChar w:fldCharType="begin" w:fldLock="1"/>
      </w:r>
      <w:r w:rsidR="003445CC">
        <w:rPr>
          <w:lang w:val="en-GB" w:bidi="en-US"/>
        </w:rPr>
        <w:instrText>ADDIN CSL_CITATION {"citationItems":[{"id":"ITEM-1","itemData":{"DOI":"10.3390/su9101810","ISBN":"2071-1050","ISSN":"20711050","abstract":"To aid companies in transitioning towards a circular economy and adopting strategies such as reuse, repair, and remanufacturing, the concept of circular business models has been developed. Although the concept draws on contributions from various academic disciplines, and despite its increasingly frequent use, few scholars clearly define what a circular business model is. Understanding about what makes a business model circular is diverse, hampering the theoretical development and practical application of circular business models. This study aims to help frame the field of circular business model research, by clarifying the fundamentals of the concept from the perspectives of resource efficiency and business model innovation. Expanding on these findings, a review of how the concept is used in recent academic literature is provided. It shows that a coherent view is lacking on which resource efficiency strategies classify a business model as circular. This study clarifies which resource efficiency strategies can be deemed as relevant key strategies for circular business models, and suggests a new definition of the concept. With the definition grounded in analysis of the fundamentals in terms of resource efficiency and business models, the study contributes to theoretical advancement and effective implementation of circular business models.","author":[{"dropping-particle":"","family":"Nußholz","given":"Julia L.K.","non-dropping-particle":"","parse-names":false,"suffix":""}],"container-title":"Sustainability (Switzerland)","id":"ITEM-1","issue":"1810","issued":{"date-parts":[["2017"]]},"page":"1-16","title":"Circular business models: Defining a concept and framing an emerging research field","type":"article-journal","volume":"9"},"uris":["http://www.mendeley.com/documents/?uuid=b379f52c-dbfa-4922-aac7-cfa9a56e3899","http://www.mendeley.com/documents/?uuid=dd3fe7f7-3c33-4f01-bfd8-d478021a18d1"]}],"mendeley":{"formattedCitation":"(Nußholz, 2017b)","manualFormatting":"2017b)","plainTextFormattedCitation":"(Nußholz, 2017b)","previouslyFormattedCitation":"(Nußholz, 2017b)"},"properties":{"noteIndex":0},"schema":"https://github.com/citation-style-language/schema/raw/master/csl-citation.json"}</w:instrText>
      </w:r>
      <w:r w:rsidR="008120C4" w:rsidRPr="009601F2">
        <w:rPr>
          <w:lang w:val="en-GB" w:bidi="en-US"/>
        </w:rPr>
        <w:fldChar w:fldCharType="separate"/>
      </w:r>
      <w:r w:rsidR="008120C4" w:rsidRPr="00402AEC">
        <w:rPr>
          <w:noProof/>
          <w:lang w:val="en-GB" w:bidi="en-US"/>
        </w:rPr>
        <w:t>2017b)</w:t>
      </w:r>
      <w:r w:rsidR="008120C4" w:rsidRPr="009601F2">
        <w:rPr>
          <w:lang w:val="en-GB" w:bidi="en-US"/>
        </w:rPr>
        <w:fldChar w:fldCharType="end"/>
      </w:r>
      <w:r w:rsidR="00125FD7">
        <w:rPr>
          <w:lang w:val="en-GB" w:bidi="en-US"/>
        </w:rPr>
        <w:t xml:space="preserve"> </w:t>
      </w:r>
      <w:r w:rsidR="00F14CCD" w:rsidRPr="00402AEC">
        <w:rPr>
          <w:lang w:val="en-GB" w:bidi="en-US"/>
        </w:rPr>
        <w:lastRenderedPageBreak/>
        <w:t>embed</w:t>
      </w:r>
      <w:r w:rsidR="00125FD7">
        <w:rPr>
          <w:lang w:val="en-GB" w:bidi="en-US"/>
        </w:rPr>
        <w:t>ded</w:t>
      </w:r>
      <w:r w:rsidR="00F14CCD" w:rsidRPr="00402AEC">
        <w:rPr>
          <w:lang w:val="en-GB" w:bidi="en-US"/>
        </w:rPr>
        <w:t xml:space="preserve"> in the original BMC a method </w:t>
      </w:r>
      <w:r w:rsidR="007A4589">
        <w:rPr>
          <w:lang w:val="en-GB" w:bidi="en-US"/>
        </w:rPr>
        <w:t>for</w:t>
      </w:r>
      <w:r w:rsidR="00F14CCD" w:rsidRPr="00402AEC">
        <w:rPr>
          <w:lang w:val="en-GB" w:bidi="en-US"/>
        </w:rPr>
        <w:t xml:space="preserve"> assess</w:t>
      </w:r>
      <w:r w:rsidR="007A4589">
        <w:rPr>
          <w:lang w:val="en-GB" w:bidi="en-US"/>
        </w:rPr>
        <w:t>ing</w:t>
      </w:r>
      <w:r w:rsidR="00F14CCD" w:rsidRPr="00402AEC">
        <w:rPr>
          <w:lang w:val="en-GB" w:bidi="en-US"/>
        </w:rPr>
        <w:t xml:space="preserve"> the added value coming from a cyclical exploitation of resources. </w:t>
      </w:r>
      <w:r w:rsidR="00CF5FD4" w:rsidRPr="009601F2">
        <w:rPr>
          <w:lang w:val="en-GB" w:bidi="en-US"/>
        </w:rPr>
        <w:fldChar w:fldCharType="begin" w:fldLock="1"/>
      </w:r>
      <w:r w:rsidR="003445CC">
        <w:rPr>
          <w:lang w:val="en-GB" w:bidi="en-US"/>
        </w:rPr>
        <w:instrText>ADDIN CSL_CITATION {"citationItems":[{"id":"ITEM-1","itemData":{"DOI":"10.3390/su8010043","ISBN":"2071-1050","ISSN":"20711050","abstract":"Switching from the current linear model of economy to a circular one has recently attracted increased attention from major global companies e.g., Google, Unilever, Renault, and policymakers attending the World Economic Forum. The reasons for this are the huge financial, social and environmental benefits. However, the global shift from one model of economy to another also concerns smaller companies on a micro-level. Thus, comprehensive knowledge on designing circular business models is needed to stimulate and foster implementation of the circular economy. Existing business models for the circular economy have limited transferability and there is no comprehensive framework supporting every kind of company in designing a circular business model. This study employs a literature review to identify and classify the circular economy characteristics according to a business model structure. The investigation in the eight sub-domains of research on circular business models was used to redefine the components of the business model canvas in the context of the circular economy. Two new components—the take-back system and adoption factors—have been identified, thereby leading to the conceptualization of an extended framework for the circular business model canvas. Additionally, the triple fit challenge has been recognized as an enabler of the transition towards a circular business model. Some directions for further research have been outlined, as well.","author":[{"dropping-particle":"","family":"Lewandowski","given":"Mateusz","non-dropping-particle":"","parse-names":false,"suffix":""}],"container-title":"Sustainability (Switzerland)","id":"ITEM-1","issue":"43","issued":{"date-parts":[["2016"]]},"page":"1-28","title":"Designing the business models for circular economy-towards the conceptual framework","type":"article-journal","volume":"8"},"uris":["http://www.mendeley.com/documents/?uuid=5657f18c-36e7-421d-8dd4-ad73737dc077","http://www.mendeley.com/documents/?uuid=4c49c559-b70a-401e-b9f2-5a1c0cbfd992"]}],"mendeley":{"formattedCitation":"(Lewandowski, 2016)","manualFormatting":"Lewandowski (2016)","plainTextFormattedCitation":"(Lewandowski, 2016)","previouslyFormattedCitation":"(Lewandowski, 2016)"},"properties":{"noteIndex":0},"schema":"https://github.com/citation-style-language/schema/raw/master/csl-citation.json"}</w:instrText>
      </w:r>
      <w:r w:rsidR="00CF5FD4" w:rsidRPr="009601F2">
        <w:rPr>
          <w:lang w:val="en-GB" w:bidi="en-US"/>
        </w:rPr>
        <w:fldChar w:fldCharType="separate"/>
      </w:r>
      <w:r w:rsidR="00CF5FD4" w:rsidRPr="00402AEC">
        <w:rPr>
          <w:noProof/>
          <w:lang w:val="en-GB" w:bidi="en-US"/>
        </w:rPr>
        <w:t>Lewandowski (2016)</w:t>
      </w:r>
      <w:r w:rsidR="00CF5FD4" w:rsidRPr="009601F2">
        <w:rPr>
          <w:lang w:val="en-GB" w:bidi="en-US"/>
        </w:rPr>
        <w:fldChar w:fldCharType="end"/>
      </w:r>
      <w:r w:rsidR="00CF5FD4" w:rsidRPr="00402AEC">
        <w:rPr>
          <w:lang w:val="en-GB" w:bidi="en-US"/>
        </w:rPr>
        <w:t xml:space="preserve"> add</w:t>
      </w:r>
      <w:r w:rsidR="00CF5FD4">
        <w:rPr>
          <w:lang w:val="en-GB" w:bidi="en-US"/>
        </w:rPr>
        <w:t>ed</w:t>
      </w:r>
      <w:r w:rsidR="00CF5FD4" w:rsidRPr="00402AEC">
        <w:rPr>
          <w:lang w:val="en-GB" w:bidi="en-US"/>
        </w:rPr>
        <w:t xml:space="preserve"> to the original BMC two dimensions</w:t>
      </w:r>
      <w:r w:rsidR="00CF5FD4">
        <w:rPr>
          <w:lang w:val="en-GB" w:bidi="en-US"/>
        </w:rPr>
        <w:t xml:space="preserve">, </w:t>
      </w:r>
      <w:r w:rsidR="00CF5FD4" w:rsidRPr="00402AEC">
        <w:rPr>
          <w:lang w:val="en-GB" w:bidi="en-US"/>
        </w:rPr>
        <w:t>trying to map CBMs with the same model.</w:t>
      </w:r>
      <w:r w:rsidR="00CF5FD4" w:rsidRPr="00CF5FD4">
        <w:rPr>
          <w:lang w:val="en-GB" w:bidi="en-US"/>
        </w:rPr>
        <w:t xml:space="preserve"> </w:t>
      </w:r>
      <w:r w:rsidR="00CF5FD4" w:rsidRPr="009601F2">
        <w:rPr>
          <w:lang w:val="en-GB" w:bidi="en-US"/>
        </w:rPr>
        <w:fldChar w:fldCharType="begin" w:fldLock="1"/>
      </w:r>
      <w:r w:rsidR="00BF2F60">
        <w:rPr>
          <w:lang w:val="en-GB" w:bidi="en-US"/>
        </w:rPr>
        <w:instrText>ADDIN CSL_CITATION {"citationItems":[{"id":"ITEM-1","itemData":{"DOI":"10.1515/vjbsd-2017-0003","ISSN":"1339-3367","abstract":"&lt;p&gt;The scope of the research is to find out how social entrepreneurship operations can be modelled within existing business methods using circular economy principles. A literature review was undertaken in order to clarify and find out different opinions regarding circularity and social businesses models. Moreover, the author interviewed managers of different social mission organizations in order to find out the critical factors that determine the sustainability and performances of the organizations. Using the results of the field and desk research, the author suggests the following business model elements to be considered by social enterprises aiming to implement circular economy principles: Desired social and environment vision; Value proposition; Alignment of organizations to the strategy and acceleration of change through executive leadership implication; Financial sustainable perspective: a) to increase financial resources and b) to manage costs; Stakeholders perspective: a) customers segments, b) users, c) employees, d) community beneficiaries, e) channels, f) customer relationships, g) Key partnerships; Internal process perspective: a) processes necessary to use circular economy principles; b) impact measurement and key activities; c) internal and external communication; Resources perspective: a) networks; b) skills on circular principles and social impact; c) information and technologies.`&lt;/p&gt;","author":[{"dropping-particle":"","family":"Stratan","given":"Dumitru","non-dropping-particle":"","parse-names":false,"suffix":""}],"container-title":"Visegrad Journal on Bioeconomy and Sustainable Development","id":"ITEM-1","issue":"1","issued":{"date-parts":[["2017"]]},"page":"17-23","title":"Success Factors of Sustainable Social Enterprises Through Circular Economy Perspective","type":"article-journal","volume":"6"},"uris":["http://www.mendeley.com/documents/?uuid=fd0306e0-b5bd-421a-9eb4-a956b4d80be4","http://www.mendeley.com/documents/?uuid=1672a14b-3c53-420b-9a18-bebb149d0322"]}],"mendeley":{"formattedCitation":"(Stratan, 2017)","manualFormatting":"Stratan (2017)","plainTextFormattedCitation":"(Stratan, 2017)","previouslyFormattedCitation":"(Stratan, 2017)"},"properties":{"noteIndex":0},"schema":"https://github.com/citation-style-language/schema/raw/master/csl-citation.json"}</w:instrText>
      </w:r>
      <w:r w:rsidR="00CF5FD4" w:rsidRPr="009601F2">
        <w:rPr>
          <w:lang w:val="en-GB" w:bidi="en-US"/>
        </w:rPr>
        <w:fldChar w:fldCharType="separate"/>
      </w:r>
      <w:r w:rsidR="00CF5FD4" w:rsidRPr="00402AEC">
        <w:rPr>
          <w:noProof/>
          <w:lang w:val="en-GB" w:bidi="en-US"/>
        </w:rPr>
        <w:t>Stratan (2017)</w:t>
      </w:r>
      <w:r w:rsidR="00CF5FD4" w:rsidRPr="009601F2">
        <w:rPr>
          <w:lang w:val="en-GB" w:bidi="en-US"/>
        </w:rPr>
        <w:fldChar w:fldCharType="end"/>
      </w:r>
      <w:r w:rsidR="00CF5FD4">
        <w:rPr>
          <w:lang w:val="en-GB" w:bidi="en-US"/>
        </w:rPr>
        <w:t xml:space="preserve"> followed a similar logic but focusing on </w:t>
      </w:r>
      <w:r w:rsidR="00CF5FD4" w:rsidRPr="00402AEC">
        <w:rPr>
          <w:lang w:val="en-GB" w:bidi="en-US"/>
        </w:rPr>
        <w:t xml:space="preserve">the social entrepreneurship side </w:t>
      </w:r>
      <w:r w:rsidR="00524006">
        <w:rPr>
          <w:lang w:val="en-GB" w:bidi="en-US"/>
        </w:rPr>
        <w:t>in order to</w:t>
      </w:r>
      <w:r w:rsidR="00CF5FD4" w:rsidRPr="00402AEC">
        <w:rPr>
          <w:lang w:val="en-GB" w:bidi="en-US"/>
        </w:rPr>
        <w:t xml:space="preserve"> asses</w:t>
      </w:r>
      <w:r w:rsidR="00524006">
        <w:rPr>
          <w:lang w:val="en-GB" w:bidi="en-US"/>
        </w:rPr>
        <w:t>s</w:t>
      </w:r>
      <w:r w:rsidR="00CF5FD4" w:rsidRPr="00402AEC">
        <w:rPr>
          <w:lang w:val="en-GB" w:bidi="en-US"/>
        </w:rPr>
        <w:t xml:space="preserve"> not-for-profit businesses</w:t>
      </w:r>
      <w:r w:rsidR="00CF5FD4">
        <w:rPr>
          <w:lang w:val="en-GB" w:bidi="en-US"/>
        </w:rPr>
        <w:t>.</w:t>
      </w:r>
      <w:r w:rsidR="00524006" w:rsidRPr="00524006">
        <w:rPr>
          <w:lang w:val="en-GB" w:bidi="en-US"/>
        </w:rPr>
        <w:t xml:space="preserve"> </w:t>
      </w:r>
      <w:r w:rsidR="00524006" w:rsidRPr="00FC04A3">
        <w:rPr>
          <w:lang w:val="en-GB" w:bidi="en-US"/>
        </w:rPr>
        <w:t>Finally,</w:t>
      </w:r>
      <w:r w:rsidR="00524006">
        <w:rPr>
          <w:lang w:val="en-GB" w:bidi="en-US"/>
        </w:rPr>
        <w:t xml:space="preserve"> </w:t>
      </w:r>
      <w:r w:rsidR="00015E78" w:rsidRPr="009601F2">
        <w:rPr>
          <w:lang w:val="en-GB" w:bidi="en-US"/>
        </w:rPr>
        <w:fldChar w:fldCharType="begin" w:fldLock="1"/>
      </w:r>
      <w:r w:rsidR="003445CC">
        <w:rPr>
          <w:lang w:val="en-GB" w:bidi="en-US"/>
        </w:rPr>
        <w:instrText>ADDIN CSL_CITATION {"citationItems":[{"id":"ITEM-1","itemData":{"DOI":"10.1016/j.jclepro.2017.09.047","ISSN":"09596526","abstract":"Circular Economy has undoubtedly become one of the hot topics in public debates about new and more sustainable industrial paradigms and strategies. In this respect, the fashion of Circular Economy is in the fact that it aims at overcoming the dominant linear take, make, disposal economy model, i.e. “a traditional open-ended economy model developed with no built-in tendency to recycle, which is reflected by treating the environment as a waste reservoir” (Su et al., 2013). Circular Economy, indeed, bases on the establishment of closed production systems, where resources are reused and kept in a loop of production and usage, allowing generating more value and for a longer period. Despite the interest for Circular Economy by politicians and practitioners, scholars, particularly in the strategic management field, are still struggling with a lack of a framework explaining how companies willing to become circular adapt their existing business model or create a new one. By extensively reviewing, through the lens of business model literature, the extant contributions on Circular Economy, we propose a taxonomy of Circular Economy Business Models based on the degree of adoption of circularity along two major dimensions: (i) the customer value proposition &amp; interface, i.e. the implementation of the circularity concept in proposing value to customers; (ii) the value network, i.e. the ways through which interacting with suppliers and reorganizing the own internal activitie</w:instrText>
      </w:r>
      <w:r w:rsidR="003445CC" w:rsidRPr="00746DB3">
        <w:rPr>
          <w:lang w:bidi="en-US"/>
        </w:rPr>
        <w:instrText>s. The taxonomy is then initially tested through some explorative case studies, showing in practice the ability of the framework to properly distinguish different modes of adoption of Circular Economy.","author":[{"dropping-particle":"","family":"Chiaroni","given":"Davide","non-dropping-particle":"","parse-names":false,"suffix":""},{"dropping-particle":"","family":"Urbinati","given":"Andrea","non-dropping-particle":"","parse-names":false,"suffix":""},{"dropping-particle":"","family":"Chiesa","given":"Vittorio","non-dropping-particle":"","parse-names":false,"suffix":""}],"container-title":"The XXVII edition of the Annual Scientific Meeting of the Italian Association of Management Engineering (AiIG), Higher Education and Socio-Economic Development","id":"ITEM-1","issued":{"date-parts":[["2016"]]},"page":"1-27","publisher":"AIIG","publisher-place":"Bergamo, Italy","title":"Circular Economy Business Models: towards a new taxonomy of the degree of circularity","type":"paper-conference"},"uris":["http://www.mendeley.com/documents/?uuid=4a74de4a-6000-4399-9452-6422c844bbbf","http://www.mendeley.com/documents/?uuid=6974aa35-4d6c-4c1f-b519-f9398d589916"]}],"mendeley":{"formattedCitation":"(Chiaroni et al., 2016)","manualFormatting":"Chiaroni et al. (2016)","plainTextFormattedCitation":"(Chiaroni et al., 2016)","previouslyFormattedCitation":"(Chiaroni et al., 2016)"},"properties":{"noteIndex":0},"schema":"https://github.com/citation-style-language/schema/raw/master/csl-citation.json"}</w:instrText>
      </w:r>
      <w:r w:rsidR="00015E78" w:rsidRPr="009601F2">
        <w:rPr>
          <w:lang w:val="en-GB" w:bidi="en-US"/>
        </w:rPr>
        <w:fldChar w:fldCharType="separate"/>
      </w:r>
      <w:r w:rsidR="00015E78" w:rsidRPr="00746DB3">
        <w:rPr>
          <w:noProof/>
          <w:lang w:bidi="en-US"/>
        </w:rPr>
        <w:t xml:space="preserve">Chiaroni et al. </w:t>
      </w:r>
      <w:r w:rsidR="00015E78" w:rsidRPr="000055EA">
        <w:rPr>
          <w:noProof/>
          <w:lang w:bidi="en-US"/>
        </w:rPr>
        <w:t>(2016)</w:t>
      </w:r>
      <w:r w:rsidR="00015E78" w:rsidRPr="009601F2">
        <w:rPr>
          <w:lang w:val="en-GB" w:bidi="en-US"/>
        </w:rPr>
        <w:fldChar w:fldCharType="end"/>
      </w:r>
      <w:r w:rsidR="00015E78" w:rsidRPr="000055EA">
        <w:rPr>
          <w:lang w:bidi="en-US"/>
        </w:rPr>
        <w:t xml:space="preserve"> and </w:t>
      </w:r>
      <w:r w:rsidR="00015E78" w:rsidRPr="009601F2">
        <w:rPr>
          <w:lang w:val="en-GB" w:bidi="en-US"/>
        </w:rPr>
        <w:fldChar w:fldCharType="begin" w:fldLock="1"/>
      </w:r>
      <w:r w:rsidR="00BF2F60">
        <w:rPr>
          <w:lang w:bidi="en-US"/>
        </w:rPr>
        <w:instrText>ADDIN CSL_CITATION {"citationItems":[{"id":"ITEM-1","itemData":{"DOI":"10.1016/j.jclepro.2017.09.047","ISSN":"09596526","abstract":"Circular Economy has undoubtedly become one of the hot topics in public debates about new and more sustainable industrial paradigms and strategies. In this respect, the fashion of Circular Economy is in the fact that it aims at overcoming the dominant linear take, make, disposal economy model, i.e. “a traditional open-ended economy model developed with no built-in tendency to recycle, which is reflected by treating the environment as a waste reservoir” (Su et al., 2013). Circular Economy, indeed, bases on the establishment of closed production systems, where resources are reused and kept in a loop of production and usage, allowing generating more value and for a longer period. Despite the interest for Circular Economy by politicians and practitioners, scholars, particularly in the strategic management field, are still struggling with a lack of a framework explaining how companies willing to become circular adapt their existing business model or create a new one. By extensively reviewing, through the lens of business model literature, the extant contributions on Circular Economy, we propose a taxonomy of Circular Economy Business Models based on the degree of adoption of circularity along two major dimensions: (i) the customer value proposition &amp; interface, i.e. the implementation of the circularity concept in proposing value to customers; (ii) the value network, i.e. the ways through which interacting with suppliers and reorganizing the own internal activities. The taxonomy is then initially tested through some explorative case studies, showing in practice the ability of the framework to properly distinguish different modes of adoption of Circular Economy.","author":[{"dropping-particle":"","family":"Urbinati","given":"Andrea","non-dropping-particle":"","parse-names":false,"suffix":""},{"dropping-particle":"","family":"Chiaroni","given":"Davide","non-dropping-particle":"","parse-names":false,"suffix":""},{"dropping-particle":"","family":"Chiesa","given":"Vittorio","non-dropping-particle":"","parse-names":false,"suffix":""}],"container-title":"Journal of Cleaner Production","id":"ITEM-1","issued":{"date-parts":[["2017"]]},"page":"487-498","publisher":"Elsevier Ltd","title":"Towards a new taxonomy of circular economy business models","type":"article-journal","volume":"168"},"uris":["http://www.mendeley.com/documents/?uuid=79339b9b-3274-46de-9a40-04c0412bf5bf","http://www.mendeley.com/documents/?uuid=ecb74adc-0843-4801-9508-39ee55517539"]}],"mendeley":{"formattedCitation":"(Urbinati et al., 2017)","manualFormatting":"Urbinati et al. (2017)","plainTextFormattedCitation":"(Urbinati et al., 2017)","previouslyFormattedCitation":"(Urbinati et al., 2017)"},"properties":{"noteIndex":0},"schema":"https://github.com/citation-style-language/schema/raw/master/csl-citation.json"}</w:instrText>
      </w:r>
      <w:r w:rsidR="00015E78" w:rsidRPr="009601F2">
        <w:rPr>
          <w:lang w:val="en-GB" w:bidi="en-US"/>
        </w:rPr>
        <w:fldChar w:fldCharType="separate"/>
      </w:r>
      <w:r w:rsidR="00015E78" w:rsidRPr="000055EA">
        <w:rPr>
          <w:noProof/>
          <w:lang w:bidi="en-US"/>
        </w:rPr>
        <w:t xml:space="preserve">Urbinati et al. </w:t>
      </w:r>
      <w:r w:rsidR="00015E78" w:rsidRPr="000560F6">
        <w:rPr>
          <w:noProof/>
          <w:lang w:bidi="en-US"/>
        </w:rPr>
        <w:t>(2017)</w:t>
      </w:r>
      <w:r w:rsidR="00015E78" w:rsidRPr="009601F2">
        <w:rPr>
          <w:lang w:val="en-GB" w:bidi="en-US"/>
        </w:rPr>
        <w:fldChar w:fldCharType="end"/>
      </w:r>
      <w:r w:rsidR="00015E78" w:rsidRPr="00746DB3">
        <w:rPr>
          <w:lang w:bidi="en-US"/>
        </w:rPr>
        <w:t xml:space="preserve"> focused on </w:t>
      </w:r>
      <w:r w:rsidR="00015E78" w:rsidRPr="000560F6">
        <w:rPr>
          <w:lang w:bidi="en-US"/>
        </w:rPr>
        <w:t>value proposition and relations with suppliers</w:t>
      </w:r>
      <w:r w:rsidR="00990187" w:rsidRPr="00746DB3">
        <w:rPr>
          <w:lang w:bidi="en-US"/>
        </w:rPr>
        <w:t>, defined as the most important KPIs to control when a CE strategy must be implemented.</w:t>
      </w:r>
    </w:p>
    <w:p w14:paraId="474CA0F2" w14:textId="4E35322B" w:rsidR="008A4DB1" w:rsidRDefault="00F14CCD">
      <w:pPr>
        <w:spacing w:after="240" w:line="360" w:lineRule="auto"/>
        <w:jc w:val="both"/>
        <w:rPr>
          <w:lang w:val="en-GB" w:bidi="en-US"/>
        </w:rPr>
      </w:pPr>
      <w:r w:rsidRPr="00402AEC">
        <w:rPr>
          <w:lang w:val="en-GB" w:bidi="en-US"/>
        </w:rPr>
        <w:t xml:space="preserve">Considering papers proposing hybrid models, some interesting perspectives are presented by the authors. </w:t>
      </w:r>
      <w:r w:rsidRPr="009601F2">
        <w:rPr>
          <w:lang w:val="en-GB" w:bidi="en-US"/>
        </w:rPr>
        <w:fldChar w:fldCharType="begin" w:fldLock="1"/>
      </w:r>
      <w:r w:rsidR="00BF2F60">
        <w:rPr>
          <w:lang w:val="en-GB" w:bidi="en-US"/>
        </w:rPr>
        <w:instrText>ADDIN CSL_CITATION {"citationItems":[{"id":"ITEM-1","itemData":{"author":[{"dropping-particle":"","family":"Nerurkar","given":"Olive","non-dropping-particle":"","parse-names":false,"suffix":""}],"container-title":"Indian Journal of Economics and Development","id":"ITEM-1","issue":"1","issued":{"date-parts":[["2017"]]},"page":"1-6","title":"A framework of sustainable business models","type":"article-journal","volume":"5"},"uris":["http://www.mendeley.com/documents/?uuid=c785aae8-7fa7-497a-95d8-ce5c6a41bd7b","http://www.mendeley.com/documents/?uuid=ef8a1a87-9140-4c50-aa04-44bd77b9275d"]}],"mendeley":{"formattedCitation":"(Nerurkar, 2017)","manualFormatting":"Nerurkar (2017)","plainTextFormattedCitation":"(Nerurkar, 2017)","previouslyFormattedCitation":"(Nerurkar, 2017)"},"properties":{"noteIndex":0},"schema":"https://github.com/citation-style-language/schema/raw/master/csl-citation.json"}</w:instrText>
      </w:r>
      <w:r w:rsidRPr="009601F2">
        <w:rPr>
          <w:lang w:val="en-GB" w:bidi="en-US"/>
        </w:rPr>
        <w:fldChar w:fldCharType="separate"/>
      </w:r>
      <w:r w:rsidRPr="00402AEC">
        <w:rPr>
          <w:noProof/>
          <w:lang w:val="en-GB" w:bidi="en-US"/>
        </w:rPr>
        <w:t>Nerurkar (2017)</w:t>
      </w:r>
      <w:r w:rsidRPr="009601F2">
        <w:rPr>
          <w:lang w:val="en-GB" w:bidi="en-US"/>
        </w:rPr>
        <w:fldChar w:fldCharType="end"/>
      </w:r>
      <w:r w:rsidRPr="00402AEC">
        <w:rPr>
          <w:lang w:val="en-GB" w:bidi="en-US"/>
        </w:rPr>
        <w:t xml:space="preserve"> classifie</w:t>
      </w:r>
      <w:r w:rsidR="00B52EEC">
        <w:rPr>
          <w:lang w:val="en-GB" w:bidi="en-US"/>
        </w:rPr>
        <w:t>d</w:t>
      </w:r>
      <w:r w:rsidRPr="00402AEC">
        <w:rPr>
          <w:lang w:val="en-GB" w:bidi="en-US"/>
        </w:rPr>
        <w:t xml:space="preserve"> sustainability impacts related with CBMs in four classe</w:t>
      </w:r>
      <w:r w:rsidR="0066651C">
        <w:rPr>
          <w:lang w:val="en-GB" w:bidi="en-US"/>
        </w:rPr>
        <w:t>s.</w:t>
      </w:r>
      <w:r w:rsidRPr="00402AEC">
        <w:rPr>
          <w:lang w:val="en-GB" w:bidi="en-US"/>
        </w:rPr>
        <w:t xml:space="preserve"> </w:t>
      </w:r>
      <w:r w:rsidRPr="009601F2">
        <w:rPr>
          <w:lang w:val="en-GB" w:bidi="en-US"/>
        </w:rPr>
        <w:fldChar w:fldCharType="begin" w:fldLock="1"/>
      </w:r>
      <w:r w:rsidR="003445CC">
        <w:rPr>
          <w:lang w:val="en-GB" w:bidi="en-US"/>
        </w:rPr>
        <w:instrText>ADDIN CSL_CITATION {"citationItems":[{"id":"ITEM-1","itemData":{"DOI":"10.1016/j.jclepro.2013.11.039","ISBN":"0959-6526","ISSN":"09596526","PMID":"85588060","abstract":"Eco-innovations, eco-efficiency and corporate social responsibility practices define much of the current industrial sustainability agenda. While important, they are insufficient in themselves to deliver the holistic changes necessary to achieve long-term social and environmental sustainability. How can we encourage corporate innovation that significantly changes the way companies operate to ensure greater sustainability? Sustainable business models (SBM) incorporate a triple bottom line approach and consider a wide range of stakeholder interests, including environment and society. They are important in driving and implementing corporate innovation for sustainability, can help embed sustainability into business purpose and processes, and serve as a key driver of competitive advantage. Many innovative approaches may contribute to delivering sustainability through business models, but have not been collated under a unifying theme of business model innovation. The literature and business practice review has identified a wide range of examples of mechanisms and solutions that can contribute to business model innovation for sustainability. The examples were collated and analysed to identify defining patterns and attributes that might facilitate categorisation. Sustainable business model archetypes are introduced to describe groupings of mechanisms and solutions that may contribute to building up the business model for sustainability. The aim of these archetypes is to develop a common language that can be used to accelerate the development of sustainable business models in research and practice. The archetypes are: Maximise material and energy efficiency; Create value from 'waste'; Substitute with renewables and natural processes; Deliver functionality rather than ownership; Adopt a stewardship role; Encourage sufficiency; Re-purpose the business for society/environment; and Develop scale-up solutions. © 2014 The Authors. Published by Elsevier Ltd. All rights reserved.","author":[{"dropping-particle":"","family":"Bocken","given":"Nancy M.P.","non-dropping-particle":"","parse-names":false,"suffix":""},{"dropping-particle":"","family":"Short","given":"Samuel W.","non-dropping-particle":"","parse-names":false,"suffix":""},{"dropping-particle":"","family":"Rana","given":"Padmakshi","non-dropping-particle":"","parse-names":false,"suffix":""},{"dropping-particle":"","family":"Evans","given":"Steve","non-dropping-particle":"","parse-names":false,"suffix":""}],"container-title":"Journal of Cleaner Production","id":"ITEM-1","issued":{"date-parts":[["2014"]]},"page":"42-56","publisher":"Elsevier Ltd","title":"A literature and practice review to develop sustainable business model archetypes","type":"article-journal","volume":"65"},"uris":["http://www.mendeley.com/documents/?uuid=82f53de2-bc6a-4c81-a31b-e10c611a6544"]}],"mendeley":{"formattedCitation":"(Bocken et al., 2014)","manualFormatting":"Bocken et al. (2014)","plainTextFormattedCitation":"(Bocken et al., 2014)","previouslyFormattedCitation":"(Bocken et al., 2014)"},"properties":{"noteIndex":0},"schema":"https://github.com/citation-style-language/schema/raw/master/csl-citation.json"}</w:instrText>
      </w:r>
      <w:r w:rsidRPr="009601F2">
        <w:rPr>
          <w:lang w:val="en-GB" w:bidi="en-US"/>
        </w:rPr>
        <w:fldChar w:fldCharType="separate"/>
      </w:r>
      <w:r w:rsidRPr="00402AEC">
        <w:rPr>
          <w:noProof/>
          <w:lang w:val="en-GB" w:bidi="en-US"/>
        </w:rPr>
        <w:t>Bocken et al. (2014)</w:t>
      </w:r>
      <w:r w:rsidRPr="009601F2">
        <w:rPr>
          <w:lang w:val="en-GB" w:bidi="en-US"/>
        </w:rPr>
        <w:fldChar w:fldCharType="end"/>
      </w:r>
      <w:r w:rsidRPr="00402AEC">
        <w:rPr>
          <w:lang w:val="en-GB" w:bidi="en-US"/>
        </w:rPr>
        <w:t xml:space="preserve"> propose</w:t>
      </w:r>
      <w:r w:rsidR="0066651C">
        <w:rPr>
          <w:lang w:val="en-GB" w:bidi="en-US"/>
        </w:rPr>
        <w:t>d</w:t>
      </w:r>
      <w:r w:rsidRPr="00402AEC">
        <w:rPr>
          <w:lang w:val="en-GB" w:bidi="en-US"/>
        </w:rPr>
        <w:t xml:space="preserve"> a set of CBM archetypes starting from circular product design principles. </w:t>
      </w:r>
      <w:r w:rsidRPr="009601F2">
        <w:rPr>
          <w:lang w:val="en-GB" w:bidi="en-US"/>
        </w:rPr>
        <w:fldChar w:fldCharType="begin" w:fldLock="1"/>
      </w:r>
      <w:r w:rsidR="00BF2F60">
        <w:rPr>
          <w:lang w:val="en-GB" w:bidi="en-US"/>
        </w:rPr>
        <w:instrText>ADDIN CSL_CITATION {"citationItems":[{"id":"ITEM-1","itemData":{"DOI":"10.13140/RG.2.2.36081.68969","author":[{"dropping-particle":"","family":"Lozano","given":"Rodrigo","non-dropping-particle":"","parse-names":false,"suffix":""},{"dropping-particle":"","family":"Witjes","given":"Sjors","non-dropping-particle":"","parse-names":false,"suffix":""},{"dropping-particle":"","family":"Geet","given":"Cuno","non-dropping-particle":"van","parse-names":false,"suffix":""},{"dropping-particle":"","family":"Willems","given":"Mandy","non-dropping-particle":"","parse-names":false,"suffix":""}],"id":"ITEM-1","issued":{"date-parts":[["2016"]]},"number-of-pages":"1-23","title":"Collaboration for Circular Economy : Linking sustainable public procurement and business models","type":"report"},"uris":["http://www.mendeley.com/documents/?uuid=75d7f8f9-d724-4ec1-af13-aa5efbed0e48","http://www.mendeley.com/documents/?uuid=ae81eedc-e573-417c-ba80-4173836cfffb"]}],"mendeley":{"formattedCitation":"(Lozano et al., 2016)","manualFormatting":"Lozano et al. (2016)","plainTextFormattedCitation":"(Lozano et al., 2016)","previouslyFormattedCitation":"(Lozano et al., 2016)"},"properties":{"noteIndex":0},"schema":"https://github.com/citation-style-language/schema/raw/master/csl-citation.json"}</w:instrText>
      </w:r>
      <w:r w:rsidRPr="009601F2">
        <w:rPr>
          <w:lang w:val="en-GB" w:bidi="en-US"/>
        </w:rPr>
        <w:fldChar w:fldCharType="separate"/>
      </w:r>
      <w:r w:rsidRPr="00402AEC">
        <w:rPr>
          <w:noProof/>
          <w:lang w:val="en-GB" w:bidi="en-US"/>
        </w:rPr>
        <w:t>Lozano et al. (2016)</w:t>
      </w:r>
      <w:r w:rsidRPr="009601F2">
        <w:rPr>
          <w:lang w:val="en-GB" w:bidi="en-US"/>
        </w:rPr>
        <w:fldChar w:fldCharType="end"/>
      </w:r>
      <w:r w:rsidRPr="00402AEC">
        <w:rPr>
          <w:lang w:val="en-GB" w:bidi="en-US"/>
        </w:rPr>
        <w:t xml:space="preserve"> and </w:t>
      </w:r>
      <w:r w:rsidRPr="009601F2">
        <w:rPr>
          <w:lang w:val="en-GB" w:bidi="en-US"/>
        </w:rPr>
        <w:fldChar w:fldCharType="begin" w:fldLock="1"/>
      </w:r>
      <w:r w:rsidR="00BF2F60">
        <w:rPr>
          <w:lang w:val="en-GB" w:bidi="en-US"/>
        </w:rPr>
        <w:instrText>ADDIN CSL_CITATION {"citationItems":[{"id":"ITEM-1","itemData":{"DOI":"10.1016/j.resconrec.2016.04.015","ISBN":"0921-3449","ISSN":"18790658","abstract":"Sustainability aims at addressing environmental and socio-economic issues in the long term. In general, the literature on sustainability has focused mainly on the environmental issues, whereas, more recently, a Circular Economy has been proposed as one of the latest concepts for addressing both the environmental and socio-economic issues. A Circular Economy aims at transforming waste into resources and on bridging production and consumption activities; however, there is still limited research focusing on these aspects. This paper addresses the link between procurement and supply practices, and proposes changing from a traditional public procurement process, based on product-selling business models, to a more service-oriented system. The paper proposes a framework to include technical and non-technical specifications of product/service combinations that improve resource usage efficiency through recovery. The framework also considers socio-cultural specifications and physical and social proximity between the stakeholders in the procurement process. The framework is based on collaboration, which is a vital link between the public procurement process and the development of more sustainable business models, where the experience gained in the collaboration process serves as the bases for suppliers and procurers in improving their contribution to CE, whilst at the same time securing economic benefits for both parties. Although, in this process, the specification setting may take longer, the relationships between procurer and supplier tend to be longer lasting and stronger. This research shows that collaboration between procurers and suppliers throughout the procurement process can lead to reductions in raw material utilisation and waste generation, whilst promoting the development of new, more sustainable, business models.","author":[{"dropping-particle":"","family":"Witjes","given":"Sjors","non-dropping-particle":"","parse-names":false,"suffix":""},{"dropping-particle":"","family":"Lozano","given":"Rodrigo","non-dropping-particle":"","parse-names":false,"suffix":""}],"container-title":"Resources, Conservation and Recycling","id":"ITEM-1","issued":{"date-parts":[["2016"]]},"page":"37-44","publisher":"Elsevier B.V.","title":"Towards a more Circular Economy: Proposing a framework linking sustainable public procurement and sustainable business models","type":"article-journal","volume":"112"},"uris":["http://www.mendeley.com/documents/?uuid=48f376a6-a9ca-4827-90bc-ee592752feaf","http://www.mendeley.com/documents/?uuid=92bb97b0-ed6f-4016-bd65-c96d761a8e1a"]}],"mendeley":{"formattedCitation":"(Witjes and Lozano, 2016)","manualFormatting":"Witjes and Lozano (2016)","plainTextFormattedCitation":"(Witjes and Lozano, 2016)","previouslyFormattedCitation":"(Witjes and Lozano, 2016)"},"properties":{"noteIndex":0},"schema":"https://github.com/citation-style-language/schema/raw/master/csl-citation.json"}</w:instrText>
      </w:r>
      <w:r w:rsidRPr="009601F2">
        <w:rPr>
          <w:lang w:val="en-GB" w:bidi="en-US"/>
        </w:rPr>
        <w:fldChar w:fldCharType="separate"/>
      </w:r>
      <w:r w:rsidRPr="00402AEC">
        <w:rPr>
          <w:noProof/>
          <w:lang w:val="en-GB" w:bidi="en-US"/>
        </w:rPr>
        <w:t>Witjes and Lozano (2016)</w:t>
      </w:r>
      <w:r w:rsidRPr="009601F2">
        <w:rPr>
          <w:lang w:val="en-GB" w:bidi="en-US"/>
        </w:rPr>
        <w:fldChar w:fldCharType="end"/>
      </w:r>
      <w:r w:rsidRPr="00402AEC">
        <w:rPr>
          <w:lang w:val="en-GB" w:bidi="en-US"/>
        </w:rPr>
        <w:t xml:space="preserve"> identif</w:t>
      </w:r>
      <w:r w:rsidR="0066651C">
        <w:rPr>
          <w:lang w:val="en-GB" w:bidi="en-US"/>
        </w:rPr>
        <w:t>ied</w:t>
      </w:r>
      <w:r w:rsidRPr="00402AEC">
        <w:rPr>
          <w:lang w:val="en-GB" w:bidi="en-US"/>
        </w:rPr>
        <w:t xml:space="preserve"> the relation between public and private sectors for develop</w:t>
      </w:r>
      <w:r w:rsidR="00C73735">
        <w:rPr>
          <w:lang w:val="en-GB" w:bidi="en-US"/>
        </w:rPr>
        <w:t>ing</w:t>
      </w:r>
      <w:r w:rsidRPr="00402AEC">
        <w:rPr>
          <w:lang w:val="en-GB" w:bidi="en-US"/>
        </w:rPr>
        <w:t xml:space="preserve"> CE strategies. </w:t>
      </w:r>
      <w:r w:rsidRPr="009601F2">
        <w:rPr>
          <w:lang w:val="en-GB" w:bidi="en-US"/>
        </w:rPr>
        <w:fldChar w:fldCharType="begin" w:fldLock="1"/>
      </w:r>
      <w:r w:rsidR="003445CC">
        <w:rPr>
          <w:lang w:val="en-GB" w:bidi="en-US"/>
        </w:rPr>
        <w:instrText>ADDIN CSL_CITATION {"citationItems":[{"id":"ITEM-1","itemData":{"DOI":"10.1016/j.cirp.2017.05.001","ISSN":"17260604","abstract":"In the recent years, increasing attention has been posed towards enhancing the sustainability of manufacturing processes by reducing the consumption of resources and key materials, the energy consumption and the environmental footprint, while also increasing companies’ competitiveness in global market contexts. De- and remanufacturing includes the set of technologies/systems, tools and knowledge-based methods to recover and reuse functions and materials from industrial waste and post-consumer products, under a Circular Economy perspective. This new paradigm can potentially support the sustainability challenges in strategic manufacturing sectors, such as aeronautics, automotive, electronics, consumer goods, and mechatronics. A new generation of smart de- and remanufacturing systems showing higher levels of automation, flexibility and adaptability to changing material mixtures and values is emerging and there is a need for systematizing the existing approaches to support their operations. Such innovative de- and remanufacturing system design, management and control approaches as well as advanced technological enablers have a key role to support the Circular Economy paradigm. This paper revises system level problems, methods and tools to support this paradigm and highlights the main challenges and opportunities towards a new generation of advanced de- and remanufacturing systems.","author":[{"dropping-particle":"","family":"Tolio","given":"Tullio","non-dropping-particle":"","parse-names":false,"suffix":""},{"dropping-particle":"","family":"Bernard","given":"Alain","non-dropping-particle":"","parse-names":false,"suffix":""},{"dropping-particle":"","family":"Colledani","given":"Marcello","non-dropping-particle":"","parse-names":false,"suffix":""},{"dropping-particle":"","family":"Kara","given":"Sami","non-dropping-particle":"","parse-names":false,"suffix":""},{"dropping-particle":"","family":"Seliger","given":"Günther","non-dropping-particle":"","parse-names":false,"suffix":""},{"dropping-particle":"","family":"Duflou","given":"Joost R.","non-dropping-particle":"","parse-names":false,"suffix":""},{"dropping-particle":"","family":"Battaia","given":"Olga","non-dropping-particle":"","parse-names":false,"suffix":""},{"dropping-particle":"","family":"Takata","given":"Shozo","non-dropping-particle":"","parse-names":false,"suffix":""}],"container-title":"CIRP Annals - Manufacturing Technology","id":"ITEM-1","issue":"2","issued":{"date-parts":[["2017"]]},"page":"585-609","title":"Design, management and control of demanufacturing and remanufacturing systems","type":"article-journal","volume":"66"},"uris":["http://www.mendeley.com/documents/?uuid=cb739884-e74d-449c-a77b-376e28fce5da"]}],"mendeley":{"formattedCitation":"(Tolio et al., 2017)","manualFormatting":"Tolio et al. (2017)","plainTextFormattedCitation":"(Tolio et al., 2017)","previouslyFormattedCitation":"(Tolio et al., 2017)"},"properties":{"noteIndex":0},"schema":"https://github.com/citation-style-language/schema/raw/master/csl-citation.json"}</w:instrText>
      </w:r>
      <w:r w:rsidRPr="009601F2">
        <w:rPr>
          <w:lang w:val="en-GB" w:bidi="en-US"/>
        </w:rPr>
        <w:fldChar w:fldCharType="separate"/>
      </w:r>
      <w:r w:rsidRPr="00402AEC">
        <w:rPr>
          <w:noProof/>
          <w:lang w:val="en-GB" w:bidi="en-US"/>
        </w:rPr>
        <w:t>Tolio et al. (2017)</w:t>
      </w:r>
      <w:r w:rsidRPr="009601F2">
        <w:rPr>
          <w:lang w:val="en-GB" w:bidi="en-US"/>
        </w:rPr>
        <w:fldChar w:fldCharType="end"/>
      </w:r>
      <w:r w:rsidRPr="00402AEC">
        <w:rPr>
          <w:lang w:val="en-GB" w:bidi="en-US"/>
        </w:rPr>
        <w:t xml:space="preserve"> focus</w:t>
      </w:r>
      <w:r w:rsidR="00C73735">
        <w:rPr>
          <w:lang w:val="en-GB" w:bidi="en-US"/>
        </w:rPr>
        <w:t>ed</w:t>
      </w:r>
      <w:r w:rsidRPr="00402AEC">
        <w:rPr>
          <w:lang w:val="en-GB" w:bidi="en-US"/>
        </w:rPr>
        <w:t xml:space="preserve"> on the operational issues related with CBM implementation strategies and information exchange among actors involved in circular value chains. </w:t>
      </w:r>
      <w:r w:rsidRPr="009601F2">
        <w:rPr>
          <w:lang w:val="en-GB" w:bidi="en-US"/>
        </w:rPr>
        <w:fldChar w:fldCharType="begin" w:fldLock="1"/>
      </w:r>
      <w:r w:rsidR="00BF2F60">
        <w:rPr>
          <w:lang w:val="en-GB" w:bidi="en-US"/>
        </w:rPr>
        <w:instrText>ADDIN CSL_CITATION {"citationItems":[{"id":"ITEM-1","itemData":{"DOI":"10.1016/j.jclepro.2017.12.168","ISSN":"09596526","abstract":"The service sector has the potential to play an instrumental role in the shift towards circular economy due to its strategic position between manufacturers and end-users. However, there is a paucity of supporting methodologies and real-life applications to demonstrate how service-oriented companies can implement circular economy principles in daily business practice. This paper addresses this gap by analysing the potential of service-oriented companies in the information and communication technology (ICT) sector to build and implement circular economy business models. To this end, the Backcasting and Eco-design for the Circular Economy (BECE) framework is applied in an ICT firm. BECE, previously developed and demonstrated for product-oriented applications, has been developed further here for applications in the service sector. By shifting the focus from a product-oriented approach to a user-centred eco-design, the paper shows how ICT firms can identify, evaluate and prioritise sustainable business model innovations for circular economy. The two most promising business model innovations are explored strategically with the aim of designing circular economy models consistent with the company's priorities of customer satisfaction and profitability. The findings suggest that ICT companies may be able to support the deployment of a circular economy in the service-oriented technology sector. Importantly, micro and small organisations can play a fundamental role if provided with macro-level support to overcome company-level barriers. Finally, the BECE framework is shown to be a valuable resource to explore, analyse and guide the implementation of circular economy opportunities in service-oriented organisations. Further research to verify the application of the findings to other service-oriented organisations is recommended.","author":[{"dropping-particle":"","family":"Heyes","given":"Graeme","non-dropping-particle":"","parse-names":false,"suffix":""},{"dropping-particle":"","family":"Sharmina","given":"Maria","non-dropping-particle":"","parse-names":false,"suffix":""},{"dropping-particle":"","family":"Mendoza","given":"Joan Manuel F.","non-dropping-particle":"","parse-names":false,"suffix":""},{"dropping-particle":"","family":"Gallego-Schmid","given":"Alejandro","non-dropping-particle":"","parse-names":false,"suffix":""},{"dropping-particle":"","family":"Azapagic","given":"Adisa","non-dropping-particle":"","parse-names":false,"suffix":""}],"container-title":"Journal of Cleaner Production","id":"ITEM-1","issued":{"date-parts":[["2018"]]},"page":"621-632","publisher":"Elsevier Ltd","title":"Developing and implementing circular economy business models in service-oriented technology companies","type":"article-journal","volume":"177"},"uris":["http://www.mendeley.com/documents/?uuid=79e6a446-0e86-464e-a84a-cc7b3cb7ee59","http://www.mendeley.com/documents/?uuid=db69e611-6e02-411e-984b-f13c5121d645"]}],"mendeley":{"formattedCitation":"(Heyes et al., 2018)","manualFormatting":"Heyes et al. (2018)","plainTextFormattedCitation":"(Heyes et al., 2018)","previouslyFormattedCitation":"(Heyes et al., 2018)"},"properties":{"noteIndex":0},"schema":"https://github.com/citation-style-language/schema/raw/master/csl-citation.json"}</w:instrText>
      </w:r>
      <w:r w:rsidRPr="009601F2">
        <w:rPr>
          <w:lang w:val="en-GB" w:bidi="en-US"/>
        </w:rPr>
        <w:fldChar w:fldCharType="separate"/>
      </w:r>
      <w:r w:rsidRPr="00402AEC">
        <w:rPr>
          <w:noProof/>
          <w:lang w:val="en-GB" w:bidi="en-US"/>
        </w:rPr>
        <w:t>Heyes et al. (2018)</w:t>
      </w:r>
      <w:r w:rsidRPr="009601F2">
        <w:rPr>
          <w:lang w:val="en-GB" w:bidi="en-US"/>
        </w:rPr>
        <w:fldChar w:fldCharType="end"/>
      </w:r>
      <w:r w:rsidRPr="00402AEC">
        <w:rPr>
          <w:lang w:val="en-GB" w:bidi="en-US"/>
        </w:rPr>
        <w:t xml:space="preserve"> put together BMC and ReSOLVE trying to map service-oriented companies. </w:t>
      </w:r>
      <w:r w:rsidRPr="009601F2">
        <w:rPr>
          <w:lang w:val="en-GB" w:bidi="en-US"/>
        </w:rPr>
        <w:fldChar w:fldCharType="begin" w:fldLock="1"/>
      </w:r>
      <w:r w:rsidR="00BF2F60">
        <w:rPr>
          <w:lang w:val="en-GB" w:bidi="en-US"/>
        </w:rPr>
        <w:instrText>ADDIN CSL_CITATION {"citationItems":[{"id":"ITEM-1","itemData":{"DOI":"10.1016/j.jclepro.2017.12.078","ISSN":"09596526","abstract":"This paper addresses sustainable business models (SBMs), as an attempt to systematically integrate corporate sustainability principles (including economic, environmental and social goals; multi-stakeholder perspective and long-term outlook) into core business. However, understanding the mechanisms for this systematic integration is still challenging, given complexities of sustainable development. Therefore, SBM concept risks that, by trying to include everything, it may end up losing meaning and connection to practical solutions. To do so, we employ a multi-method approach encompassing a systematic literature review to ensure conceptual basis for the proposed framework and thirteen qualitative interviews with practitioners for face validation of the tool. This paper proposes the Sustainable Value Exchange Matrix, a visual framework to help academics and practitioners discuss sustainable business models, based on solid theory analysis and practice-oriented application. The tool proposed provokes reflections about organization's reason of existence and deployment of this purpose into the business model dimensions from a multi-stakeholder and from a value exchange perspective.","author":[{"dropping-particle":"","family":"Morioka","given":"Sandra Naomi","non-dropping-particle":"","parse-names":false,"suffix":""},{"dropping-particle":"","family":"Bolis","given":"Ivan","non-dropping-particle":"","parse-names":false,"suffix":""},{"dropping-particle":"","family":"Monteiro de Carvalho","given":"Marly","non-dropping-particle":"","parse-names":false,"suffix":""}],"container-title":"Journal of Cleaner Production","id":"ITEM-1","issued":{"date-parts":[["2018"]]},"page":"76-88","publisher":"Elsevier Ltd","title":"From an ideal dream towards reality analysis: Proposing Sustainable Value Exchange Matrix (SVEM) from systematic literature review on sustainable business models and face validation","type":"article-journal","volume":"178"},"uris":["http://www.mendeley.com/documents/?uuid=a1c5ca1a-ebd9-4934-a3ea-27f46f0ca95b","http://www.mendeley.com/documents/?uuid=48a5eae8-e57b-4cbd-81be-80f00b4c8d08"]}],"mendeley":{"formattedCitation":"(Morioka et al., 2018)","manualFormatting":"Morioka et al. (2018)","plainTextFormattedCitation":"(Morioka et al., 2018)","previouslyFormattedCitation":"(Morioka et al., 2018)"},"properties":{"noteIndex":0},"schema":"https://github.com/citation-style-language/schema/raw/master/csl-citation.json"}</w:instrText>
      </w:r>
      <w:r w:rsidRPr="009601F2">
        <w:rPr>
          <w:lang w:val="en-GB" w:bidi="en-US"/>
        </w:rPr>
        <w:fldChar w:fldCharType="separate"/>
      </w:r>
      <w:r w:rsidRPr="00402AEC">
        <w:rPr>
          <w:noProof/>
          <w:lang w:val="en-GB" w:bidi="en-US"/>
        </w:rPr>
        <w:t>Morioka et al. (2018)</w:t>
      </w:r>
      <w:r w:rsidRPr="009601F2">
        <w:rPr>
          <w:lang w:val="en-GB" w:bidi="en-US"/>
        </w:rPr>
        <w:fldChar w:fldCharType="end"/>
      </w:r>
      <w:r w:rsidRPr="00402AEC">
        <w:rPr>
          <w:lang w:val="en-GB" w:bidi="en-US"/>
        </w:rPr>
        <w:t xml:space="preserve"> d</w:t>
      </w:r>
      <w:r w:rsidR="0009341C">
        <w:rPr>
          <w:lang w:val="en-GB" w:bidi="en-US"/>
        </w:rPr>
        <w:t>id</w:t>
      </w:r>
      <w:r w:rsidRPr="00402AEC">
        <w:rPr>
          <w:lang w:val="en-GB" w:bidi="en-US"/>
        </w:rPr>
        <w:t xml:space="preserve"> a similar thing, but for assessing an entire BM through a Sustainable Value Exchange Matrix (SVEM). </w:t>
      </w:r>
      <w:r w:rsidRPr="009601F2">
        <w:rPr>
          <w:lang w:val="en-GB" w:bidi="en-US"/>
        </w:rPr>
        <w:fldChar w:fldCharType="begin" w:fldLock="1"/>
      </w:r>
      <w:r w:rsidR="00BF2F60">
        <w:rPr>
          <w:lang w:val="en-GB" w:bidi="en-US"/>
        </w:rPr>
        <w:instrText>ADDIN CSL_CITATION {"citationItems":[{"id":"ITEM-1","itemData":{"abstract":"A circular economy often implies integrating sustainability in innovation practices. Because of the growing complexity of sustainability aspects, collaboration between business chains, governments and NGO's is of crucial importance. The need for aligning innovation efforts with other partners changes and raises the follow question: how can SMEs identify and manage stakeholder collaboration, with a respect to social and ecological impact within an economic context (sustainable value creation)? Based on the Balance Score Card approach, we used the perspectives 'strategic ambition' (process), 'momentum' (learning&amp;growth), 'value network' (stakeholders) and 'governance' (financial) as framework in our working method. We present an extensive overview of aspects that organizations have to think about with when changing the system from a linear way of doing business to a circular system, which allows SMEs to make an educated choice about collaborating in a value network. We use illustration from our case study 'from roadside-grass to innovative packaging'.","author":[{"dropping-particle":"","family":"Janssen","given":"Karen L.","non-dropping-particle":"","parse-names":false,"suffix":""},{"dropping-particle":"","family":"Stel","given":"Frans","non-dropping-particle":"","parse-names":false,"suffix":""}],"container-title":"The XXVIII ISPIM Innovation Conference","id":"ITEM-1","issued":{"date-parts":[["2017"]]},"page":"1-17","publisher-place":"Vienna","title":"Orchestrating partnerships in a circular economy - a working method for SMEs","type":"paper-conference"},"uris":["http://www.mendeley.com/documents/?uuid=67027456-d902-47d4-8352-f610993bc862","http://www.mendeley.com/documents/?uuid=e4866cfa-0fa9-45a1-8c92-0f2abd663a76"]}],"mendeley":{"formattedCitation":"(Janssen and Stel, 2017)","manualFormatting":"Janssen and Stel (2017)","plainTextFormattedCitation":"(Janssen and Stel, 2017)","previouslyFormattedCitation":"(Janssen and Stel, 2017)"},"properties":{"noteIndex":0},"schema":"https://github.com/citation-style-language/schema/raw/master/csl-citation.json"}</w:instrText>
      </w:r>
      <w:r w:rsidRPr="009601F2">
        <w:rPr>
          <w:lang w:val="en-GB" w:bidi="en-US"/>
        </w:rPr>
        <w:fldChar w:fldCharType="separate"/>
      </w:r>
      <w:r w:rsidRPr="00402AEC">
        <w:rPr>
          <w:noProof/>
          <w:lang w:val="en-GB" w:bidi="en-US"/>
        </w:rPr>
        <w:t>Janssen and Stel (2017)</w:t>
      </w:r>
      <w:r w:rsidRPr="009601F2">
        <w:rPr>
          <w:lang w:val="en-GB" w:bidi="en-US"/>
        </w:rPr>
        <w:fldChar w:fldCharType="end"/>
      </w:r>
      <w:r w:rsidRPr="00402AEC">
        <w:rPr>
          <w:lang w:val="en-GB" w:bidi="en-US"/>
        </w:rPr>
        <w:t xml:space="preserve"> map</w:t>
      </w:r>
      <w:r w:rsidR="0009341C">
        <w:rPr>
          <w:lang w:val="en-GB" w:bidi="en-US"/>
        </w:rPr>
        <w:t>ped</w:t>
      </w:r>
      <w:r w:rsidRPr="00402AEC">
        <w:rPr>
          <w:lang w:val="en-GB" w:bidi="en-US"/>
        </w:rPr>
        <w:t xml:space="preserve"> the sustainability of the value proposition through a redefinition of the Balanced Score Card (BSC)</w:t>
      </w:r>
      <w:r w:rsidR="00936434">
        <w:rPr>
          <w:lang w:val="en-GB" w:bidi="en-US"/>
        </w:rPr>
        <w:t xml:space="preserve"> concept</w:t>
      </w:r>
      <w:r w:rsidRPr="00402AEC">
        <w:rPr>
          <w:lang w:val="en-GB" w:bidi="en-US"/>
        </w:rPr>
        <w:t xml:space="preserve">. </w:t>
      </w:r>
      <w:r w:rsidRPr="00FC04A3">
        <w:rPr>
          <w:lang w:val="en-GB" w:bidi="en-US"/>
        </w:rPr>
        <w:fldChar w:fldCharType="begin" w:fldLock="1"/>
      </w:r>
      <w:r w:rsidR="003445CC">
        <w:rPr>
          <w:lang w:val="en-GB" w:bidi="en-US"/>
        </w:rPr>
        <w:instrText>ADDIN CSL_CITATION {"citationItems":[{"id":"ITEM-1","itemData":{"DOI":"10.1080/21681015.2016.1172124","ISBN":"10.1080/21681015.2016.1172124","ISSN":"21681023","abstract":"The transition within business from a linear to a circular economy brings with it a range of practical challenges for companies. The following question is addressed: What are the product design and business model strategies for companies that want to move to a circular economy model? This paper develops a framework of strategies to guide designers and business strategists in the move from a linear to a circular economy. Building on Stahel, the terminology of slowing, closing, and narrowing resource loops is introduced. A list of product design strategies, business model strategies, and examples for key decision-makers in businesses is introduced, to facilitate the move to a circular economy. This framework also opens up a future research agenda for the circular economy.","author":[{"dropping-particle":"","family":"Bocken","given":"Nancy M.P.","non-dropping-particle":"","parse-names":false,"suffix":""},{"dropping-particle":"","family":"Pauw","given":"Ingrid","non-dropping-particle":"de","parse-names":false,"suffix":""},{"dropping-particle":"","family":"Bakker","given":"Conny A.","non-dropping-particle":"","parse-names":false,"suffix":""},{"dropping-particle":"","family":"Grinten","given":"Bram","non-dropping-particle":"van der","parse-names":false,"suffix":""}],"container-title":"Journal of Industrial and Production Engineering","id":"ITEM-1","issue":"5","issued":{"date-parts":[["2016"]]},"page":"308-320","publisher":"Taylor &amp; Francis","title":"Product design and business model strategies for a circular economy","type":"article-journal","volume":"33"},"uris":["http://www.mendeley.com/documents/?uuid=ef2c2b2e-1e94-4d10-b966-511148dc0d31"]}],"mendeley":{"formattedCitation":"(Bocken et al., 2016a)","manualFormatting":"Bocken et al. (2016a)","plainTextFormattedCitation":"(Bocken et al., 2016a)","previouslyFormattedCitation":"(Bocken et al., 2016a)"},"properties":{"noteIndex":0},"schema":"https://github.com/citation-style-language/schema/raw/master/csl-citation.json"}</w:instrText>
      </w:r>
      <w:r w:rsidRPr="00FC04A3">
        <w:rPr>
          <w:lang w:val="en-GB" w:bidi="en-US"/>
        </w:rPr>
        <w:fldChar w:fldCharType="separate"/>
      </w:r>
      <w:r w:rsidRPr="00402AEC">
        <w:rPr>
          <w:noProof/>
          <w:lang w:val="en-GB" w:bidi="en-US"/>
        </w:rPr>
        <w:t>Bocken et al. (2016a)</w:t>
      </w:r>
      <w:r w:rsidRPr="00FC04A3">
        <w:rPr>
          <w:lang w:val="en-GB" w:bidi="en-US"/>
        </w:rPr>
        <w:fldChar w:fldCharType="end"/>
      </w:r>
      <w:r w:rsidRPr="00402AEC">
        <w:rPr>
          <w:lang w:val="en-GB" w:bidi="en-US"/>
        </w:rPr>
        <w:t xml:space="preserve"> tr</w:t>
      </w:r>
      <w:r w:rsidR="00936434">
        <w:rPr>
          <w:lang w:val="en-GB" w:bidi="en-US"/>
        </w:rPr>
        <w:t>ied</w:t>
      </w:r>
      <w:r w:rsidRPr="00402AEC">
        <w:rPr>
          <w:lang w:val="en-GB" w:bidi="en-US"/>
        </w:rPr>
        <w:t xml:space="preserve"> to classify CBMs basing on the concept of resource flows</w:t>
      </w:r>
      <w:r w:rsidR="002E3E7F">
        <w:rPr>
          <w:lang w:val="en-GB" w:bidi="en-US"/>
        </w:rPr>
        <w:t xml:space="preserve"> and</w:t>
      </w:r>
      <w:r w:rsidRPr="00402AEC">
        <w:rPr>
          <w:lang w:val="en-GB" w:bidi="en-US"/>
        </w:rPr>
        <w:t xml:space="preserve"> classif</w:t>
      </w:r>
      <w:r w:rsidR="002E3E7F">
        <w:rPr>
          <w:lang w:val="en-GB" w:bidi="en-US"/>
        </w:rPr>
        <w:t>ying</w:t>
      </w:r>
      <w:r w:rsidRPr="00402AEC">
        <w:rPr>
          <w:lang w:val="en-GB" w:bidi="en-US"/>
        </w:rPr>
        <w:t xml:space="preserve"> </w:t>
      </w:r>
      <w:r w:rsidR="002E3E7F">
        <w:rPr>
          <w:lang w:val="en-GB" w:bidi="en-US"/>
        </w:rPr>
        <w:t xml:space="preserve">them </w:t>
      </w:r>
      <w:r w:rsidRPr="00402AEC">
        <w:rPr>
          <w:lang w:val="en-GB" w:bidi="en-US"/>
        </w:rPr>
        <w:t xml:space="preserve">into three groups. </w:t>
      </w:r>
      <w:r w:rsidRPr="009601F2">
        <w:rPr>
          <w:lang w:val="en-GB" w:bidi="en-US"/>
        </w:rPr>
        <w:fldChar w:fldCharType="begin" w:fldLock="1"/>
      </w:r>
      <w:r w:rsidR="00BF2F60">
        <w:rPr>
          <w:lang w:val="en-GB" w:bidi="en-US"/>
        </w:rPr>
        <w:instrText>ADDIN CSL_CITATION {"citationItems":[{"id":"ITEM-1","itemData":{"DOI":"10.1016/j.procir.2016.12.005","ISBN":"22128271 (ISSN)","ISSN":"22128271","abstract":"Implementing sustainability principles of the circular economy and associated transitions tend to transcend the boundaries of individual businesses. This calls for a shift in traditional sustainability thinking by transitioning from business-oriented sub-optimisation to collaborative value chain optimisation. This paper proposes a framework to support companies in this transition by visualising the different relations in a morphological matrix to encourage the selection of the most appropriate principles for the specific industry context. The framework is evaluated in an industrial case with multiple stakeholders resulting in a feasible closed material loop.","author":[{"dropping-particle":"","family":"Haanstra","given":"W.","non-dropping-particle":"","parse-names":false,"suffix":""},{"dropping-particle":"","family":"Toxopeus","given":"M.E.","non-dropping-particle":"","parse-names":false,"suffix":""},{"dropping-particle":"","family":"Gerrevink","given":"M.R.","non-dropping-particle":"van","parse-names":false,"suffix":""}],"container-title":"Procedia CIRP","id":"ITEM-1","issued":{"date-parts":[["2017"]]},"page":"46-51","publisher":"Elsevier B.V.","title":"Product Life Cycle Planning for Sustainable Manufacturing: Translating Theory into Business Opportunities","type":"article-journal","volume":"61"},"uris":["http://www.mendeley.com/documents/?uuid=7d94920e-a7f7-4a7e-a88a-c797b8c5a041","http://www.mendeley.com/documents/?uuid=fe70a366-e694-46c5-a1d1-3ce5219524b9"]}],"mendeley":{"formattedCitation":"(Haanstra et al., 2017)","manualFormatting":"Haanstra et al. (2017)","plainTextFormattedCitation":"(Haanstra et al., 2017)","previouslyFormattedCitation":"(Haanstra et al., 2017)"},"properties":{"noteIndex":0},"schema":"https://github.com/citation-style-language/schema/raw/master/csl-citation.json"}</w:instrText>
      </w:r>
      <w:r w:rsidRPr="009601F2">
        <w:rPr>
          <w:lang w:val="en-GB" w:bidi="en-US"/>
        </w:rPr>
        <w:fldChar w:fldCharType="separate"/>
      </w:r>
      <w:r w:rsidRPr="00402AEC">
        <w:rPr>
          <w:noProof/>
          <w:lang w:val="en-GB" w:bidi="en-US"/>
        </w:rPr>
        <w:t>Haanstra et al. (2017)</w:t>
      </w:r>
      <w:r w:rsidRPr="009601F2">
        <w:rPr>
          <w:lang w:val="en-GB" w:bidi="en-US"/>
        </w:rPr>
        <w:fldChar w:fldCharType="end"/>
      </w:r>
      <w:r w:rsidRPr="00402AEC">
        <w:rPr>
          <w:lang w:val="en-GB" w:bidi="en-US"/>
        </w:rPr>
        <w:t xml:space="preserve"> propose</w:t>
      </w:r>
      <w:r w:rsidR="002E3E7F">
        <w:rPr>
          <w:lang w:val="en-GB" w:bidi="en-US"/>
        </w:rPr>
        <w:t>d</w:t>
      </w:r>
      <w:r w:rsidRPr="00402AEC">
        <w:rPr>
          <w:lang w:val="en-GB" w:bidi="en-US"/>
        </w:rPr>
        <w:t xml:space="preserve"> a morphological matrix linking product lifecycle stages with organizational procedures. Finally, </w:t>
      </w:r>
      <w:r w:rsidRPr="009601F2">
        <w:rPr>
          <w:lang w:val="en-GB" w:bidi="en-US"/>
        </w:rPr>
        <w:fldChar w:fldCharType="begin" w:fldLock="1"/>
      </w:r>
      <w:r w:rsidR="00BF2F60">
        <w:rPr>
          <w:lang w:val="en-GB" w:bidi="en-US"/>
        </w:rPr>
        <w:instrText>ADDIN CSL_CITATION {"citationItems":[{"id":"ITEM-1","itemData":{"DOI":"10.1016/j.promfg.2017.02.037","ISBN":"2351-9789","ISSN":"23519789","abstract":"In the face of growing sustainability challenges, pressure on businesses to decouple environmental impacts from growth is mounting. New sustainable business models can be a systemic driver for change in industry and the wider business innovation literature suggests that strategic design approaches can be at the heart of business model innovation. One such approach, service design, involves solving problems through a service response, which unlocks value for each stakeholder in a value chain. Nevertheless, the value of service design to sustainable business is still often overlooked. Through a literature review and five illustrative case studies this paper systematically analyses how businesses can leverage service design for sustainable business model innovation. The research highlights how service design can support sustainable business model innovation by uncovering strategic as well as operational synergies between these complementary fields.","author":[{"dropping-particle":"","family":"Prendeville","given":"Sharon","non-dropping-particle":"","parse-names":false,"suffix":""},{"dropping-particle":"","family":"Bocken","given":"Nancy M.P.","non-dropping-particle":"","parse-names":false,"suffix":""}],"container-title":"GCSM 2016 - 14th Global Conference on Sustainable Manufacturing","id":"ITEM-1","issued":{"date-parts":[["2016"]]},"page":"292-299","publisher":"Elsevier","publisher-place":"Stellenbosch, South Africa","title":"Sustainable Business Models through Service Design","type":"paper-conference"},"uris":["http://www.mendeley.com/documents/?uuid=648cb913-ee04-44f7-8a69-55a1d8b14d4a","http://www.mendeley.com/documents/?uuid=c0370c89-21f1-4ffc-ad27-133197eb5668"]}],"mendeley":{"formattedCitation":"(Prendeville and Bocken, 2016)","manualFormatting":"Prendeville and Bocken (2016)","plainTextFormattedCitation":"(Prendeville and Bocken, 2016)","previouslyFormattedCitation":"(Prendeville and Bocken, 2016)"},"properties":{"noteIndex":0},"schema":"https://github.com/citation-style-language/schema/raw/master/csl-citation.json"}</w:instrText>
      </w:r>
      <w:r w:rsidRPr="009601F2">
        <w:rPr>
          <w:lang w:val="en-GB" w:bidi="en-US"/>
        </w:rPr>
        <w:fldChar w:fldCharType="separate"/>
      </w:r>
      <w:r w:rsidRPr="00402AEC">
        <w:rPr>
          <w:noProof/>
          <w:lang w:val="en-GB" w:bidi="en-US"/>
        </w:rPr>
        <w:t>Prendeville and Bocken (2016)</w:t>
      </w:r>
      <w:r w:rsidRPr="009601F2">
        <w:rPr>
          <w:lang w:val="en-GB" w:bidi="en-US"/>
        </w:rPr>
        <w:fldChar w:fldCharType="end"/>
      </w:r>
      <w:r w:rsidRPr="00402AEC">
        <w:rPr>
          <w:lang w:val="en-GB" w:bidi="en-US"/>
        </w:rPr>
        <w:t xml:space="preserve"> propose</w:t>
      </w:r>
      <w:r w:rsidR="002E3E7F">
        <w:rPr>
          <w:lang w:val="en-GB" w:bidi="en-US"/>
        </w:rPr>
        <w:t>d</w:t>
      </w:r>
      <w:r w:rsidRPr="00402AEC">
        <w:rPr>
          <w:lang w:val="en-GB" w:bidi="en-US"/>
        </w:rPr>
        <w:t xml:space="preserve"> service design like a fundamental element supporting CE practices. </w:t>
      </w:r>
    </w:p>
    <w:p w14:paraId="708B2C20" w14:textId="1058D66B" w:rsidR="00256500" w:rsidRPr="00402AEC" w:rsidRDefault="001067B3" w:rsidP="00026D10">
      <w:pPr>
        <w:spacing w:after="160" w:line="360" w:lineRule="auto"/>
        <w:rPr>
          <w:rFonts w:eastAsia="Times New Roman"/>
          <w:i/>
          <w:lang w:val="en-GB"/>
        </w:rPr>
      </w:pPr>
      <w:r>
        <w:rPr>
          <w:rFonts w:eastAsia="Times New Roman"/>
          <w:i/>
          <w:lang w:val="en-GB"/>
        </w:rPr>
        <w:t xml:space="preserve">4.3 </w:t>
      </w:r>
      <w:r w:rsidR="007B56D5" w:rsidRPr="00402AEC">
        <w:rPr>
          <w:rFonts w:eastAsia="Times New Roman"/>
          <w:i/>
          <w:lang w:val="en-GB"/>
        </w:rPr>
        <w:t>CBM challenges</w:t>
      </w:r>
    </w:p>
    <w:p w14:paraId="7436C77A" w14:textId="7951DEB8" w:rsidR="00A44732" w:rsidRDefault="000476AB" w:rsidP="00216241">
      <w:pPr>
        <w:spacing w:after="240" w:line="360" w:lineRule="auto"/>
        <w:jc w:val="both"/>
        <w:rPr>
          <w:lang w:val="en-GB" w:bidi="en-US"/>
        </w:rPr>
      </w:pPr>
      <w:r w:rsidRPr="00402AEC">
        <w:rPr>
          <w:lang w:val="en-GB" w:bidi="en-US"/>
        </w:rPr>
        <w:t xml:space="preserve">The </w:t>
      </w:r>
      <w:r w:rsidR="00A67F7D">
        <w:rPr>
          <w:lang w:val="en-GB" w:bidi="en-US"/>
        </w:rPr>
        <w:t>third</w:t>
      </w:r>
      <w:r w:rsidR="00A67F7D" w:rsidRPr="00402AEC">
        <w:rPr>
          <w:lang w:val="en-GB" w:bidi="en-US"/>
        </w:rPr>
        <w:t xml:space="preserve"> </w:t>
      </w:r>
      <w:r w:rsidRPr="00402AEC">
        <w:rPr>
          <w:lang w:val="en-GB" w:bidi="en-US"/>
        </w:rPr>
        <w:t xml:space="preserve">research area about CBMs focuses on challenges related with the adoption of </w:t>
      </w:r>
      <w:r w:rsidR="00EF5059">
        <w:rPr>
          <w:lang w:val="en-GB" w:bidi="en-US"/>
        </w:rPr>
        <w:t>the CE paradigm</w:t>
      </w:r>
      <w:r w:rsidRPr="00402AEC">
        <w:rPr>
          <w:lang w:val="en-GB" w:bidi="en-US"/>
        </w:rPr>
        <w:t xml:space="preserve">. </w:t>
      </w:r>
      <w:r w:rsidR="00EE2337">
        <w:rPr>
          <w:lang w:val="en-GB" w:bidi="en-US"/>
        </w:rPr>
        <w:t>Here,</w:t>
      </w:r>
      <w:r w:rsidR="00F92100" w:rsidRPr="00402AEC">
        <w:rPr>
          <w:lang w:val="en-GB" w:bidi="en-US"/>
        </w:rPr>
        <w:t xml:space="preserve"> </w:t>
      </w:r>
      <w:r w:rsidR="00EE2337">
        <w:rPr>
          <w:lang w:val="en-GB" w:bidi="en-US"/>
        </w:rPr>
        <w:t>s</w:t>
      </w:r>
      <w:r w:rsidRPr="00402AEC">
        <w:rPr>
          <w:lang w:val="en-GB" w:bidi="en-US"/>
        </w:rPr>
        <w:t>ome authors speak about CBM challenges from a general perspective</w:t>
      </w:r>
      <w:r w:rsidR="00D64DE5">
        <w:rPr>
          <w:lang w:val="en-GB" w:bidi="en-US"/>
        </w:rPr>
        <w:t xml:space="preserve"> on sustainability</w:t>
      </w:r>
      <w:r w:rsidRPr="00402AEC">
        <w:rPr>
          <w:lang w:val="en-GB" w:bidi="en-US"/>
        </w:rPr>
        <w:t xml:space="preserve">, without considering any specific sector or issue. </w:t>
      </w:r>
      <w:r w:rsidR="00EE2337">
        <w:rPr>
          <w:lang w:val="en-GB" w:bidi="en-US"/>
        </w:rPr>
        <w:t xml:space="preserve">For example, </w:t>
      </w:r>
      <w:r w:rsidRPr="009601F2">
        <w:rPr>
          <w:lang w:val="en-GB" w:bidi="en-US"/>
        </w:rPr>
        <w:fldChar w:fldCharType="begin" w:fldLock="1"/>
      </w:r>
      <w:r w:rsidR="00BF2F60">
        <w:rPr>
          <w:lang w:val="en-GB" w:bidi="en-US"/>
        </w:rPr>
        <w:instrText>ADDIN CSL_CITATION {"citationItems":[{"id":"ITEM-1","itemData":{"DOI":"10.1016/j.jclepro.2017.08.093","ISSN":"09596526","abstract":"This article reflects on the current state of the dynamically growing research and practice related to sustainable business models (SBMs), motivated by the question of whether dealing with SBMs is just a passing fancy or an emerging field, maybe even a field in its own right. We follow Ehrenfeld (2004), who asked a similar question for the field of industrial ecology in this journal, and reflect on the major beliefs and concepts underpinning SBM research and practice, tools and resources, authorities and the related community of actors. These elements are considered characteristics of a field and must be institutionalised in academia, industry and government for a field to emerge and progress. We therefore also identify some institutionalisation tendencies. As a result, we conclude that SBM research and practice show traits of an emerging field. It is however too early to foresee if it will develop as a sub-field within already established domains (“sub-field hypothesis”) or as a stand-alone field (“stand-alone hypothesis”). We argue that the sub-field and the stand-alone positioning may hamper the unfolding of the field's full potential. Instead, we propose that the SBM field needs to assume the role of an integrative field to break existing academic niches and silos and maximise practical impact (“integration hypothesis”). Our observations indicate that the SBM field is indeed developing into an integrative field and force. But we need to better understand and strengthen this development, for example by crafting a dedicated SBM research programme. A series of critical reviews could be a starting point for such an endeavour.","author":[{"dropping-particle":"","family":"Lüdeke-Freund","given":"Florian","non-dropping-particle":"","parse-names":false,"suffix":""},{"dropping-particle":"","family":"Dembek","given":"Krzysztof","non-dropping-particle":"","parse-names":false,"suffix":""}],"container-title":"Journal of Cleaner Production","id":"ITEM-1","issued":{"date-parts":[["2017"]]},"page":"1668-1678","publisher":"Elsevier Ltd","title":"Sustainable business model research and practice: Emerging field or passing fancy?","type":"article-journal","volume":"168"},"uris":["http://www.mendeley.com/documents/?uuid=a50dedd0-538a-4642-8fd3-7a47283032aa","http://www.mendeley.com/documents/?uuid=0121b41c-a60c-4901-9b7d-9b2d1429eccf"]}],"mendeley":{"formattedCitation":"(Lüdeke-Freund and Dembek, 2017)","manualFormatting":"Lüdeke-Freund and Dembek (2017)","plainTextFormattedCitation":"(Lüdeke-Freund and Dembek, 2017)","previouslyFormattedCitation":"(Lüdeke-Freund and Dembek, 2017)"},"properties":{"noteIndex":0},"schema":"https://github.com/citation-style-language/schema/raw/master/csl-citation.json"}</w:instrText>
      </w:r>
      <w:r w:rsidRPr="009601F2">
        <w:rPr>
          <w:lang w:val="en-GB" w:bidi="en-US"/>
        </w:rPr>
        <w:fldChar w:fldCharType="separate"/>
      </w:r>
      <w:r w:rsidRPr="00402AEC">
        <w:rPr>
          <w:noProof/>
          <w:lang w:val="en-GB" w:bidi="en-US"/>
        </w:rPr>
        <w:t xml:space="preserve">Lüdeke-Freund and Dembek </w:t>
      </w:r>
      <w:r w:rsidR="000B2D6F" w:rsidRPr="00402AEC">
        <w:rPr>
          <w:noProof/>
          <w:lang w:val="en-GB" w:bidi="en-US"/>
        </w:rPr>
        <w:t>(</w:t>
      </w:r>
      <w:r w:rsidRPr="00402AEC">
        <w:rPr>
          <w:noProof/>
          <w:lang w:val="en-GB" w:bidi="en-US"/>
        </w:rPr>
        <w:t>2017)</w:t>
      </w:r>
      <w:r w:rsidRPr="009601F2">
        <w:rPr>
          <w:lang w:val="en-GB" w:bidi="en-US"/>
        </w:rPr>
        <w:fldChar w:fldCharType="end"/>
      </w:r>
      <w:r w:rsidRPr="00402AEC">
        <w:rPr>
          <w:lang w:val="en-GB" w:bidi="en-US"/>
        </w:rPr>
        <w:t xml:space="preserve"> reflect</w:t>
      </w:r>
      <w:r w:rsidR="00080F32">
        <w:rPr>
          <w:lang w:val="en-GB" w:bidi="en-US"/>
        </w:rPr>
        <w:t>ed</w:t>
      </w:r>
      <w:r w:rsidRPr="00402AEC">
        <w:rPr>
          <w:lang w:val="en-GB" w:bidi="en-US"/>
        </w:rPr>
        <w:t xml:space="preserve"> on the current state of sustainable business models (SBMs). </w:t>
      </w:r>
      <w:r w:rsidRPr="009601F2">
        <w:rPr>
          <w:lang w:val="en-GB" w:bidi="en-US"/>
        </w:rPr>
        <w:fldChar w:fldCharType="begin" w:fldLock="1"/>
      </w:r>
      <w:r w:rsidR="003445CC">
        <w:rPr>
          <w:lang w:val="en-GB" w:bidi="en-US"/>
        </w:rPr>
        <w:instrText>ADDIN CSL_CITATION {"citationItems":[{"id":"ITEM-1","itemData":{"DOI":"10.3390/resources3010248","ISBN":"2079-9276","ISSN":"2079-9276","abstract":"This article briefly discusses the origins and development of the business model concept resulting in a high level definition. Against this backdrop, frameworks from the literature around green business models with examples of green business models and the business model innovation process are presented. The article then discusses the origins and meaning of different “green” concepts relevant for the circular value chain concluding with a high level definition. The article finally outline the process by which a business model for a circular value chain can be developed taking into account the social dilemma that exist in these type of situations. The article concludes with the specific questions that need to be answered in order to create an appropriate business model for a circular value chain.","author":[{"dropping-particle":"","family":"Roos","given":"Göran","non-dropping-particle":"","parse-names":false,"suffix":""}],"container-title":"Resources","id":"ITEM-1","issue":"1","issued":{"date-parts":[["2014"]]},"page":"248-274","title":"Business Model Innovation to Create and Capture Resource Value in Future Circular Material Chains","type":"article-journal","volume":"3"},"uris":["http://www.mendeley.com/documents/?uuid=9b117769-3345-4e34-a6a8-2ac79a116cf3"]}],"mendeley":{"formattedCitation":"(Roos, 2014)","manualFormatting":"Roos (2014)","plainTextFormattedCitation":"(Roos, 2014)","previouslyFormattedCitation":"(Roos, 2014)"},"properties":{"noteIndex":0},"schema":"https://github.com/citation-style-language/schema/raw/master/csl-citation.json"}</w:instrText>
      </w:r>
      <w:r w:rsidRPr="009601F2">
        <w:rPr>
          <w:lang w:val="en-GB" w:bidi="en-US"/>
        </w:rPr>
        <w:fldChar w:fldCharType="separate"/>
      </w:r>
      <w:r w:rsidRPr="00402AEC">
        <w:rPr>
          <w:noProof/>
          <w:lang w:val="en-GB" w:bidi="en-US"/>
        </w:rPr>
        <w:t xml:space="preserve">Roos </w:t>
      </w:r>
      <w:r w:rsidR="000B2D6F" w:rsidRPr="00402AEC">
        <w:rPr>
          <w:noProof/>
          <w:lang w:val="en-GB" w:bidi="en-US"/>
        </w:rPr>
        <w:t>(</w:t>
      </w:r>
      <w:r w:rsidRPr="00402AEC">
        <w:rPr>
          <w:noProof/>
          <w:lang w:val="en-GB" w:bidi="en-US"/>
        </w:rPr>
        <w:t>2014)</w:t>
      </w:r>
      <w:r w:rsidRPr="009601F2">
        <w:rPr>
          <w:lang w:val="en-GB" w:bidi="en-US"/>
        </w:rPr>
        <w:fldChar w:fldCharType="end"/>
      </w:r>
      <w:r w:rsidRPr="00402AEC">
        <w:rPr>
          <w:lang w:val="en-GB" w:bidi="en-US"/>
        </w:rPr>
        <w:t xml:space="preserve"> discusse</w:t>
      </w:r>
      <w:r w:rsidR="00080F32">
        <w:rPr>
          <w:lang w:val="en-GB" w:bidi="en-US"/>
        </w:rPr>
        <w:t>d</w:t>
      </w:r>
      <w:r w:rsidR="00233CCF">
        <w:rPr>
          <w:lang w:val="en-GB" w:bidi="en-US"/>
        </w:rPr>
        <w:t xml:space="preserve"> about</w:t>
      </w:r>
      <w:r w:rsidRPr="00402AEC">
        <w:rPr>
          <w:lang w:val="en-GB" w:bidi="en-US"/>
        </w:rPr>
        <w:t xml:space="preserve"> the origins and meaning of different “green” concepts relevant for </w:t>
      </w:r>
      <w:r w:rsidR="00233CCF">
        <w:rPr>
          <w:lang w:val="en-GB" w:bidi="en-US"/>
        </w:rPr>
        <w:t>CE,</w:t>
      </w:r>
      <w:r w:rsidRPr="00402AEC">
        <w:rPr>
          <w:lang w:val="en-GB" w:bidi="en-US"/>
        </w:rPr>
        <w:t xml:space="preserve"> concluding with a high-level definition. </w:t>
      </w:r>
      <w:r w:rsidRPr="009601F2">
        <w:rPr>
          <w:lang w:val="en-GB" w:bidi="en-US"/>
        </w:rPr>
        <w:fldChar w:fldCharType="begin" w:fldLock="1"/>
      </w:r>
      <w:r w:rsidR="003445CC">
        <w:rPr>
          <w:lang w:val="en-GB" w:bidi="en-US"/>
        </w:rPr>
        <w:instrText>ADDIN CSL_CITATION {"citationItems":[{"id":"ITEM-1","itemData":{"author":[{"dropping-particle":"","family":"Sannö","given":"Anna","non-dropping-particle":"","parse-names":false,"suffix":""},{"dropping-particle":"","family":"Wallin","given":"Peter","non-dropping-particle":"","parse-names":false,"suffix":""},{"dropping-particle":"","family":"Fundin","given":"Anders","non-dropping-particle":"","parse-names":false,"suffix":""}],"container-title":"EurOMA 2014 - 21st International Sustainable Operations and Supply Chains Forum","id":"ITEM-1","issued":{"date-parts":[["2014"]]},"page":"1-11","publisher-place":"Groningen, Netherlands","title":"Developing a research framework for environmental sustainability within a global automotive business","type":"paper-conference"},"uris":["http://www.mendeley.com/documents/?uuid=6f18d468-e46c-4d0a-8d37-43eb476df9ac"]}],"mendeley":{"formattedCitation":"(Sannö et al., 2014)","manualFormatting":"Sannö et al. (2014)","plainTextFormattedCitation":"(Sannö et al., 2014)","previouslyFormattedCitation":"(Sannö et al., 2014)"},"properties":{"noteIndex":0},"schema":"https://github.com/citation-style-language/schema/raw/master/csl-citation.json"}</w:instrText>
      </w:r>
      <w:r w:rsidRPr="009601F2">
        <w:rPr>
          <w:lang w:val="en-GB" w:bidi="en-US"/>
        </w:rPr>
        <w:fldChar w:fldCharType="separate"/>
      </w:r>
      <w:r w:rsidRPr="00402AEC">
        <w:rPr>
          <w:noProof/>
          <w:lang w:val="en-GB" w:bidi="en-US"/>
        </w:rPr>
        <w:t xml:space="preserve">Sannö et al. </w:t>
      </w:r>
      <w:r w:rsidR="000B2D6F" w:rsidRPr="00402AEC">
        <w:rPr>
          <w:noProof/>
          <w:lang w:val="en-GB" w:bidi="en-US"/>
        </w:rPr>
        <w:t>(</w:t>
      </w:r>
      <w:r w:rsidRPr="00402AEC">
        <w:rPr>
          <w:noProof/>
          <w:lang w:val="en-GB" w:bidi="en-US"/>
        </w:rPr>
        <w:t>2014)</w:t>
      </w:r>
      <w:r w:rsidRPr="009601F2">
        <w:rPr>
          <w:lang w:val="en-GB" w:bidi="en-US"/>
        </w:rPr>
        <w:fldChar w:fldCharType="end"/>
      </w:r>
      <w:r w:rsidRPr="00402AEC">
        <w:rPr>
          <w:lang w:val="en-GB" w:bidi="en-US"/>
        </w:rPr>
        <w:t xml:space="preserve"> identif</w:t>
      </w:r>
      <w:r w:rsidR="00E17EBC">
        <w:rPr>
          <w:lang w:val="en-GB" w:bidi="en-US"/>
        </w:rPr>
        <w:t>ied</w:t>
      </w:r>
      <w:r w:rsidRPr="00402AEC">
        <w:rPr>
          <w:lang w:val="en-GB" w:bidi="en-US"/>
        </w:rPr>
        <w:t xml:space="preserve"> challenges and perspectives to be included in the development of environmental sustainability frameworks</w:t>
      </w:r>
      <w:r w:rsidR="0021067D" w:rsidRPr="00402AEC">
        <w:rPr>
          <w:lang w:val="en-GB" w:bidi="en-US"/>
        </w:rPr>
        <w:t xml:space="preserve">, grouped </w:t>
      </w:r>
      <w:r w:rsidR="00962EFD">
        <w:rPr>
          <w:lang w:val="en-GB" w:bidi="en-US"/>
        </w:rPr>
        <w:t xml:space="preserve">in </w:t>
      </w:r>
      <w:r w:rsidR="00932058">
        <w:rPr>
          <w:lang w:val="en-GB" w:bidi="en-US"/>
        </w:rPr>
        <w:t>four</w:t>
      </w:r>
      <w:r w:rsidR="0021067D" w:rsidRPr="00402AEC">
        <w:rPr>
          <w:lang w:val="en-GB" w:bidi="en-US"/>
        </w:rPr>
        <w:t xml:space="preserve"> categories</w:t>
      </w:r>
      <w:r w:rsidR="00932058">
        <w:rPr>
          <w:lang w:val="en-GB" w:bidi="en-US"/>
        </w:rPr>
        <w:t>.</w:t>
      </w:r>
      <w:r w:rsidR="0021067D" w:rsidRPr="00402AEC">
        <w:rPr>
          <w:lang w:val="en-GB" w:bidi="en-US"/>
        </w:rPr>
        <w:t xml:space="preserve"> </w:t>
      </w:r>
      <w:r w:rsidRPr="009601F2">
        <w:rPr>
          <w:lang w:val="en-GB" w:bidi="en-US"/>
        </w:rPr>
        <w:fldChar w:fldCharType="begin" w:fldLock="1"/>
      </w:r>
      <w:r w:rsidR="00BF2F60">
        <w:rPr>
          <w:lang w:val="en-GB" w:bidi="en-US"/>
        </w:rPr>
        <w:instrText>ADDIN CSL_CITATION {"citationItems":[{"id":"ITEM-1","itemData":{"author":[{"dropping-particle":"","family":"Smith-Gillespie","given":"Aleyn","non-dropping-particle":"","parse-names":false,"suffix":""}],"id":"ITEM-1","issued":{"date-parts":[["2017"]]},"number-of-pages":"1-23","title":"Defining the Concept of Circular Economy Business Model","type":"report"},"uris":["http://www.mendeley.com/documents/?uuid=02542925-cb8e-43cd-934c-7c1cf455eb1a","http://www.mendeley.com/documents/?uuid=5f349440-8283-460f-b389-ccca2311b135"]}],"mendeley":{"formattedCitation":"(Smith-Gillespie, 2017)","manualFormatting":"Smith-Gillespie (2017)","plainTextFormattedCitation":"(Smith-Gillespie, 2017)","previouslyFormattedCitation":"(Smith-Gillespie, 2017)"},"properties":{"noteIndex":0},"schema":"https://github.com/citation-style-language/schema/raw/master/csl-citation.json"}</w:instrText>
      </w:r>
      <w:r w:rsidRPr="009601F2">
        <w:rPr>
          <w:lang w:val="en-GB" w:bidi="en-US"/>
        </w:rPr>
        <w:fldChar w:fldCharType="separate"/>
      </w:r>
      <w:r w:rsidRPr="00402AEC">
        <w:rPr>
          <w:noProof/>
          <w:lang w:val="en-GB" w:bidi="en-US"/>
        </w:rPr>
        <w:t xml:space="preserve">Smith-Gillespie </w:t>
      </w:r>
      <w:r w:rsidR="000B2D6F" w:rsidRPr="00402AEC">
        <w:rPr>
          <w:noProof/>
          <w:lang w:val="en-GB" w:bidi="en-US"/>
        </w:rPr>
        <w:t>(</w:t>
      </w:r>
      <w:r w:rsidRPr="00402AEC">
        <w:rPr>
          <w:noProof/>
          <w:lang w:val="en-GB" w:bidi="en-US"/>
        </w:rPr>
        <w:t>2017)</w:t>
      </w:r>
      <w:r w:rsidRPr="009601F2">
        <w:rPr>
          <w:lang w:val="en-GB" w:bidi="en-US"/>
        </w:rPr>
        <w:fldChar w:fldCharType="end"/>
      </w:r>
      <w:r w:rsidRPr="00402AEC">
        <w:rPr>
          <w:lang w:val="en-GB" w:bidi="en-US"/>
        </w:rPr>
        <w:t xml:space="preserve"> </w:t>
      </w:r>
      <w:r w:rsidR="00962EFD">
        <w:rPr>
          <w:lang w:val="en-GB" w:bidi="en-US"/>
        </w:rPr>
        <w:t>defined the concept of</w:t>
      </w:r>
      <w:r w:rsidRPr="00402AEC">
        <w:rPr>
          <w:lang w:val="en-GB" w:bidi="en-US"/>
        </w:rPr>
        <w:t xml:space="preserve"> CBM</w:t>
      </w:r>
      <w:r w:rsidR="00CD0064">
        <w:rPr>
          <w:lang w:val="en-GB" w:bidi="en-US"/>
        </w:rPr>
        <w:t xml:space="preserve">, trying to </w:t>
      </w:r>
      <w:r w:rsidRPr="00402AEC">
        <w:rPr>
          <w:lang w:val="en-GB" w:bidi="en-US"/>
        </w:rPr>
        <w:t>balance the</w:t>
      </w:r>
      <w:r w:rsidR="00CD0064">
        <w:rPr>
          <w:lang w:val="en-GB" w:bidi="en-US"/>
        </w:rPr>
        <w:t xml:space="preserve"> CE </w:t>
      </w:r>
      <w:r w:rsidRPr="00402AEC">
        <w:rPr>
          <w:lang w:val="en-GB" w:bidi="en-US"/>
        </w:rPr>
        <w:t>theory with BM design</w:t>
      </w:r>
      <w:r w:rsidR="00BD7855">
        <w:rPr>
          <w:lang w:val="en-GB" w:bidi="en-US"/>
        </w:rPr>
        <w:t xml:space="preserve"> practices</w:t>
      </w:r>
      <w:r w:rsidRPr="00402AEC">
        <w:rPr>
          <w:lang w:val="en-GB" w:bidi="en-US"/>
        </w:rPr>
        <w:t xml:space="preserve">. </w:t>
      </w:r>
      <w:r w:rsidRPr="009601F2">
        <w:rPr>
          <w:lang w:val="en-GB" w:bidi="en-US"/>
        </w:rPr>
        <w:fldChar w:fldCharType="begin" w:fldLock="1"/>
      </w:r>
      <w:r w:rsidR="00BF2F60">
        <w:rPr>
          <w:lang w:val="en-GB" w:bidi="en-US"/>
        </w:rPr>
        <w:instrText>ADDIN CSL_CITATION {"citationItems":[{"id":"ITEM-1","itemData":{"author":[{"dropping-particle":"","family":"Morlat","given":"Clément","non-dropping-particle":"","parse-names":false,"suffix":""},{"dropping-particle":"","family":"Pinto-Silva","given":"Kleber","non-dropping-particle":"","parse-names":false,"suffix":""}],"container-title":"IAEE 2014 - 14th European Energy Conference - Sustainable Energy Policy and Strategies for Europe","id":"ITEM-1","issued":{"date-parts":[["2014"]]},"page":"1-2","publisher-place":"Rome, Italy","title":"Dynamic modelling of cost systems applied to energy efficiency","type":"paper-conference"},"uris":["http://www.mendeley.com/documents/?uuid=5e8dbdb5-0dbe-4279-ad66-d5e15be7aee9","http://www.mendeley.com/documents/?uuid=b88a48e7-27fc-44ee-bf45-3d509c9633eb"]}],"mendeley":{"formattedCitation":"(Morlat and Pinto-Silva, 2014)","manualFormatting":"Morlat and Pinto-Silva (2014)","plainTextFormattedCitation":"(Morlat and Pinto-Silva, 2014)","previouslyFormattedCitation":"(Morlat and Pinto-Silva, 2014)"},"properties":{"noteIndex":0},"schema":"https://github.com/citation-style-language/schema/raw/master/csl-citation.json"}</w:instrText>
      </w:r>
      <w:r w:rsidRPr="009601F2">
        <w:rPr>
          <w:lang w:val="en-GB" w:bidi="en-US"/>
        </w:rPr>
        <w:fldChar w:fldCharType="separate"/>
      </w:r>
      <w:r w:rsidRPr="00402AEC">
        <w:rPr>
          <w:noProof/>
          <w:lang w:val="en-GB" w:bidi="en-US"/>
        </w:rPr>
        <w:t xml:space="preserve">Morlat and Pinto-Silva </w:t>
      </w:r>
      <w:r w:rsidR="000B2D6F" w:rsidRPr="00402AEC">
        <w:rPr>
          <w:noProof/>
          <w:lang w:val="en-GB" w:bidi="en-US"/>
        </w:rPr>
        <w:t>(</w:t>
      </w:r>
      <w:r w:rsidRPr="00402AEC">
        <w:rPr>
          <w:noProof/>
          <w:lang w:val="en-GB" w:bidi="en-US"/>
        </w:rPr>
        <w:t>2014)</w:t>
      </w:r>
      <w:r w:rsidRPr="009601F2">
        <w:rPr>
          <w:lang w:val="en-GB" w:bidi="en-US"/>
        </w:rPr>
        <w:fldChar w:fldCharType="end"/>
      </w:r>
      <w:r w:rsidRPr="00402AEC">
        <w:rPr>
          <w:lang w:val="en-GB" w:bidi="en-US"/>
        </w:rPr>
        <w:t xml:space="preserve"> describe</w:t>
      </w:r>
      <w:r w:rsidR="00BD7855">
        <w:rPr>
          <w:lang w:val="en-GB" w:bidi="en-US"/>
        </w:rPr>
        <w:t>d</w:t>
      </w:r>
      <w:r w:rsidRPr="00402AEC">
        <w:rPr>
          <w:lang w:val="en-GB" w:bidi="en-US"/>
        </w:rPr>
        <w:t xml:space="preserve"> market instruments for energy transition and their relations with CE.</w:t>
      </w:r>
      <w:r w:rsidR="00F92100" w:rsidRPr="00402AEC">
        <w:rPr>
          <w:lang w:val="en-GB" w:bidi="en-US"/>
        </w:rPr>
        <w:t xml:space="preserve"> </w:t>
      </w:r>
    </w:p>
    <w:p w14:paraId="3EF0DD55" w14:textId="21CB102F" w:rsidR="00A44732" w:rsidRDefault="00525BDC" w:rsidP="00216241">
      <w:pPr>
        <w:spacing w:after="240" w:line="360" w:lineRule="auto"/>
        <w:jc w:val="both"/>
        <w:rPr>
          <w:lang w:val="en-GB" w:bidi="en-US"/>
        </w:rPr>
      </w:pPr>
      <w:r>
        <w:rPr>
          <w:lang w:val="en-GB" w:bidi="en-US"/>
        </w:rPr>
        <w:lastRenderedPageBreak/>
        <w:t>Some</w:t>
      </w:r>
      <w:r w:rsidR="000476AB" w:rsidRPr="00402AEC">
        <w:rPr>
          <w:lang w:val="en-GB" w:bidi="en-US"/>
        </w:rPr>
        <w:t xml:space="preserve"> authors describe CBM challenges from a macro</w:t>
      </w:r>
      <w:r w:rsidR="00017916">
        <w:rPr>
          <w:lang w:val="en-GB" w:bidi="en-US"/>
        </w:rPr>
        <w:t>scopic</w:t>
      </w:r>
      <w:r w:rsidR="000476AB" w:rsidRPr="00402AEC">
        <w:rPr>
          <w:lang w:val="en-GB" w:bidi="en-US"/>
        </w:rPr>
        <w:t xml:space="preserve"> level, </w:t>
      </w:r>
      <w:r w:rsidR="00017916">
        <w:rPr>
          <w:lang w:val="en-GB" w:bidi="en-US"/>
        </w:rPr>
        <w:t xml:space="preserve">by </w:t>
      </w:r>
      <w:r w:rsidR="000476AB" w:rsidRPr="00402AEC">
        <w:rPr>
          <w:lang w:val="en-GB" w:bidi="en-US"/>
        </w:rPr>
        <w:t xml:space="preserve">referring to </w:t>
      </w:r>
      <w:r w:rsidR="00E72EA9">
        <w:rPr>
          <w:lang w:val="en-GB" w:bidi="en-US"/>
        </w:rPr>
        <w:t>supply chains</w:t>
      </w:r>
      <w:r w:rsidR="000476AB" w:rsidRPr="00402AEC">
        <w:rPr>
          <w:lang w:val="en-GB" w:bidi="en-US"/>
        </w:rPr>
        <w:t xml:space="preserve">. </w:t>
      </w:r>
      <w:r w:rsidR="00017916">
        <w:rPr>
          <w:lang w:val="en-GB" w:bidi="en-US"/>
        </w:rPr>
        <w:t>For</w:t>
      </w:r>
      <w:r w:rsidR="000476AB" w:rsidRPr="00402AEC">
        <w:rPr>
          <w:lang w:val="en-GB" w:bidi="en-US"/>
        </w:rPr>
        <w:t xml:space="preserve"> example</w:t>
      </w:r>
      <w:r w:rsidR="00017916">
        <w:rPr>
          <w:lang w:val="en-GB" w:bidi="en-US"/>
        </w:rPr>
        <w:t>,</w:t>
      </w:r>
      <w:r w:rsidR="000476AB" w:rsidRPr="00402AEC">
        <w:rPr>
          <w:lang w:val="en-GB" w:bidi="en-US"/>
        </w:rPr>
        <w:t xml:space="preserve"> </w:t>
      </w:r>
      <w:r w:rsidR="000476AB" w:rsidRPr="009601F2">
        <w:rPr>
          <w:lang w:val="en-GB" w:bidi="en-US"/>
        </w:rPr>
        <w:fldChar w:fldCharType="begin" w:fldLock="1"/>
      </w:r>
      <w:r w:rsidR="00BF2F60">
        <w:rPr>
          <w:lang w:val="en-GB" w:bidi="en-US"/>
        </w:rPr>
        <w:instrText>ADDIN CSL_CITATION {"citationItems":[{"id":"ITEM-1","itemData":{"DOI":"10.1111/j.1530-9290.2011.00450.x","ISBN":"1530-9290","ISSN":"10881980","abstract":"Industrial symbiosis examines cooperative management of resource flows through networks of businesses known in the literature as industrial ecosystems. These industrial ecosystems have previously been portrayed as having characteristics of complex adaptive systems, but with insufficient attention to the internal and external phenomena describing their genesis. Drawing on biological, ecological, organizational, and systems theory, a discontinuous three-stage model of industrial symbiosis is presented. The model proceeds from a random formative stage involving numerous actors engaging in material and energy exchanges, to conscious recognition and intentional pursuit of network benefits, to institutionalization of beliefs and norms enabling successful collaborative behavior. While there is much variation, with no single path to this outcome, the recognition of benefits is seen as an emergent property characteristic of these self-organized systems that move beyond the initial stage.","author":[{"dropping-particle":"","family":"Chertow","given":"Marian","non-dropping-particle":"","parse-names":false,"suffix":""},{"dropping-particle":"","family":"Ehrenfeld","given":"John","non-dropping-particle":"","parse-names":false,"suffix":""}],"container-title":"Journal of Industrial Ecology","id":"ITEM-1","issue":"1","issued":{"date-parts":[["2012"]]},"page":"13-27","title":"Organizing Self-Organizing Systems: Toward a Theory of Industrial Symbiosis","type":"article-journal","volume":"16"},"uris":["http://www.mendeley.com/documents/?uuid=0bcace70-4c7a-4768-9bdc-ba474f781968","http://www.mendeley.com/documents/?uuid=14cbe99f-0d9d-4599-b94a-f880b936aa7a"]}],"mendeley":{"formattedCitation":"(Chertow and Ehrenfeld, 2012)","manualFormatting":"Chertow and Ehrenfeld (2012)","plainTextFormattedCitation":"(Chertow and Ehrenfeld, 2012)","previouslyFormattedCitation":"(Chertow and Ehrenfeld, 2012)"},"properties":{"noteIndex":0},"schema":"https://github.com/citation-style-language/schema/raw/master/csl-citation.json"}</w:instrText>
      </w:r>
      <w:r w:rsidR="000476AB" w:rsidRPr="009601F2">
        <w:rPr>
          <w:lang w:val="en-GB" w:bidi="en-US"/>
        </w:rPr>
        <w:fldChar w:fldCharType="separate"/>
      </w:r>
      <w:r w:rsidR="000476AB" w:rsidRPr="00402AEC">
        <w:rPr>
          <w:noProof/>
          <w:lang w:val="en-GB" w:bidi="en-US"/>
        </w:rPr>
        <w:t xml:space="preserve">Chertow and Ehrenfeld </w:t>
      </w:r>
      <w:r w:rsidR="00017916">
        <w:rPr>
          <w:noProof/>
          <w:lang w:val="en-GB" w:bidi="en-US"/>
        </w:rPr>
        <w:t>(</w:t>
      </w:r>
      <w:r w:rsidR="000476AB" w:rsidRPr="00402AEC">
        <w:rPr>
          <w:noProof/>
          <w:lang w:val="en-GB" w:bidi="en-US"/>
        </w:rPr>
        <w:t>2012)</w:t>
      </w:r>
      <w:r w:rsidR="000476AB" w:rsidRPr="009601F2">
        <w:rPr>
          <w:lang w:val="en-GB" w:bidi="en-US"/>
        </w:rPr>
        <w:fldChar w:fldCharType="end"/>
      </w:r>
      <w:r w:rsidR="00017916">
        <w:rPr>
          <w:lang w:val="en-GB" w:bidi="en-US"/>
        </w:rPr>
        <w:t xml:space="preserve"> presented </w:t>
      </w:r>
      <w:r w:rsidR="000476AB" w:rsidRPr="00402AEC">
        <w:rPr>
          <w:lang w:val="en-GB" w:bidi="en-US"/>
        </w:rPr>
        <w:t>a model involving numerous actors engaged in material and energy exchanges, trying to map network benefits and institutionalize beliefs and norms enabling successful collaborative behaviours.</w:t>
      </w:r>
    </w:p>
    <w:p w14:paraId="139994F8" w14:textId="6E4B8F6A" w:rsidR="00FD47F8" w:rsidRDefault="000476AB" w:rsidP="00216241">
      <w:pPr>
        <w:spacing w:after="240" w:line="360" w:lineRule="auto"/>
        <w:jc w:val="both"/>
        <w:rPr>
          <w:lang w:val="en-GB" w:bidi="en-US"/>
        </w:rPr>
      </w:pPr>
      <w:r w:rsidRPr="00402AEC">
        <w:rPr>
          <w:lang w:val="en-GB" w:bidi="en-US"/>
        </w:rPr>
        <w:t>Other</w:t>
      </w:r>
      <w:r w:rsidR="00525BDC">
        <w:rPr>
          <w:lang w:val="en-GB" w:bidi="en-US"/>
        </w:rPr>
        <w:t xml:space="preserve"> authors</w:t>
      </w:r>
      <w:r w:rsidRPr="00402AEC">
        <w:rPr>
          <w:lang w:val="en-GB" w:bidi="en-US"/>
        </w:rPr>
        <w:t xml:space="preserve"> describe CBM challenges from a micro</w:t>
      </w:r>
      <w:r w:rsidR="00525BDC">
        <w:rPr>
          <w:lang w:val="en-GB" w:bidi="en-US"/>
        </w:rPr>
        <w:t>scopic</w:t>
      </w:r>
      <w:r w:rsidRPr="00402AEC">
        <w:rPr>
          <w:lang w:val="en-GB" w:bidi="en-US"/>
        </w:rPr>
        <w:t xml:space="preserve"> level, </w:t>
      </w:r>
      <w:r w:rsidR="00525BDC">
        <w:rPr>
          <w:lang w:val="en-GB" w:bidi="en-US"/>
        </w:rPr>
        <w:t>by considerin</w:t>
      </w:r>
      <w:r w:rsidR="005932B0">
        <w:rPr>
          <w:lang w:val="en-GB" w:bidi="en-US"/>
        </w:rPr>
        <w:t>g</w:t>
      </w:r>
      <w:r w:rsidRPr="00402AEC">
        <w:rPr>
          <w:lang w:val="en-GB" w:bidi="en-US"/>
        </w:rPr>
        <w:t xml:space="preserve"> company</w:t>
      </w:r>
      <w:r w:rsidR="005932B0">
        <w:rPr>
          <w:lang w:val="en-GB" w:bidi="en-US"/>
        </w:rPr>
        <w:t>’s boundaries</w:t>
      </w:r>
      <w:r w:rsidRPr="00402AEC">
        <w:rPr>
          <w:lang w:val="en-GB" w:bidi="en-US"/>
        </w:rPr>
        <w:t xml:space="preserve">. For example, </w:t>
      </w:r>
      <w:r w:rsidRPr="009601F2">
        <w:rPr>
          <w:lang w:val="en-GB" w:bidi="en-US"/>
        </w:rPr>
        <w:fldChar w:fldCharType="begin" w:fldLock="1"/>
      </w:r>
      <w:r w:rsidR="003445CC">
        <w:rPr>
          <w:lang w:val="en-GB" w:bidi="en-US"/>
        </w:rPr>
        <w:instrText>ADDIN CSL_CITATION {"citationItems":[{"id":"ITEM-1","itemData":{"author":[{"dropping-particle":"","family":"Lange","given":"Jasper","non-dropping-particle":"de","parse-names":false,"suffix":""},{"dropping-particle":"","family":"Rodić","given":"Ljiljana","non-dropping-particle":"","parse-names":false,"suffix":""}],"id":"ITEM-1","issued":{"date-parts":[["2013"]]},"number-of-pages":"1-18","title":"From Waste Handler to Resource Manager : New Roles for Solid Waste Management Companies in a Circular Economy","type":"report"},"uris":["http://www.mendeley.com/documents/?uuid=ec3a0cb7-271c-413d-9975-6f77c951b46f"]}],"mendeley":{"formattedCitation":"(de Lange and Rodić, 2013)","manualFormatting":"de Lange and Rodić (2006)","plainTextFormattedCitation":"(de Lange and Rodić, 2013)","previouslyFormattedCitation":"(de Lange and Rodić, 2013)"},"properties":{"noteIndex":0},"schema":"https://github.com/citation-style-language/schema/raw/master/csl-citation.json"}</w:instrText>
      </w:r>
      <w:r w:rsidRPr="009601F2">
        <w:rPr>
          <w:lang w:val="en-GB" w:bidi="en-US"/>
        </w:rPr>
        <w:fldChar w:fldCharType="separate"/>
      </w:r>
      <w:r w:rsidR="00EC217C" w:rsidRPr="00402AEC">
        <w:rPr>
          <w:noProof/>
          <w:lang w:val="en-GB" w:bidi="en-US"/>
        </w:rPr>
        <w:t xml:space="preserve">de Lange and Rodić </w:t>
      </w:r>
      <w:r w:rsidR="000B2D6F" w:rsidRPr="00402AEC">
        <w:rPr>
          <w:noProof/>
          <w:lang w:val="en-GB" w:bidi="en-US"/>
        </w:rPr>
        <w:t>(</w:t>
      </w:r>
      <w:r w:rsidR="00EC217C" w:rsidRPr="00402AEC">
        <w:rPr>
          <w:noProof/>
          <w:lang w:val="en-GB" w:bidi="en-US"/>
        </w:rPr>
        <w:t>2006)</w:t>
      </w:r>
      <w:r w:rsidRPr="009601F2">
        <w:rPr>
          <w:lang w:val="en-GB" w:bidi="en-US"/>
        </w:rPr>
        <w:fldChar w:fldCharType="end"/>
      </w:r>
      <w:r w:rsidRPr="00402AEC">
        <w:rPr>
          <w:lang w:val="en-GB" w:bidi="en-US"/>
        </w:rPr>
        <w:t xml:space="preserve"> explore</w:t>
      </w:r>
      <w:r w:rsidR="005932B0">
        <w:rPr>
          <w:lang w:val="en-GB" w:bidi="en-US"/>
        </w:rPr>
        <w:t>d</w:t>
      </w:r>
      <w:r w:rsidRPr="00402AEC">
        <w:rPr>
          <w:lang w:val="en-GB" w:bidi="en-US"/>
        </w:rPr>
        <w:t xml:space="preserve"> implications of a transition to</w:t>
      </w:r>
      <w:r w:rsidR="005932B0">
        <w:rPr>
          <w:lang w:val="en-GB" w:bidi="en-US"/>
        </w:rPr>
        <w:t>wards</w:t>
      </w:r>
      <w:r w:rsidRPr="00402AEC">
        <w:rPr>
          <w:lang w:val="en-GB" w:bidi="en-US"/>
        </w:rPr>
        <w:t xml:space="preserve"> CE for solid waste management companies</w:t>
      </w:r>
      <w:r w:rsidR="00075921">
        <w:rPr>
          <w:lang w:val="en-GB" w:bidi="en-US"/>
        </w:rPr>
        <w:t>, by defining five new waste management roles</w:t>
      </w:r>
      <w:r w:rsidRPr="00402AEC">
        <w:rPr>
          <w:lang w:val="en-GB" w:bidi="en-US"/>
        </w:rPr>
        <w:t xml:space="preserve">. </w:t>
      </w:r>
      <w:r w:rsidRPr="009601F2">
        <w:rPr>
          <w:lang w:val="en-GB" w:bidi="en-US"/>
        </w:rPr>
        <w:fldChar w:fldCharType="begin" w:fldLock="1"/>
      </w:r>
      <w:r w:rsidR="003445CC">
        <w:rPr>
          <w:lang w:val="en-GB" w:bidi="en-US"/>
        </w:rPr>
        <w:instrText>ADDIN CSL_CITATION {"citationItems":[{"id":"ITEM-1","itemData":{"DOI":"10.1016/j.jclepro.2017.09.056","ISSN":"09596526","abstract":"The Circular Economy (CE) has received considerable attention as an approach that promises to reconcile ecological systems and economic growth. In spite of its increased popularity, little is known about the implementation struggles of incumbent firms across industrial sectors. Furthermore, although the notion of circular production systems is at the intersection of different research areas such as sustainable product design, sustainable supply chains, and reverse logistics, knowledge on how these concepts combine to ease or impede firms' transition towards circularity is scarce. To shed light on these gaps, I used multiple case studies from Cradle to Cradle certified companies in the textile industry in Europe. By employing qualitative research, I identified a set of factors along the textile value chain, from product design to take-back and reprocessing, that are crucial in expediting or delaying a firm's aspirations to develop a circular product. The main contribution of this paper is the dynamic understanding of how certain collaborative supplier-buyer innovation factors (i.e., supply chain position, power balance, and a shared vision) coupled with complex aspects in product design, namely in basic materials, architecture, and functionality, combine to determine the output speed and quantity of circular products to be sold, taken back, and ultimately regenerated.","author":[{"dropping-particle":"","family":"Franco","given":"Maria A.","non-dropping-particle":"","parse-names":false,"suffix":""}],"container-title":"Journal of Cleaner Production","id":"ITEM-1","issued":{"date-parts":[["2017"]]},"page":"833-845","publisher":"Elsevier Ltd","title":"Circular economy at the micro level: A dynamic view of incumbents' struggles and challenges in the textile industry","type":"article-journal","volume":"168"},"uris":["http://www.mendeley.com/documents/?uuid=0cad5324-584b-4f9f-965d-bcb477bedb56"]}],"mendeley":{"formattedCitation":"(Franco, 2017)","manualFormatting":"Franco (2017)","plainTextFormattedCitation":"(Franco, 2017)","previouslyFormattedCitation":"(Franco, 2017)"},"properties":{"noteIndex":0},"schema":"https://github.com/citation-style-language/schema/raw/master/csl-citation.json"}</w:instrText>
      </w:r>
      <w:r w:rsidRPr="009601F2">
        <w:rPr>
          <w:lang w:val="en-GB" w:bidi="en-US"/>
        </w:rPr>
        <w:fldChar w:fldCharType="separate"/>
      </w:r>
      <w:r w:rsidRPr="00402AEC">
        <w:rPr>
          <w:noProof/>
          <w:lang w:val="en-GB" w:bidi="en-US"/>
        </w:rPr>
        <w:t xml:space="preserve">Franco </w:t>
      </w:r>
      <w:r w:rsidR="000B2D6F" w:rsidRPr="00402AEC">
        <w:rPr>
          <w:noProof/>
          <w:lang w:val="en-GB" w:bidi="en-US"/>
        </w:rPr>
        <w:t>(</w:t>
      </w:r>
      <w:r w:rsidRPr="00402AEC">
        <w:rPr>
          <w:noProof/>
          <w:lang w:val="en-GB" w:bidi="en-US"/>
        </w:rPr>
        <w:t>2017)</w:t>
      </w:r>
      <w:r w:rsidRPr="009601F2">
        <w:rPr>
          <w:lang w:val="en-GB" w:bidi="en-US"/>
        </w:rPr>
        <w:fldChar w:fldCharType="end"/>
      </w:r>
      <w:r w:rsidRPr="00402AEC">
        <w:rPr>
          <w:lang w:val="en-GB" w:bidi="en-US"/>
        </w:rPr>
        <w:t xml:space="preserve"> identifie</w:t>
      </w:r>
      <w:r w:rsidR="00075921">
        <w:rPr>
          <w:lang w:val="en-GB" w:bidi="en-US"/>
        </w:rPr>
        <w:t>d</w:t>
      </w:r>
      <w:r w:rsidRPr="00402AEC">
        <w:rPr>
          <w:lang w:val="en-GB" w:bidi="en-US"/>
        </w:rPr>
        <w:t xml:space="preserve"> a set of factors along </w:t>
      </w:r>
      <w:r w:rsidR="002320A2">
        <w:rPr>
          <w:lang w:val="en-GB" w:bidi="en-US"/>
        </w:rPr>
        <w:t>a</w:t>
      </w:r>
      <w:r w:rsidR="002320A2" w:rsidRPr="00402AEC">
        <w:rPr>
          <w:lang w:val="en-GB" w:bidi="en-US"/>
        </w:rPr>
        <w:t xml:space="preserve"> </w:t>
      </w:r>
      <w:r w:rsidRPr="00402AEC">
        <w:rPr>
          <w:lang w:val="en-GB" w:bidi="en-US"/>
        </w:rPr>
        <w:t>textile value chain</w:t>
      </w:r>
      <w:r w:rsidR="002320A2">
        <w:rPr>
          <w:lang w:val="en-GB" w:bidi="en-US"/>
        </w:rPr>
        <w:t xml:space="preserve"> </w:t>
      </w:r>
      <w:r w:rsidR="00870194">
        <w:rPr>
          <w:lang w:val="en-GB" w:bidi="en-US"/>
        </w:rPr>
        <w:t>considered</w:t>
      </w:r>
      <w:r w:rsidR="002320A2">
        <w:rPr>
          <w:lang w:val="en-GB" w:bidi="en-US"/>
        </w:rPr>
        <w:t xml:space="preserve"> </w:t>
      </w:r>
      <w:r w:rsidRPr="00402AEC">
        <w:rPr>
          <w:lang w:val="en-GB" w:bidi="en-US"/>
        </w:rPr>
        <w:t xml:space="preserve">crucial in expediting or delaying </w:t>
      </w:r>
      <w:r w:rsidR="002320A2">
        <w:rPr>
          <w:lang w:val="en-GB" w:bidi="en-US"/>
        </w:rPr>
        <w:t>the</w:t>
      </w:r>
      <w:r w:rsidRPr="00402AEC">
        <w:rPr>
          <w:lang w:val="en-GB" w:bidi="en-US"/>
        </w:rPr>
        <w:t xml:space="preserve"> develop</w:t>
      </w:r>
      <w:r w:rsidR="002320A2">
        <w:rPr>
          <w:lang w:val="en-GB" w:bidi="en-US"/>
        </w:rPr>
        <w:t>ment</w:t>
      </w:r>
      <w:r w:rsidRPr="00402AEC">
        <w:rPr>
          <w:lang w:val="en-GB" w:bidi="en-US"/>
        </w:rPr>
        <w:t xml:space="preserve"> </w:t>
      </w:r>
      <w:r w:rsidR="002320A2">
        <w:rPr>
          <w:lang w:val="en-GB" w:bidi="en-US"/>
        </w:rPr>
        <w:t>of</w:t>
      </w:r>
      <w:r w:rsidRPr="00402AEC">
        <w:rPr>
          <w:lang w:val="en-GB" w:bidi="en-US"/>
        </w:rPr>
        <w:t xml:space="preserve"> circular product</w:t>
      </w:r>
      <w:r w:rsidR="002320A2">
        <w:rPr>
          <w:lang w:val="en-GB" w:bidi="en-US"/>
        </w:rPr>
        <w:t>s</w:t>
      </w:r>
      <w:r w:rsidRPr="00402AEC">
        <w:rPr>
          <w:lang w:val="en-GB" w:bidi="en-US"/>
        </w:rPr>
        <w:t xml:space="preserve">. </w:t>
      </w:r>
      <w:r w:rsidRPr="009601F2">
        <w:rPr>
          <w:lang w:val="en-GB" w:bidi="en-US"/>
        </w:rPr>
        <w:fldChar w:fldCharType="begin" w:fldLock="1"/>
      </w:r>
      <w:r w:rsidR="003445CC">
        <w:rPr>
          <w:lang w:val="en-GB" w:bidi="en-US"/>
        </w:rPr>
        <w:instrText>ADDIN CSL_CITATION {"citationItems":[{"id":"ITEM-1","itemData":{"author":[{"dropping-particle":"","family":"Guldmann","given":"Eva","non-dropping-particle":"","parse-names":false,"suffix":""},{"dropping-particle":"","family":"Jensen","given":"Jonas Pagh","non-dropping-particle":"","parse-names":false,"suffix":""}],"container-title":"Global Cleaner Production and Sustainable Consumption Conference 2015","id":"ITEM-1","issued":{"date-parts":[["2015"]]},"page":"1-2","publisher-place":"Barcelona, Spain","title":"Implementation of circular economy in Danish companies","type":"paper-conference"},"uris":["http://www.mendeley.com/documents/?uuid=6c88fd4b-c043-4a11-a59c-3bc050e334fa","http://www.mendeley.com/documents/?uuid=a17433fa-6b69-43dc-9b0e-aa652b93de68"]}],"mendeley":{"formattedCitation":"(Guldmann and Jensen, 2015)","manualFormatting":"Guldmann and Jensen (2015)","plainTextFormattedCitation":"(Guldmann and Jensen, 2015)","previouslyFormattedCitation":"(Guldmann and Jensen, 2015)"},"properties":{"noteIndex":0},"schema":"https://github.com/citation-style-language/schema/raw/master/csl-citation.json"}</w:instrText>
      </w:r>
      <w:r w:rsidRPr="009601F2">
        <w:rPr>
          <w:lang w:val="en-GB" w:bidi="en-US"/>
        </w:rPr>
        <w:fldChar w:fldCharType="separate"/>
      </w:r>
      <w:r w:rsidRPr="00402AEC">
        <w:rPr>
          <w:noProof/>
          <w:lang w:val="en-GB" w:bidi="en-US"/>
        </w:rPr>
        <w:t xml:space="preserve">Guldmann and Jensen </w:t>
      </w:r>
      <w:r w:rsidR="000B2D6F" w:rsidRPr="00402AEC">
        <w:rPr>
          <w:noProof/>
          <w:lang w:val="en-GB" w:bidi="en-US"/>
        </w:rPr>
        <w:t>(</w:t>
      </w:r>
      <w:r w:rsidRPr="00402AEC">
        <w:rPr>
          <w:noProof/>
          <w:lang w:val="en-GB" w:bidi="en-US"/>
        </w:rPr>
        <w:t>2015)</w:t>
      </w:r>
      <w:r w:rsidRPr="009601F2">
        <w:rPr>
          <w:lang w:val="en-GB" w:bidi="en-US"/>
        </w:rPr>
        <w:fldChar w:fldCharType="end"/>
      </w:r>
      <w:r w:rsidRPr="00402AEC">
        <w:rPr>
          <w:lang w:val="en-GB" w:bidi="en-US"/>
        </w:rPr>
        <w:t xml:space="preserve"> analyse</w:t>
      </w:r>
      <w:r w:rsidR="002A0354">
        <w:rPr>
          <w:lang w:val="en-GB" w:bidi="en-US"/>
        </w:rPr>
        <w:t>d</w:t>
      </w:r>
      <w:r w:rsidRPr="00402AEC">
        <w:rPr>
          <w:lang w:val="en-GB" w:bidi="en-US"/>
        </w:rPr>
        <w:t xml:space="preserve"> challenges </w:t>
      </w:r>
      <w:r w:rsidR="002A0354">
        <w:rPr>
          <w:lang w:val="en-GB" w:bidi="en-US"/>
        </w:rPr>
        <w:t xml:space="preserve">and </w:t>
      </w:r>
      <w:r w:rsidR="00070F59">
        <w:rPr>
          <w:lang w:val="en-GB" w:bidi="en-US"/>
        </w:rPr>
        <w:t xml:space="preserve">overcoming strategies </w:t>
      </w:r>
      <w:r w:rsidRPr="00402AEC">
        <w:rPr>
          <w:lang w:val="en-GB" w:bidi="en-US"/>
        </w:rPr>
        <w:t>for companies</w:t>
      </w:r>
      <w:r w:rsidR="00070F59">
        <w:rPr>
          <w:lang w:val="en-GB" w:bidi="en-US"/>
        </w:rPr>
        <w:t xml:space="preserve"> interested in</w:t>
      </w:r>
      <w:r w:rsidRPr="00402AEC">
        <w:rPr>
          <w:lang w:val="en-GB" w:bidi="en-US"/>
        </w:rPr>
        <w:t xml:space="preserve"> CE. </w:t>
      </w:r>
      <w:r w:rsidRPr="009601F2">
        <w:rPr>
          <w:lang w:val="en-GB" w:bidi="en-US"/>
        </w:rPr>
        <w:fldChar w:fldCharType="begin" w:fldLock="1"/>
      </w:r>
      <w:r w:rsidR="003445CC">
        <w:rPr>
          <w:lang w:val="en-GB" w:bidi="en-US"/>
        </w:rPr>
        <w:instrText>ADDIN CSL_CITATION {"citationItems":[{"id":"ITEM-1","itemData":{"ISBN":"9789461384799","abstract":"The ‘circular economy’ is gaining momentum as a concept in both academic and policy circles, while circular business models have been linked to significant economic benefits. This paper identifies key barriers and enablers to adopting circular economy business practices, using input from a literature review, discussions held in the context of the GreenEcoNet project and an analysis of two SME circular business models","author":[{"dropping-particle":"","family":"Rizos","given":"Vasileios","non-dropping-particle":"","parse-names":false,"suffix":""},{"dropping-particle":"","family":"Behrens","given":"Arno","non-dropping-particle":"","parse-names":false,"suffix":""},{"dropping-particle":"","family":"Kafyeke","given":"Terri","non-dropping-particle":"","parse-names":false,"suffix":""},{"dropping-particle":"","family":"Hirschnitz-Garbers","given":"Martin","non-dropping-particle":"","parse-names":false,"suffix":""},{"dropping-particle":"","family":"Ioannou","given":"Anastasia","non-dropping-particle":"","parse-names":false,"suffix":""}],"id":"ITEM-1","issue":"412","issued":{"date-parts":[["2015"]]},"number-of-pages":"1-25","title":"The Circular Economy: Barriers and Opportunities for SMEs","type":"report"},"uris":["http://www.mendeley.com/documents/?uuid=10283c25-960f-4eec-8d79-1c09c2f7c8d7"]}],"mendeley":{"formattedCitation":"(Rizos et al., 2015)","manualFormatting":"Rizos et al. (2015)","plainTextFormattedCitation":"(Rizos et al., 2015)","previouslyFormattedCitation":"(Rizos et al., 2015)"},"properties":{"noteIndex":0},"schema":"https://github.com/citation-style-language/schema/raw/master/csl-citation.json"}</w:instrText>
      </w:r>
      <w:r w:rsidRPr="009601F2">
        <w:rPr>
          <w:lang w:val="en-GB" w:bidi="en-US"/>
        </w:rPr>
        <w:fldChar w:fldCharType="separate"/>
      </w:r>
      <w:r w:rsidRPr="00402AEC">
        <w:rPr>
          <w:noProof/>
          <w:lang w:val="en-GB" w:bidi="en-US"/>
        </w:rPr>
        <w:t xml:space="preserve">Rizos et al. </w:t>
      </w:r>
      <w:r w:rsidR="000B2D6F" w:rsidRPr="00402AEC">
        <w:rPr>
          <w:noProof/>
          <w:lang w:val="en-GB" w:bidi="en-US"/>
        </w:rPr>
        <w:t>(</w:t>
      </w:r>
      <w:r w:rsidRPr="00402AEC">
        <w:rPr>
          <w:noProof/>
          <w:lang w:val="en-GB" w:bidi="en-US"/>
        </w:rPr>
        <w:t>2015)</w:t>
      </w:r>
      <w:r w:rsidRPr="009601F2">
        <w:rPr>
          <w:lang w:val="en-GB" w:bidi="en-US"/>
        </w:rPr>
        <w:fldChar w:fldCharType="end"/>
      </w:r>
      <w:r w:rsidR="000B2D6F" w:rsidRPr="00402AEC">
        <w:rPr>
          <w:lang w:val="en-GB" w:bidi="en-US"/>
        </w:rPr>
        <w:t xml:space="preserve"> and</w:t>
      </w:r>
      <w:r w:rsidRPr="00402AEC">
        <w:rPr>
          <w:lang w:val="en-GB" w:bidi="en-US"/>
        </w:rPr>
        <w:t xml:space="preserve"> </w:t>
      </w:r>
      <w:r w:rsidRPr="009601F2">
        <w:rPr>
          <w:lang w:val="en-GB" w:bidi="en-US"/>
        </w:rPr>
        <w:fldChar w:fldCharType="begin" w:fldLock="1"/>
      </w:r>
      <w:r w:rsidR="003445CC">
        <w:rPr>
          <w:lang w:val="en-GB" w:bidi="en-US"/>
        </w:rPr>
        <w:instrText>ADDIN CSL_CITATION {"citationItems":[{"id":"ITEM-1","itemData":{"DOI":"10.3390/su8111212","ISSN":"20711050","abstract":"Small and medium-sized enterprises (SMEs) are increasingly aware of the benefits of closing loops and improving resource efficiency, such as saving material costs, creating competitive advantages, and accessing new markets. At the same time, however, various barriers pose challenges to small businesses in their transition to a circular economy, namely a lack of financial resources and lack of technical skills. The aim of this paper is to increase knowledge and understanding about the barriers and enablers experienced by SMEs when implementing circular economy business models. Looking first at the barriers that prevent SMEs from realising the benefits of the circular economy, an investigation is carried out in the form of a literature review and an analysis of a sample of SME case studies that are featured on the GreenEcoNet EU-funded web platform. Several enabling factors that help SMEs adopt circular economy practices are then identified. The paper concludes that although various policy instruments are available to help SMEs incorporate circular economy principles into their business models, several barriers remain. The authors recommend that European and national policies strengthen their focus on greening consumer preferences, market value chains and company cultures, and support the recognition of SMEs’ green business models. This can be achieved through the creation of dedicated marketplaces and communities of practice, for example.","author":[{"dropping-particle":"","family":"Rizos","given":"Vasileios","non-dropping-particle":"","parse-names":false,"suffix":""},{"dropping-particle":"","family":"Behrens","given":"Arno","non-dropping-particle":"","parse-names":false,"suffix":""},{"dropping-particle":"","family":"Gaast","given":"Wytze","non-dropping-particle":"van der","parse-names":false,"suffix":""},{"dropping-particle":"","family":"Hofman","given":"Erwin","non-dropping-particle":"","parse-names":false,"suffix":""},{"dropping-particle":"","family":"Ioannou","given":"Anastasia","non-dropping-particle":"","parse-names":false,"suffix":""},{"dropping-particle":"","family":"Kafyeke","given":"Terri","non-dropping-particle":"","parse-names":false,"suffix":""},{"dropping-particle":"","family":"Flamos","given":"Alexandros","non-dropping-particle":"","parse-names":false,"suffix":""},{"dropping-particle":"","family":"Rinaldi","given":"Roberto","non-dropping-particle":"","parse-names":false,"suffix":""},{"dropping-particle":"","family":"Papadelis","given":"Sotiris","non-dropping-particle":"","parse-names":false,"suffix":""},{"dropping-particle":"","family":"Hirschnitz-Garbers","given":"Martin","non-dropping-particle":"","parse-names":false,"suffix":""},{"dropping-particle":"","family":"Topi","given":"Corrado","non-dropping-particle":"","parse-names":false,"suffix":""}],"container-title":"Sustainability (Switzerland)","id":"ITEM-1","issue":"1212","issued":{"date-parts":[["2016"]]},"page":"1-18","title":"Implementation of circular economy business models by small and medium-sized enterprises (SMEs): Barriers and enablers","type":"article-journal","volume":"8"},"uris":["http://www.mendeley.com/documents/?uuid=1cbd4dbe-ea0b-47a7-a6f1-1b95c7c09e17"]}],"mendeley":{"formattedCitation":"(Rizos et al., 2016)","manualFormatting":"Rizos et al. (2016)","plainTextFormattedCitation":"(Rizos et al., 2016)","previouslyFormattedCitation":"(Rizos et al., 2016)"},"properties":{"noteIndex":0},"schema":"https://github.com/citation-style-language/schema/raw/master/csl-citation.json"}</w:instrText>
      </w:r>
      <w:r w:rsidRPr="009601F2">
        <w:rPr>
          <w:lang w:val="en-GB" w:bidi="en-US"/>
        </w:rPr>
        <w:fldChar w:fldCharType="separate"/>
      </w:r>
      <w:r w:rsidRPr="00402AEC">
        <w:rPr>
          <w:noProof/>
          <w:lang w:val="en-GB" w:bidi="en-US"/>
        </w:rPr>
        <w:t xml:space="preserve">Rizos et al. </w:t>
      </w:r>
      <w:r w:rsidR="000B2D6F" w:rsidRPr="00402AEC">
        <w:rPr>
          <w:noProof/>
          <w:lang w:val="en-GB" w:bidi="en-US"/>
        </w:rPr>
        <w:t>(</w:t>
      </w:r>
      <w:r w:rsidRPr="00402AEC">
        <w:rPr>
          <w:noProof/>
          <w:lang w:val="en-GB" w:bidi="en-US"/>
        </w:rPr>
        <w:t>2016)</w:t>
      </w:r>
      <w:r w:rsidRPr="009601F2">
        <w:rPr>
          <w:lang w:val="en-GB" w:bidi="en-US"/>
        </w:rPr>
        <w:fldChar w:fldCharType="end"/>
      </w:r>
      <w:r w:rsidRPr="00402AEC">
        <w:rPr>
          <w:lang w:val="en-GB" w:bidi="en-US"/>
        </w:rPr>
        <w:t xml:space="preserve"> tr</w:t>
      </w:r>
      <w:r w:rsidR="00F6236D">
        <w:rPr>
          <w:lang w:val="en-GB" w:bidi="en-US"/>
        </w:rPr>
        <w:t>ied</w:t>
      </w:r>
      <w:r w:rsidRPr="00402AEC">
        <w:rPr>
          <w:lang w:val="en-GB" w:bidi="en-US"/>
        </w:rPr>
        <w:t xml:space="preserve"> to understand barriers and enablers </w:t>
      </w:r>
      <w:r w:rsidR="00F6236D">
        <w:rPr>
          <w:lang w:val="en-GB" w:bidi="en-US"/>
        </w:rPr>
        <w:t>for</w:t>
      </w:r>
      <w:r w:rsidRPr="00402AEC">
        <w:rPr>
          <w:lang w:val="en-GB" w:bidi="en-US"/>
        </w:rPr>
        <w:t xml:space="preserve"> SMEs </w:t>
      </w:r>
      <w:r w:rsidR="00F6236D">
        <w:rPr>
          <w:lang w:val="en-GB" w:bidi="en-US"/>
        </w:rPr>
        <w:t>in</w:t>
      </w:r>
      <w:r w:rsidRPr="00402AEC">
        <w:rPr>
          <w:lang w:val="en-GB" w:bidi="en-US"/>
        </w:rPr>
        <w:t xml:space="preserve"> implementing CBMs</w:t>
      </w:r>
      <w:r w:rsidR="00BF2ED2">
        <w:rPr>
          <w:lang w:val="en-GB" w:bidi="en-US"/>
        </w:rPr>
        <w:t>.</w:t>
      </w:r>
    </w:p>
    <w:p w14:paraId="49D32127" w14:textId="57F171B1" w:rsidR="00AD3DD7" w:rsidRDefault="00BF2ED2" w:rsidP="00216241">
      <w:pPr>
        <w:spacing w:after="240" w:line="360" w:lineRule="auto"/>
        <w:jc w:val="both"/>
        <w:rPr>
          <w:lang w:val="en-GB" w:bidi="en-US"/>
        </w:rPr>
      </w:pPr>
      <w:r>
        <w:rPr>
          <w:lang w:val="en-GB" w:bidi="en-US"/>
        </w:rPr>
        <w:t>O</w:t>
      </w:r>
      <w:r w:rsidR="000476AB" w:rsidRPr="00402AEC">
        <w:rPr>
          <w:lang w:val="en-GB" w:bidi="en-US"/>
        </w:rPr>
        <w:t xml:space="preserve">ther authors focus on the role of ICT in enabling CE. </w:t>
      </w:r>
      <w:r w:rsidR="00635556">
        <w:rPr>
          <w:lang w:val="en-GB" w:bidi="en-US"/>
        </w:rPr>
        <w:t xml:space="preserve">For example, </w:t>
      </w:r>
      <w:r w:rsidR="000476AB" w:rsidRPr="009601F2">
        <w:rPr>
          <w:lang w:val="en-GB" w:bidi="en-US"/>
        </w:rPr>
        <w:fldChar w:fldCharType="begin" w:fldLock="1"/>
      </w:r>
      <w:r w:rsidR="003027D4">
        <w:rPr>
          <w:lang w:val="en-GB" w:bidi="en-US"/>
        </w:rPr>
        <w:instrText>ADDIN CSL_CITATION {"citationItems":[{"id":"ITEM-1","itemData":{"DOI":"10.1016/j.techfore.2017.09.030","ISSN":"00401625","abstract":"Bringing value to end consumers is one of the main challenges for businesses in emerging markets. This paper examines the role of information technology (IT) advancements in frugal innovation and in influencing new business models to bring frugal innovations within reach of the poor. A thorough review of theoretical concepts of business models and their applicability to the Bottom-of-the-Pyramid (BoP) literature and frugal innovation is given. IT has three characteristics that have influenced both business models and frugal innovation. First IT reduces transaction costs, sensor prices have decreased, and IT's externalities have increased the economic and social value from one innovation. By discussing the case of a high-technology low cost weather sensor system deployed in sub-Saharan Africa, this paper demonstrates how IT has introduced new frugal innovations, and influenced new business models. The success of the weather station diffusion has been due to the value of the weather data generated, the adaptive business model, and the co-creation approach throughout the station and business model design. IT has played a strong part in diffusing new innovations in Africa, but also has the potential to exclude certain groups. Future research should explore how IT and frugal innovation can lead to inclusion.","author":[{"dropping-particle":"","family":"Howell","given":"Rachel","non-dropping-particle":"","parse-names":false,"suffix":""},{"dropping-particle":"","family":"Beers","given":"Cees","non-dropping-particle":"van","parse-names":false,"suffix":""},{"dropping-particle":"","family":"Doorn","given":"Neelke","non-dropping-particle":"","parse-names":false,"suffix":""}],"container-title":"Technological Forecasting &amp; Social Change","id":"ITEM-1","issued":{"date-parts":[["2018"]]},"page":"227-239","publisher":"Elsevier","title":"Value capture and value creation: The role of information technology in business models for frugal innovations in Africa","type":"article-journal","volume":"131"},"uris":["http://www.mendeley.com/documents/?uuid=1507b836-0977-4095-b92e-60219d7bab83","http://www.mendeley.com/documents/?uuid=b58c1a55-77d3-4fc7-a691-093550e545be"]}],"mendeley":{"formattedCitation":"(Howell et al., 2018)","manualFormatting":"Howell et al. (2017)","plainTextFormattedCitation":"(Howell et al., 2018)","previouslyFormattedCitation":"(Howell et al., 2018)"},"properties":{"noteIndex":0},"schema":"https://github.com/citation-style-language/schema/raw/master/csl-citation.json"}</w:instrText>
      </w:r>
      <w:r w:rsidR="000476AB" w:rsidRPr="009601F2">
        <w:rPr>
          <w:lang w:val="en-GB" w:bidi="en-US"/>
        </w:rPr>
        <w:fldChar w:fldCharType="separate"/>
      </w:r>
      <w:r w:rsidR="000476AB" w:rsidRPr="00402AEC">
        <w:rPr>
          <w:noProof/>
          <w:lang w:val="en-GB" w:bidi="en-US"/>
        </w:rPr>
        <w:t xml:space="preserve">Howell et al. </w:t>
      </w:r>
      <w:r w:rsidR="000B2D6F" w:rsidRPr="00402AEC">
        <w:rPr>
          <w:noProof/>
          <w:lang w:val="en-GB" w:bidi="en-US"/>
        </w:rPr>
        <w:t>(</w:t>
      </w:r>
      <w:r w:rsidR="000476AB" w:rsidRPr="00402AEC">
        <w:rPr>
          <w:noProof/>
          <w:lang w:val="en-GB" w:bidi="en-US"/>
        </w:rPr>
        <w:t>2017)</w:t>
      </w:r>
      <w:r w:rsidR="000476AB" w:rsidRPr="009601F2">
        <w:rPr>
          <w:lang w:val="en-GB" w:bidi="en-US"/>
        </w:rPr>
        <w:fldChar w:fldCharType="end"/>
      </w:r>
      <w:r w:rsidR="000476AB" w:rsidRPr="00402AEC">
        <w:rPr>
          <w:lang w:val="en-GB" w:bidi="en-US"/>
        </w:rPr>
        <w:t xml:space="preserve"> examine</w:t>
      </w:r>
      <w:r w:rsidR="00635556">
        <w:rPr>
          <w:lang w:val="en-GB" w:bidi="en-US"/>
        </w:rPr>
        <w:t>d</w:t>
      </w:r>
      <w:r w:rsidR="000476AB" w:rsidRPr="00402AEC">
        <w:rPr>
          <w:lang w:val="en-GB" w:bidi="en-US"/>
        </w:rPr>
        <w:t xml:space="preserve"> the role of ICT advancements in frugal innovation and in influencing new BMs. </w:t>
      </w:r>
      <w:r w:rsidR="000476AB" w:rsidRPr="009601F2">
        <w:rPr>
          <w:lang w:val="en-GB" w:bidi="en-US"/>
        </w:rPr>
        <w:fldChar w:fldCharType="begin" w:fldLock="1"/>
      </w:r>
      <w:r w:rsidR="003445CC">
        <w:rPr>
          <w:lang w:val="en-GB" w:bidi="en-US"/>
        </w:rPr>
        <w:instrText>ADDIN CSL_CITATION {"citationItems":[{"id":"ITEM-1","itemData":{"DOI":"10.1016/j.procir.2017.02.047","ISBN":"22128271 (ISSN)","ISSN":"22128271","abstract":"Digital technologies have enabled the formulation of multiple Product Service-Systems (PSS) with considerable economic, environmental and societal benefits. One of the most promising paradigms, which is inspired by business models and value propositions that have already been described in the PSS literature, is the concept of Circular Economy. Circular Economy is characterized as an economy that is restorative and regenerative by design and is attracting significant attention from researchers and policy makers alike. In light of the recent proliferation of digital technologies such as Big Data and the Internet of Things, this article attempts to identify how can digital technologies support the transition to Circular Economy. This article conducted a systematic review of the literature based on a review protocol, in an effort to evaluate the application of key digital technologies in Circular Economy. The study concludes by identifying research gaps, reflecting on the application of digital technologies in the field of PSS and proposing suggestions for future research.","author":[{"dropping-particle":"","family":"Pagoropoulos","given":"Aris","non-dropping-particle":"","parse-names":false,"suffix":""},{"dropping-particle":"","family":"Pigosso","given":"Daniela C.A.","non-dropping-particle":"","parse-names":false,"suffix":""},{"dropping-particle":"","family":"McAloone","given":"Tim C.","non-dropping-particle":"","parse-names":false,"suffix":""}],"container-title":"Procedia CIRP","id":"ITEM-1","issued":{"date-parts":[["2017"]]},"page":"19-24","publisher":"The Author(s)","title":"The Emergent Role of Digital Technologies in the Circular Economy: A Review","type":"article-journal","volume":"64"},"uris":["http://www.mendeley.com/documents/?uuid=a6537701-1686-4062-8bf3-04468577418c"]}],"mendeley":{"formattedCitation":"(Pagoropoulos et al., 2017)","manualFormatting":"Pagoropoulos et al. (2017)","plainTextFormattedCitation":"(Pagoropoulos et al., 2017)","previouslyFormattedCitation":"(Pagoropoulos et al., 2017)"},"properties":{"noteIndex":0},"schema":"https://github.com/citation-style-language/schema/raw/master/csl-citation.json"}</w:instrText>
      </w:r>
      <w:r w:rsidR="000476AB" w:rsidRPr="009601F2">
        <w:rPr>
          <w:lang w:val="en-GB" w:bidi="en-US"/>
        </w:rPr>
        <w:fldChar w:fldCharType="separate"/>
      </w:r>
      <w:r w:rsidR="000476AB" w:rsidRPr="00402AEC">
        <w:rPr>
          <w:noProof/>
          <w:lang w:val="en-GB" w:bidi="en-US"/>
        </w:rPr>
        <w:t xml:space="preserve">Pagoropoulos et al. </w:t>
      </w:r>
      <w:r w:rsidR="000B2D6F" w:rsidRPr="00402AEC">
        <w:rPr>
          <w:noProof/>
          <w:lang w:val="en-GB" w:bidi="en-US"/>
        </w:rPr>
        <w:t>(</w:t>
      </w:r>
      <w:r w:rsidR="000476AB" w:rsidRPr="00402AEC">
        <w:rPr>
          <w:noProof/>
          <w:lang w:val="en-GB" w:bidi="en-US"/>
        </w:rPr>
        <w:t>2017)</w:t>
      </w:r>
      <w:r w:rsidR="000476AB" w:rsidRPr="009601F2">
        <w:rPr>
          <w:lang w:val="en-GB" w:bidi="en-US"/>
        </w:rPr>
        <w:fldChar w:fldCharType="end"/>
      </w:r>
      <w:r w:rsidR="000476AB" w:rsidRPr="00402AEC">
        <w:rPr>
          <w:lang w:val="en-GB" w:bidi="en-US"/>
        </w:rPr>
        <w:t xml:space="preserve"> identif</w:t>
      </w:r>
      <w:r w:rsidR="00635556">
        <w:rPr>
          <w:lang w:val="en-GB" w:bidi="en-US"/>
        </w:rPr>
        <w:t>ied</w:t>
      </w:r>
      <w:r w:rsidR="000476AB" w:rsidRPr="00402AEC">
        <w:rPr>
          <w:lang w:val="en-GB" w:bidi="en-US"/>
        </w:rPr>
        <w:t xml:space="preserve"> how digital technologies </w:t>
      </w:r>
      <w:r w:rsidR="00635556">
        <w:rPr>
          <w:lang w:val="en-GB" w:bidi="en-US"/>
        </w:rPr>
        <w:t xml:space="preserve">can </w:t>
      </w:r>
      <w:r w:rsidR="000476AB" w:rsidRPr="00402AEC">
        <w:rPr>
          <w:lang w:val="en-GB" w:bidi="en-US"/>
        </w:rPr>
        <w:t>support the transition to</w:t>
      </w:r>
      <w:r w:rsidR="00635556">
        <w:rPr>
          <w:lang w:val="en-GB" w:bidi="en-US"/>
        </w:rPr>
        <w:t>wards</w:t>
      </w:r>
      <w:r w:rsidR="000476AB" w:rsidRPr="00402AEC">
        <w:rPr>
          <w:lang w:val="en-GB" w:bidi="en-US"/>
        </w:rPr>
        <w:t xml:space="preserve"> CE. </w:t>
      </w:r>
      <w:r w:rsidR="000476AB" w:rsidRPr="009601F2">
        <w:rPr>
          <w:lang w:val="en-GB" w:bidi="en-US"/>
        </w:rPr>
        <w:fldChar w:fldCharType="begin" w:fldLock="1"/>
      </w:r>
      <w:r w:rsidR="003445CC">
        <w:rPr>
          <w:lang w:val="en-GB" w:bidi="en-US"/>
        </w:rPr>
        <w:instrText>ADDIN CSL_CITATION {"citationItems":[{"id":"ITEM-1","itemData":{"ISSN":"17416264","abstract":"The overall aim of this paper is to answer the question whether the digital transformation of products, services and business models positively impacts the realization of a circular economy. There is little doubt that the shift towards a circular economy will be mandatory, in order to sustain population growth, despite the limited amount of resources on earth. While the concept of a circular economy has been around for decades, its realization is still in its infantry. The purpose of this paper is to explain the potential of (1) digitalized products and services and (2) digital business models for realizing the concept of a circular economy. Based on research in different disciplines, this paper demonstrates that digital technologies will (1) improved asset utilization, (2) boost the recovery of pure material flows and (3) enable refurbishment and remanufacturing scenarios. The digital transformation has the potential to become the much hoped for ignition spark for the Circular Economy if the remaining challenges regarding regulation, social acceptance and economic viability are met. Key","author":[{"dropping-particle":"","family":"Planing","given":"Patrick","non-dropping-particle":"","parse-names":false,"suffix":""}],"container-title":"International journal of Management Cases","id":"ITEM-1","issued":{"date-parts":[["2017"]]},"page":"22-31","title":"Will digital boost circular ? Evaluating the impact of the digital transformation on the shift towards a circular economy","type":"article-journal"},"uris":["http://www.mendeley.com/documents/?uuid=2fbff1a1-d5c7-4596-a052-dcfb6ab3fc21"]}],"mendeley":{"formattedCitation":"(Planing, 2017)","manualFormatting":"Planing (2017)","plainTextFormattedCitation":"(Planing, 2017)","previouslyFormattedCitation":"(Planing, 2017)"},"properties":{"noteIndex":0},"schema":"https://github.com/citation-style-language/schema/raw/master/csl-citation.json"}</w:instrText>
      </w:r>
      <w:r w:rsidR="000476AB" w:rsidRPr="009601F2">
        <w:rPr>
          <w:lang w:val="en-GB" w:bidi="en-US"/>
        </w:rPr>
        <w:fldChar w:fldCharType="separate"/>
      </w:r>
      <w:r w:rsidR="000476AB" w:rsidRPr="00402AEC">
        <w:rPr>
          <w:noProof/>
          <w:lang w:val="en-GB" w:bidi="en-US"/>
        </w:rPr>
        <w:t xml:space="preserve">Planing </w:t>
      </w:r>
      <w:r w:rsidR="000B2D6F" w:rsidRPr="00402AEC">
        <w:rPr>
          <w:noProof/>
          <w:lang w:val="en-GB" w:bidi="en-US"/>
        </w:rPr>
        <w:t>(</w:t>
      </w:r>
      <w:r w:rsidR="000476AB" w:rsidRPr="00402AEC">
        <w:rPr>
          <w:noProof/>
          <w:lang w:val="en-GB" w:bidi="en-US"/>
        </w:rPr>
        <w:t>2017)</w:t>
      </w:r>
      <w:r w:rsidR="000476AB" w:rsidRPr="009601F2">
        <w:rPr>
          <w:lang w:val="en-GB" w:bidi="en-US"/>
        </w:rPr>
        <w:fldChar w:fldCharType="end"/>
      </w:r>
      <w:r w:rsidR="000476AB" w:rsidRPr="00402AEC">
        <w:rPr>
          <w:lang w:val="en-GB" w:bidi="en-US"/>
        </w:rPr>
        <w:t xml:space="preserve"> </w:t>
      </w:r>
      <w:r w:rsidR="00A63E47">
        <w:rPr>
          <w:lang w:val="en-GB" w:bidi="en-US"/>
        </w:rPr>
        <w:t>assessed the existing relation among</w:t>
      </w:r>
      <w:r w:rsidR="000476AB" w:rsidRPr="00402AEC">
        <w:rPr>
          <w:lang w:val="en-GB" w:bidi="en-US"/>
        </w:rPr>
        <w:t xml:space="preserve"> digital transformation of product</w:t>
      </w:r>
      <w:r w:rsidR="006570DC">
        <w:rPr>
          <w:lang w:val="en-GB" w:bidi="en-US"/>
        </w:rPr>
        <w:t>-</w:t>
      </w:r>
      <w:r w:rsidR="000476AB" w:rsidRPr="00402AEC">
        <w:rPr>
          <w:lang w:val="en-GB" w:bidi="en-US"/>
        </w:rPr>
        <w:t>services</w:t>
      </w:r>
      <w:r w:rsidR="006570DC">
        <w:rPr>
          <w:lang w:val="en-GB" w:bidi="en-US"/>
        </w:rPr>
        <w:t>,</w:t>
      </w:r>
      <w:r w:rsidR="000476AB" w:rsidRPr="00402AEC">
        <w:rPr>
          <w:lang w:val="en-GB" w:bidi="en-US"/>
        </w:rPr>
        <w:t xml:space="preserve"> BMs </w:t>
      </w:r>
      <w:r w:rsidR="006570DC">
        <w:rPr>
          <w:lang w:val="en-GB" w:bidi="en-US"/>
        </w:rPr>
        <w:t>and</w:t>
      </w:r>
      <w:r w:rsidR="000476AB" w:rsidRPr="00402AEC">
        <w:rPr>
          <w:lang w:val="en-GB" w:bidi="en-US"/>
        </w:rPr>
        <w:t xml:space="preserve"> CE.</w:t>
      </w:r>
      <w:r w:rsidR="00F92100" w:rsidRPr="00402AEC">
        <w:rPr>
          <w:lang w:val="en-GB" w:bidi="en-US"/>
        </w:rPr>
        <w:t xml:space="preserve"> </w:t>
      </w:r>
    </w:p>
    <w:p w14:paraId="595CA338" w14:textId="183F5EB2" w:rsidR="000476AB" w:rsidRPr="00402AEC" w:rsidRDefault="006570DC" w:rsidP="00216241">
      <w:pPr>
        <w:spacing w:after="240" w:line="360" w:lineRule="auto"/>
        <w:jc w:val="both"/>
        <w:rPr>
          <w:lang w:val="en-GB" w:bidi="en-US"/>
        </w:rPr>
      </w:pPr>
      <w:r>
        <w:rPr>
          <w:lang w:val="en-GB" w:bidi="en-US"/>
        </w:rPr>
        <w:t>Finally, o</w:t>
      </w:r>
      <w:r w:rsidR="000476AB" w:rsidRPr="00402AEC">
        <w:rPr>
          <w:lang w:val="en-GB" w:bidi="en-US"/>
        </w:rPr>
        <w:t>ther</w:t>
      </w:r>
      <w:r>
        <w:rPr>
          <w:lang w:val="en-GB" w:bidi="en-US"/>
        </w:rPr>
        <w:t xml:space="preserve"> authors</w:t>
      </w:r>
      <w:r w:rsidR="000476AB" w:rsidRPr="00402AEC">
        <w:rPr>
          <w:lang w:val="en-GB" w:bidi="en-US"/>
        </w:rPr>
        <w:t xml:space="preserve"> consider the relation of lean thinking with CE. </w:t>
      </w:r>
      <w:r w:rsidR="00D7561E">
        <w:rPr>
          <w:lang w:val="en-GB" w:bidi="en-US"/>
        </w:rPr>
        <w:t xml:space="preserve">For example, </w:t>
      </w:r>
      <w:r w:rsidR="000476AB" w:rsidRPr="00252DF0">
        <w:rPr>
          <w:lang w:val="en-GB" w:bidi="en-US"/>
        </w:rPr>
        <w:fldChar w:fldCharType="begin" w:fldLock="1"/>
      </w:r>
      <w:r w:rsidR="00BF2F60">
        <w:rPr>
          <w:lang w:val="en-GB" w:bidi="en-US"/>
        </w:rPr>
        <w:instrText>ADDIN CSL_CITATION {"citationItems":[{"id":"ITEM-1","itemData":{"DOI":"10.1016/j.jclepro.2017.11.023","ISSN":"09596526","abstract":"Remanufacturing is a viable way to prolong the useful life of an end-of-use product or its parts. Despite its economic, environmental, and social benefits, remanufacturing is associated with many challenges related to core (used product or its part) availability, timing and quality. The aim of this paper is to study how lean production could be used to tackle remanufacturing process challenges and contribute to shorter lead times. To meet this aim, we conducted a literature review and case studies of four remanufacturing companies. The case companies’ remanufacturing challenges were: (1) a lack of material requirements planning system, (2) poor core information, (3) a lack of core material, (4) poor spare parts information, (5) a lack of spare parts material, (6) insufficient quality management practices, (7) large inventories, (8) stochastic remanufacturing processes, (9) a lack of supply-demand balance, and (10) insufficient automation. These challenges contribute to long and variable remanufacturing process lead times. To tackle remanufacturing challenges, seven lean-based improvements with a major effect on improvements in lead time were suggested: standard operations, continuous flow, Kanban, teamwork, employee cross-training, layout for continuous flow, and supplier partnership. Providing that the suggested improvements are implemented, a possible lead time reduction of 83–99 per cent was projected.","author":[{"dropping-particle":"","family":"Kurilova-Palisaitiene","given":"Jelena","non-dropping-particle":"","parse-names":false,"suffix":""},{"dropping-particle":"","family":"Sundin","given":"Erik","non-dropping-particle":"","parse-names":false,"suffix":""},{"dropping-particle":"","family":"Poksinska","given":"Bonnie","non-dropping-particle":"","parse-names":false,"suffix":""}],"container-title":"Journal of Cleaner Production","id":"ITEM-1","issued":{"date-parts":[["2018"]]},"page":"3225-3236","publisher":"Elsevier Ltd","title":"Remanufacturing challenges and possible lean improvements","type":"article-journal","volume":"172"},"uris":["http://www.mendeley.com/documents/?uuid=c97b42aa-c134-45dc-a08f-1a6825fbdb56","http://www.mendeley.com/documents/?uuid=dfc44cd1-b101-4531-9264-83e166403f73"]}],"mendeley":{"formattedCitation":"(Kurilova-Palisaitiene et al., 2018)","manualFormatting":"Kurilova-Palisaitiene et al. (2018)","plainTextFormattedCitation":"(Kurilova-Palisaitiene et al., 2018)","previouslyFormattedCitation":"(Kurilova-Palisaitiene et al., 2018)"},"properties":{"noteIndex":0},"schema":"https://github.com/citation-style-language/schema/raw/master/csl-citation.json"}</w:instrText>
      </w:r>
      <w:r w:rsidR="000476AB" w:rsidRPr="00252DF0">
        <w:rPr>
          <w:lang w:val="en-GB" w:bidi="en-US"/>
        </w:rPr>
        <w:fldChar w:fldCharType="separate"/>
      </w:r>
      <w:r w:rsidR="000476AB" w:rsidRPr="00402AEC">
        <w:rPr>
          <w:noProof/>
          <w:lang w:val="en-GB" w:bidi="en-US"/>
        </w:rPr>
        <w:t xml:space="preserve">Kurilova-Palisaitiene et al. </w:t>
      </w:r>
      <w:r w:rsidR="00A60A35" w:rsidRPr="00402AEC">
        <w:rPr>
          <w:noProof/>
          <w:lang w:val="en-GB" w:bidi="en-US"/>
        </w:rPr>
        <w:t>(</w:t>
      </w:r>
      <w:r w:rsidR="000476AB" w:rsidRPr="00402AEC">
        <w:rPr>
          <w:noProof/>
          <w:lang w:val="en-GB" w:bidi="en-US"/>
        </w:rPr>
        <w:t>2018)</w:t>
      </w:r>
      <w:r w:rsidR="000476AB" w:rsidRPr="00252DF0">
        <w:rPr>
          <w:lang w:val="en-GB" w:bidi="en-US"/>
        </w:rPr>
        <w:fldChar w:fldCharType="end"/>
      </w:r>
      <w:r w:rsidR="000476AB" w:rsidRPr="00402AEC">
        <w:rPr>
          <w:lang w:val="en-GB" w:bidi="en-US"/>
        </w:rPr>
        <w:t xml:space="preserve"> stud</w:t>
      </w:r>
      <w:r w:rsidR="00D7561E">
        <w:rPr>
          <w:lang w:val="en-GB" w:bidi="en-US"/>
        </w:rPr>
        <w:t>ied</w:t>
      </w:r>
      <w:r w:rsidR="000476AB" w:rsidRPr="00402AEC">
        <w:rPr>
          <w:lang w:val="en-GB" w:bidi="en-US"/>
        </w:rPr>
        <w:t xml:space="preserve"> how lean production could be used to tackle remanufacturing process challenges and contribute to shorter lead times. </w:t>
      </w:r>
      <w:r w:rsidR="00787087">
        <w:rPr>
          <w:lang w:val="en-GB" w:bidi="en-US"/>
        </w:rPr>
        <w:t xml:space="preserve">Again, </w:t>
      </w:r>
      <w:r w:rsidR="000476AB" w:rsidRPr="009601F2">
        <w:rPr>
          <w:lang w:val="en-GB" w:bidi="en-US"/>
        </w:rPr>
        <w:fldChar w:fldCharType="begin" w:fldLock="1"/>
      </w:r>
      <w:r w:rsidR="003445CC">
        <w:rPr>
          <w:lang w:val="en-GB" w:bidi="en-US"/>
        </w:rPr>
        <w:instrText>ADDIN CSL_CITATION {"citationItems":[{"id":"ITEM-1","itemData":{"DOI":"10.1016/j.procir.2017.03.133","ISBN":"22128271 (ISSN)","ISSN":"22128271","abstract":"Circular Lean Product-Service Systems (CLPSSs) are a new type of PSS, a combination of a tangible circular product with intangible value-added service elements, and its related supporting closed-loop networks and infrastructure. CLPSSs can lead to dematerialization through reducing the creation of waste in manufacturing and services operations, and the consumption of virgin materials, thanks to a restorative and regenerative operational system by design that can satisfy customers' needs, decouple economic growth from environmental impact and create new revenue streams out of extending the residual value of products. This paper aims to demonstrate the compatibility of circular economy and lean principles in the context of PSSs and contribute to their integration in order to create customer-oriented solutions that minimize resources consumption and enhance the ultimate value-added to the end-user.","author":[{"dropping-particle":"","family":"Romero","given":"David","non-dropping-particle":"","parse-names":false,"suffix":""},{"dropping-particle":"","family":"Rossi","given":"Monica","non-dropping-particle":"","parse-names":false,"suffix":""}],"container-title":"Procedia CIRP","id":"ITEM-1","issued":{"date-parts":[["2017"]]},"page":"13-18","publisher":"The Author(s)","title":"Towards Circular Lean Product-Service Systems","type":"article-journal","volume":"64"},"uris":["http://www.mendeley.com/documents/?uuid=2302cd52-3606-4c11-9cd2-e60e271edc3f"]}],"mendeley":{"formattedCitation":"(Romero and Rossi, 2017)","manualFormatting":"Romero and Rossi (2017)","plainTextFormattedCitation":"(Romero and Rossi, 2017)","previouslyFormattedCitation":"(Romero and Rossi, 2017)"},"properties":{"noteIndex":0},"schema":"https://github.com/citation-style-language/schema/raw/master/csl-citation.json"}</w:instrText>
      </w:r>
      <w:r w:rsidR="000476AB" w:rsidRPr="009601F2">
        <w:rPr>
          <w:lang w:val="en-GB" w:bidi="en-US"/>
        </w:rPr>
        <w:fldChar w:fldCharType="separate"/>
      </w:r>
      <w:r w:rsidR="000476AB" w:rsidRPr="00402AEC">
        <w:rPr>
          <w:noProof/>
          <w:lang w:val="en-GB" w:bidi="en-US"/>
        </w:rPr>
        <w:t xml:space="preserve">Romero and Rossi </w:t>
      </w:r>
      <w:r w:rsidR="00A60A35" w:rsidRPr="00402AEC">
        <w:rPr>
          <w:noProof/>
          <w:lang w:val="en-GB" w:bidi="en-US"/>
        </w:rPr>
        <w:t>(</w:t>
      </w:r>
      <w:r w:rsidR="000476AB" w:rsidRPr="00402AEC">
        <w:rPr>
          <w:noProof/>
          <w:lang w:val="en-GB" w:bidi="en-US"/>
        </w:rPr>
        <w:t>2017)</w:t>
      </w:r>
      <w:r w:rsidR="000476AB" w:rsidRPr="009601F2">
        <w:rPr>
          <w:lang w:val="en-GB" w:bidi="en-US"/>
        </w:rPr>
        <w:fldChar w:fldCharType="end"/>
      </w:r>
      <w:r w:rsidR="000476AB" w:rsidRPr="00402AEC">
        <w:rPr>
          <w:lang w:val="en-GB" w:bidi="en-US"/>
        </w:rPr>
        <w:t xml:space="preserve"> demonstrate</w:t>
      </w:r>
      <w:r w:rsidR="00787087">
        <w:rPr>
          <w:lang w:val="en-GB" w:bidi="en-US"/>
        </w:rPr>
        <w:t>d</w:t>
      </w:r>
      <w:r w:rsidR="000476AB" w:rsidRPr="00402AEC">
        <w:rPr>
          <w:lang w:val="en-GB" w:bidi="en-US"/>
        </w:rPr>
        <w:t xml:space="preserve"> the compatibility of CE and lean principles in the context of PSSs</w:t>
      </w:r>
      <w:r w:rsidR="00F033E0">
        <w:rPr>
          <w:lang w:val="en-GB" w:bidi="en-US"/>
        </w:rPr>
        <w:t>, by</w:t>
      </w:r>
      <w:r w:rsidR="000476AB" w:rsidRPr="00402AEC">
        <w:rPr>
          <w:lang w:val="en-GB" w:bidi="en-US"/>
        </w:rPr>
        <w:t xml:space="preserve"> </w:t>
      </w:r>
      <w:r w:rsidR="00364406">
        <w:rPr>
          <w:lang w:val="en-GB" w:bidi="en-US"/>
        </w:rPr>
        <w:t>reducing</w:t>
      </w:r>
      <w:r w:rsidR="000476AB" w:rsidRPr="00402AEC">
        <w:rPr>
          <w:lang w:val="en-GB" w:bidi="en-US"/>
        </w:rPr>
        <w:t xml:space="preserve"> resources consumption and enhanc</w:t>
      </w:r>
      <w:r w:rsidR="00364406">
        <w:rPr>
          <w:lang w:val="en-GB" w:bidi="en-US"/>
        </w:rPr>
        <w:t>ing</w:t>
      </w:r>
      <w:r w:rsidR="000476AB" w:rsidRPr="00402AEC">
        <w:rPr>
          <w:lang w:val="en-GB" w:bidi="en-US"/>
        </w:rPr>
        <w:t xml:space="preserve"> value-added </w:t>
      </w:r>
      <w:r w:rsidR="00364406">
        <w:rPr>
          <w:lang w:val="en-GB" w:bidi="en-US"/>
        </w:rPr>
        <w:t>for end users</w:t>
      </w:r>
      <w:r w:rsidR="000476AB" w:rsidRPr="00402AEC">
        <w:rPr>
          <w:lang w:val="en-GB" w:bidi="en-US"/>
        </w:rPr>
        <w:t>.</w:t>
      </w:r>
    </w:p>
    <w:p w14:paraId="20A146C0" w14:textId="7C041541" w:rsidR="00A011C4" w:rsidRPr="00402AEC" w:rsidRDefault="00A011C4" w:rsidP="00A011C4">
      <w:pPr>
        <w:pStyle w:val="Didascalia"/>
        <w:spacing w:after="240" w:line="360" w:lineRule="auto"/>
        <w:jc w:val="center"/>
        <w:rPr>
          <w:b w:val="0"/>
          <w:sz w:val="24"/>
          <w:lang w:val="en-GB"/>
        </w:rPr>
      </w:pPr>
      <w:r w:rsidRPr="00402AEC">
        <w:rPr>
          <w:caps w:val="0"/>
          <w:sz w:val="24"/>
          <w:lang w:val="en-GB"/>
        </w:rPr>
        <w:t xml:space="preserve">Table </w:t>
      </w:r>
      <w:r w:rsidRPr="009601F2">
        <w:rPr>
          <w:sz w:val="24"/>
          <w:lang w:val="en-GB"/>
        </w:rPr>
        <w:fldChar w:fldCharType="begin"/>
      </w:r>
      <w:r w:rsidRPr="0024288F">
        <w:rPr>
          <w:sz w:val="24"/>
          <w:lang w:val="en-GB"/>
        </w:rPr>
        <w:instrText xml:space="preserve"> SEQ Table \* ARABIC </w:instrText>
      </w:r>
      <w:r w:rsidRPr="009601F2">
        <w:rPr>
          <w:sz w:val="24"/>
          <w:lang w:val="en-GB"/>
        </w:rPr>
        <w:fldChar w:fldCharType="separate"/>
      </w:r>
      <w:r w:rsidR="008F7F15">
        <w:rPr>
          <w:noProof/>
          <w:sz w:val="24"/>
          <w:lang w:val="en-GB"/>
        </w:rPr>
        <w:t>4</w:t>
      </w:r>
      <w:r w:rsidRPr="009601F2">
        <w:rPr>
          <w:sz w:val="24"/>
          <w:lang w:val="en-GB"/>
        </w:rPr>
        <w:fldChar w:fldCharType="end"/>
      </w:r>
      <w:r w:rsidRPr="00402AEC">
        <w:rPr>
          <w:caps w:val="0"/>
          <w:sz w:val="24"/>
          <w:lang w:val="en-GB"/>
        </w:rPr>
        <w:t>.</w:t>
      </w:r>
      <w:r w:rsidRPr="00402AEC">
        <w:rPr>
          <w:b w:val="0"/>
          <w:caps w:val="0"/>
          <w:sz w:val="24"/>
          <w:lang w:val="en-GB"/>
        </w:rPr>
        <w:t xml:space="preserve"> CBM </w:t>
      </w:r>
      <w:r w:rsidR="00105A44" w:rsidRPr="00402AEC">
        <w:rPr>
          <w:b w:val="0"/>
          <w:caps w:val="0"/>
          <w:sz w:val="24"/>
          <w:lang w:val="en-GB"/>
        </w:rPr>
        <w:t>challenges</w:t>
      </w:r>
      <w:r w:rsidR="00687A03" w:rsidRPr="00402AEC">
        <w:rPr>
          <w:b w:val="0"/>
          <w:caps w:val="0"/>
          <w:sz w:val="24"/>
          <w:lang w:val="en-GB"/>
        </w:rPr>
        <w:t xml:space="preserve"> </w:t>
      </w:r>
      <w:r w:rsidR="0074687A">
        <w:rPr>
          <w:b w:val="0"/>
          <w:caps w:val="0"/>
          <w:sz w:val="24"/>
          <w:lang w:val="en-GB"/>
        </w:rPr>
        <w:t>classification</w:t>
      </w:r>
    </w:p>
    <w:tbl>
      <w:tblPr>
        <w:tblStyle w:val="Grigliatabella"/>
        <w:tblW w:w="5000" w:type="pct"/>
        <w:tblLayout w:type="fixed"/>
        <w:tblLook w:val="01E0" w:firstRow="1" w:lastRow="1" w:firstColumn="1" w:lastColumn="1" w:noHBand="0" w:noVBand="0"/>
      </w:tblPr>
      <w:tblGrid>
        <w:gridCol w:w="1854"/>
        <w:gridCol w:w="1682"/>
        <w:gridCol w:w="1844"/>
        <w:gridCol w:w="1561"/>
        <w:gridCol w:w="1276"/>
        <w:gridCol w:w="1405"/>
      </w:tblGrid>
      <w:tr w:rsidR="00A85AA9" w:rsidRPr="00402AEC" w14:paraId="27BCFF42" w14:textId="0B86767D" w:rsidTr="00746DB3">
        <w:tc>
          <w:tcPr>
            <w:tcW w:w="964" w:type="pct"/>
            <w:vMerge w:val="restart"/>
          </w:tcPr>
          <w:p w14:paraId="1C7CED98" w14:textId="77777777" w:rsidR="00A85AA9" w:rsidRPr="00402AEC" w:rsidRDefault="00A85AA9" w:rsidP="00D62E44">
            <w:pPr>
              <w:rPr>
                <w:b/>
                <w:lang w:val="en-GB"/>
              </w:rPr>
            </w:pPr>
            <w:r w:rsidRPr="00402AEC">
              <w:rPr>
                <w:b/>
                <w:lang w:val="en-GB"/>
              </w:rPr>
              <w:t>Author</w:t>
            </w:r>
          </w:p>
        </w:tc>
        <w:tc>
          <w:tcPr>
            <w:tcW w:w="4036" w:type="pct"/>
            <w:gridSpan w:val="5"/>
          </w:tcPr>
          <w:p w14:paraId="407C43D2" w14:textId="47B8AACE" w:rsidR="00A85AA9" w:rsidRPr="00402AEC" w:rsidRDefault="00A85AA9" w:rsidP="00D62E44">
            <w:pPr>
              <w:jc w:val="center"/>
              <w:rPr>
                <w:b/>
                <w:lang w:val="en-GB"/>
              </w:rPr>
            </w:pPr>
            <w:r w:rsidRPr="00402AEC">
              <w:rPr>
                <w:b/>
                <w:lang w:val="en-GB"/>
              </w:rPr>
              <w:t xml:space="preserve">CBM challenges </w:t>
            </w:r>
            <w:r>
              <w:rPr>
                <w:b/>
                <w:lang w:val="en-GB"/>
              </w:rPr>
              <w:t>classification</w:t>
            </w:r>
          </w:p>
        </w:tc>
      </w:tr>
      <w:tr w:rsidR="00A85AA9" w:rsidRPr="00402AEC" w14:paraId="1D9DC806" w14:textId="28B32B80" w:rsidTr="00746DB3">
        <w:tc>
          <w:tcPr>
            <w:tcW w:w="964" w:type="pct"/>
            <w:vMerge/>
          </w:tcPr>
          <w:p w14:paraId="18995E92" w14:textId="77777777" w:rsidR="00843C5D" w:rsidRPr="00402AEC" w:rsidRDefault="00843C5D" w:rsidP="00843C5D">
            <w:pPr>
              <w:rPr>
                <w:b/>
                <w:lang w:val="en-GB"/>
              </w:rPr>
            </w:pPr>
          </w:p>
        </w:tc>
        <w:tc>
          <w:tcPr>
            <w:tcW w:w="874" w:type="pct"/>
          </w:tcPr>
          <w:p w14:paraId="5D6A2A88" w14:textId="43ECEEB0" w:rsidR="00843C5D" w:rsidRDefault="00843C5D" w:rsidP="00843C5D">
            <w:pPr>
              <w:jc w:val="center"/>
              <w:rPr>
                <w:b/>
                <w:lang w:val="en-GB"/>
              </w:rPr>
            </w:pPr>
            <w:r>
              <w:rPr>
                <w:b/>
                <w:lang w:val="en-GB"/>
              </w:rPr>
              <w:t>Sustainability-based</w:t>
            </w:r>
          </w:p>
        </w:tc>
        <w:tc>
          <w:tcPr>
            <w:tcW w:w="958" w:type="pct"/>
          </w:tcPr>
          <w:p w14:paraId="4ECDC77A" w14:textId="360AF51D" w:rsidR="00843C5D" w:rsidRPr="00402AEC" w:rsidRDefault="00843C5D" w:rsidP="00843C5D">
            <w:pPr>
              <w:jc w:val="center"/>
              <w:rPr>
                <w:b/>
                <w:lang w:val="en-GB"/>
              </w:rPr>
            </w:pPr>
            <w:r>
              <w:rPr>
                <w:b/>
                <w:lang w:val="en-GB"/>
              </w:rPr>
              <w:t>Supply chain-based</w:t>
            </w:r>
          </w:p>
        </w:tc>
        <w:tc>
          <w:tcPr>
            <w:tcW w:w="811" w:type="pct"/>
          </w:tcPr>
          <w:p w14:paraId="476A7540" w14:textId="689C37D9" w:rsidR="00843C5D" w:rsidRPr="00402AEC" w:rsidRDefault="00843C5D" w:rsidP="00843C5D">
            <w:pPr>
              <w:jc w:val="center"/>
              <w:rPr>
                <w:b/>
                <w:lang w:val="en-GB"/>
              </w:rPr>
            </w:pPr>
            <w:r w:rsidRPr="00402AEC">
              <w:rPr>
                <w:b/>
                <w:lang w:val="en-GB"/>
              </w:rPr>
              <w:t>Company</w:t>
            </w:r>
            <w:r>
              <w:rPr>
                <w:b/>
                <w:lang w:val="en-GB"/>
              </w:rPr>
              <w:t>-based</w:t>
            </w:r>
          </w:p>
        </w:tc>
        <w:tc>
          <w:tcPr>
            <w:tcW w:w="663" w:type="pct"/>
          </w:tcPr>
          <w:p w14:paraId="5A210199" w14:textId="345068E1" w:rsidR="00843C5D" w:rsidRPr="00402AEC" w:rsidRDefault="00843C5D" w:rsidP="00843C5D">
            <w:pPr>
              <w:jc w:val="center"/>
              <w:rPr>
                <w:b/>
                <w:lang w:val="en-GB"/>
              </w:rPr>
            </w:pPr>
            <w:r w:rsidRPr="00402AEC">
              <w:rPr>
                <w:b/>
                <w:lang w:val="en-GB"/>
              </w:rPr>
              <w:t>ICT</w:t>
            </w:r>
            <w:r>
              <w:rPr>
                <w:b/>
                <w:lang w:val="en-GB"/>
              </w:rPr>
              <w:t>-based</w:t>
            </w:r>
          </w:p>
        </w:tc>
        <w:tc>
          <w:tcPr>
            <w:tcW w:w="730" w:type="pct"/>
          </w:tcPr>
          <w:p w14:paraId="7C989D5F" w14:textId="697853A3" w:rsidR="00843C5D" w:rsidRDefault="00843C5D" w:rsidP="00843C5D">
            <w:pPr>
              <w:jc w:val="center"/>
              <w:rPr>
                <w:b/>
                <w:lang w:val="en-GB"/>
              </w:rPr>
            </w:pPr>
            <w:r>
              <w:rPr>
                <w:b/>
                <w:lang w:val="en-GB"/>
              </w:rPr>
              <w:t>Lean-based</w:t>
            </w:r>
          </w:p>
        </w:tc>
      </w:tr>
      <w:tr w:rsidR="00A85AA9" w:rsidRPr="00402AEC" w14:paraId="7B1F638A" w14:textId="51F6AD34" w:rsidTr="00746DB3">
        <w:tc>
          <w:tcPr>
            <w:tcW w:w="964" w:type="pct"/>
          </w:tcPr>
          <w:p w14:paraId="490F59DB" w14:textId="5F33BCCD" w:rsidR="00843C5D" w:rsidRPr="00C03A6B" w:rsidRDefault="00843C5D" w:rsidP="00843C5D">
            <w:pPr>
              <w:rPr>
                <w:sz w:val="20"/>
                <w:szCs w:val="20"/>
                <w:highlight w:val="yellow"/>
                <w:lang w:val="en-GB"/>
              </w:rPr>
            </w:pPr>
            <w:r w:rsidRPr="003227BC">
              <w:rPr>
                <w:sz w:val="20"/>
                <w:szCs w:val="20"/>
                <w:lang w:val="en-GB" w:bidi="en-US"/>
              </w:rPr>
              <w:fldChar w:fldCharType="begin" w:fldLock="1"/>
            </w:r>
            <w:r w:rsidR="00BF2F60">
              <w:rPr>
                <w:sz w:val="20"/>
                <w:szCs w:val="20"/>
                <w:lang w:val="en-GB" w:bidi="en-US"/>
              </w:rPr>
              <w:instrText>ADDIN CSL_CITATION {"citationItems":[{"id":"ITEM-1","itemData":{"DOI":"10.1111/j.1530-9290.2011.00450.x","ISBN":"1530-9290","ISSN":"10881980","abstract":"Industrial symbiosis examines cooperative management of resource flows through networks of businesses known in the literature as industrial ecosystems. These industrial ecosystems have previously been portrayed as having characteristics of complex adaptive systems, but with insufficient attention to the internal and external phenomena describing their genesis. Drawing on biological, ecological, organizational, and systems theory, a discontinuous three-stage model of industrial symbiosis is presented. The model proceeds from a random formative stage involving numerous actors engaging in material and energy exchanges, to conscious recognition and intentional pursuit of network benefits, to institutionalization of beliefs and norms enabling successful collaborative behavior. While there is much variation, with no single path to this outcome, the recognition of benefits is seen as an emergent property characteristic of these self-organized systems that move beyond the initial stage.","author":[{"dropping-particle":"","family":"Chertow","given":"Marian","non-dropping-particle":"","parse-names":false,"suffix":""},{"dropping-particle":"","family":"Ehrenfeld","given":"John","non-dropping-particle":"","parse-names":false,"suffix":""}],"container-title":"Journal of Industrial Ecology","id":"ITEM-1","issue":"1","issued":{"date-parts":[["2012"]]},"page":"13-27","title":"Organizing Self-Organizing Systems: Toward a Theory of Industrial Symbiosis","type":"article-journal","volume":"16"},"uris":["http://www.mendeley.com/documents/?uuid=14cbe99f-0d9d-4599-b94a-f880b936aa7a","http://www.mendeley.com/documents/?uuid=0bcace70-4c7a-4768-9bdc-ba474f781968"]}],"mendeley":{"formattedCitation":"(Chertow and Ehrenfeld, 2012)","plainTextFormattedCitation":"(Chertow and Ehrenfeld, 2012)","previouslyFormattedCitation":"(Chertow and Ehrenfeld, 2012)"},"properties":{"noteIndex":0},"schema":"https://github.com/citation-style-language/schema/raw/master/csl-citation.json"}</w:instrText>
            </w:r>
            <w:r w:rsidRPr="003227BC">
              <w:rPr>
                <w:sz w:val="20"/>
                <w:szCs w:val="20"/>
                <w:lang w:val="en-GB" w:bidi="en-US"/>
              </w:rPr>
              <w:fldChar w:fldCharType="separate"/>
            </w:r>
            <w:r w:rsidRPr="003227BC">
              <w:rPr>
                <w:noProof/>
                <w:sz w:val="20"/>
                <w:szCs w:val="20"/>
                <w:lang w:val="en-GB" w:bidi="en-US"/>
              </w:rPr>
              <w:t>(Chertow and Ehrenfeld, 2012)</w:t>
            </w:r>
            <w:r w:rsidRPr="003227BC">
              <w:rPr>
                <w:sz w:val="20"/>
                <w:szCs w:val="20"/>
                <w:lang w:val="en-GB" w:bidi="en-US"/>
              </w:rPr>
              <w:fldChar w:fldCharType="end"/>
            </w:r>
          </w:p>
        </w:tc>
        <w:tc>
          <w:tcPr>
            <w:tcW w:w="874" w:type="pct"/>
          </w:tcPr>
          <w:p w14:paraId="2C909AAF" w14:textId="77777777" w:rsidR="00843C5D" w:rsidRPr="003227BC" w:rsidRDefault="00843C5D" w:rsidP="00843C5D">
            <w:pPr>
              <w:jc w:val="center"/>
              <w:rPr>
                <w:sz w:val="20"/>
                <w:szCs w:val="20"/>
                <w:lang w:val="en-GB"/>
              </w:rPr>
            </w:pPr>
          </w:p>
        </w:tc>
        <w:tc>
          <w:tcPr>
            <w:tcW w:w="958" w:type="pct"/>
          </w:tcPr>
          <w:p w14:paraId="6CF711EE" w14:textId="7456448C" w:rsidR="00843C5D" w:rsidRPr="00746DB3" w:rsidRDefault="00843C5D" w:rsidP="00843C5D">
            <w:pPr>
              <w:jc w:val="center"/>
              <w:rPr>
                <w:sz w:val="20"/>
                <w:szCs w:val="20"/>
                <w:lang w:val="en-GB"/>
              </w:rPr>
            </w:pPr>
            <w:r w:rsidRPr="003227BC">
              <w:rPr>
                <w:sz w:val="20"/>
                <w:szCs w:val="20"/>
                <w:lang w:val="en-GB"/>
              </w:rPr>
              <w:t>x</w:t>
            </w:r>
          </w:p>
        </w:tc>
        <w:tc>
          <w:tcPr>
            <w:tcW w:w="811" w:type="pct"/>
          </w:tcPr>
          <w:p w14:paraId="5D77BC76" w14:textId="77777777" w:rsidR="00843C5D" w:rsidRPr="00746DB3" w:rsidRDefault="00843C5D" w:rsidP="00843C5D">
            <w:pPr>
              <w:jc w:val="center"/>
              <w:rPr>
                <w:sz w:val="20"/>
                <w:szCs w:val="20"/>
                <w:lang w:val="en-GB"/>
              </w:rPr>
            </w:pPr>
          </w:p>
        </w:tc>
        <w:tc>
          <w:tcPr>
            <w:tcW w:w="663" w:type="pct"/>
          </w:tcPr>
          <w:p w14:paraId="5585F560" w14:textId="77777777" w:rsidR="00843C5D" w:rsidRPr="00746DB3" w:rsidRDefault="00843C5D" w:rsidP="00843C5D">
            <w:pPr>
              <w:jc w:val="center"/>
              <w:rPr>
                <w:sz w:val="20"/>
                <w:szCs w:val="20"/>
                <w:lang w:val="en-GB"/>
              </w:rPr>
            </w:pPr>
          </w:p>
        </w:tc>
        <w:tc>
          <w:tcPr>
            <w:tcW w:w="730" w:type="pct"/>
          </w:tcPr>
          <w:p w14:paraId="7F5F7389" w14:textId="2A3DF6E1" w:rsidR="00843C5D" w:rsidRPr="00746DB3" w:rsidRDefault="00843C5D" w:rsidP="00843C5D">
            <w:pPr>
              <w:jc w:val="center"/>
              <w:rPr>
                <w:sz w:val="20"/>
                <w:szCs w:val="20"/>
                <w:lang w:val="en-GB"/>
              </w:rPr>
            </w:pPr>
          </w:p>
        </w:tc>
      </w:tr>
      <w:tr w:rsidR="00A85AA9" w:rsidRPr="00402AEC" w14:paraId="09F1B846" w14:textId="77777777" w:rsidTr="00746DB3">
        <w:tc>
          <w:tcPr>
            <w:tcW w:w="964" w:type="pct"/>
          </w:tcPr>
          <w:p w14:paraId="719C5D2C" w14:textId="70C38371" w:rsidR="00843C5D" w:rsidRPr="00C03A6B" w:rsidRDefault="00843C5D" w:rsidP="00843C5D">
            <w:pPr>
              <w:rPr>
                <w:sz w:val="20"/>
                <w:szCs w:val="20"/>
                <w:lang w:val="en-GB" w:bidi="en-US"/>
              </w:rPr>
            </w:pPr>
            <w:r w:rsidRPr="005D6E28">
              <w:rPr>
                <w:sz w:val="20"/>
                <w:szCs w:val="20"/>
                <w:lang w:val="en-GB" w:bidi="en-US"/>
              </w:rPr>
              <w:t>(</w:t>
            </w:r>
            <w:r w:rsidRPr="005D6E28">
              <w:rPr>
                <w:sz w:val="20"/>
                <w:szCs w:val="20"/>
                <w:lang w:val="en-GB" w:bidi="en-US"/>
              </w:rPr>
              <w:fldChar w:fldCharType="begin" w:fldLock="1"/>
            </w:r>
            <w:r w:rsidR="003445CC">
              <w:rPr>
                <w:sz w:val="20"/>
                <w:szCs w:val="20"/>
                <w:lang w:val="en-GB" w:bidi="en-US"/>
              </w:rPr>
              <w:instrText>ADDIN CSL_CITATION {"citationItems":[{"id":"ITEM-1","itemData":{"author":[{"dropping-particle":"","family":"Lange","given":"Jasper","non-dropping-particle":"de","parse-names":false,"suffix":""},{"dropping-particle":"","family":"Rodić","given":"Ljiljana","non-dropping-particle":"","parse-names":false,"suffix":""}],"id":"ITEM-1","issued":{"date-parts":[["2013"]]},"number-of-pages":"1-18","title":"From Waste Handler to Resource Manager : New Roles for Solid Waste Management Companies in a Circular Economy","type":"report"},"uris":["http://www.mendeley.com/documents/?uuid=ec3a0cb7-271c-413d-9975-6f77c951b46f"]}],"mendeley":{"formattedCitation":"(de Lange and Rodić, 2013)","manualFormatting":"de Lange and Rodić 2006)","plainTextFormattedCitation":"(de Lange and Rodić, 2013)","previouslyFormattedCitation":"(de Lange and Rodić, 2013)"},"properties":{"noteIndex":0},"schema":"https://github.com/citation-style-language/schema/raw/master/csl-citation.json"}</w:instrText>
            </w:r>
            <w:r w:rsidRPr="005D6E28">
              <w:rPr>
                <w:sz w:val="20"/>
                <w:szCs w:val="20"/>
                <w:lang w:val="en-GB" w:bidi="en-US"/>
              </w:rPr>
              <w:fldChar w:fldCharType="separate"/>
            </w:r>
            <w:r w:rsidRPr="005D6E28">
              <w:rPr>
                <w:noProof/>
                <w:sz w:val="20"/>
                <w:szCs w:val="20"/>
                <w:lang w:val="en-GB" w:bidi="en-US"/>
              </w:rPr>
              <w:t>de Lange and Rodić 2006)</w:t>
            </w:r>
            <w:r w:rsidRPr="005D6E28">
              <w:rPr>
                <w:sz w:val="20"/>
                <w:szCs w:val="20"/>
                <w:lang w:val="en-GB" w:bidi="en-US"/>
              </w:rPr>
              <w:fldChar w:fldCharType="end"/>
            </w:r>
          </w:p>
        </w:tc>
        <w:tc>
          <w:tcPr>
            <w:tcW w:w="874" w:type="pct"/>
          </w:tcPr>
          <w:p w14:paraId="1B4A2699" w14:textId="77777777" w:rsidR="00843C5D" w:rsidRPr="00C03A6B" w:rsidRDefault="00843C5D" w:rsidP="00843C5D">
            <w:pPr>
              <w:jc w:val="center"/>
              <w:rPr>
                <w:sz w:val="20"/>
                <w:szCs w:val="20"/>
                <w:lang w:val="en-GB"/>
              </w:rPr>
            </w:pPr>
          </w:p>
        </w:tc>
        <w:tc>
          <w:tcPr>
            <w:tcW w:w="958" w:type="pct"/>
          </w:tcPr>
          <w:p w14:paraId="16AF4218" w14:textId="352659A7" w:rsidR="00843C5D" w:rsidRPr="00C03A6B" w:rsidRDefault="00843C5D" w:rsidP="00843C5D">
            <w:pPr>
              <w:jc w:val="center"/>
              <w:rPr>
                <w:sz w:val="20"/>
                <w:szCs w:val="20"/>
                <w:lang w:val="en-GB"/>
              </w:rPr>
            </w:pPr>
          </w:p>
        </w:tc>
        <w:tc>
          <w:tcPr>
            <w:tcW w:w="811" w:type="pct"/>
          </w:tcPr>
          <w:p w14:paraId="5C8755C7" w14:textId="798A41C4" w:rsidR="00843C5D" w:rsidRPr="00C03A6B" w:rsidRDefault="00843C5D" w:rsidP="00843C5D">
            <w:pPr>
              <w:jc w:val="center"/>
              <w:rPr>
                <w:sz w:val="20"/>
                <w:szCs w:val="20"/>
                <w:lang w:val="en-GB"/>
              </w:rPr>
            </w:pPr>
            <w:r w:rsidRPr="005D6E28">
              <w:rPr>
                <w:sz w:val="20"/>
                <w:szCs w:val="20"/>
                <w:lang w:val="en-GB"/>
              </w:rPr>
              <w:t>x</w:t>
            </w:r>
          </w:p>
        </w:tc>
        <w:tc>
          <w:tcPr>
            <w:tcW w:w="663" w:type="pct"/>
          </w:tcPr>
          <w:p w14:paraId="4EF2A2EF" w14:textId="77777777" w:rsidR="00843C5D" w:rsidRPr="00C03A6B" w:rsidRDefault="00843C5D" w:rsidP="00843C5D">
            <w:pPr>
              <w:jc w:val="center"/>
              <w:rPr>
                <w:sz w:val="20"/>
                <w:szCs w:val="20"/>
                <w:lang w:val="en-GB"/>
              </w:rPr>
            </w:pPr>
          </w:p>
        </w:tc>
        <w:tc>
          <w:tcPr>
            <w:tcW w:w="730" w:type="pct"/>
          </w:tcPr>
          <w:p w14:paraId="34DFD4C1" w14:textId="246C1686" w:rsidR="00843C5D" w:rsidRPr="00C03A6B" w:rsidRDefault="00843C5D" w:rsidP="00843C5D">
            <w:pPr>
              <w:jc w:val="center"/>
              <w:rPr>
                <w:sz w:val="20"/>
                <w:szCs w:val="20"/>
                <w:lang w:val="en-GB"/>
              </w:rPr>
            </w:pPr>
          </w:p>
        </w:tc>
      </w:tr>
      <w:tr w:rsidR="00A85AA9" w:rsidRPr="00402AEC" w14:paraId="43104FAE" w14:textId="77777777" w:rsidTr="00746DB3">
        <w:tc>
          <w:tcPr>
            <w:tcW w:w="964" w:type="pct"/>
          </w:tcPr>
          <w:p w14:paraId="43EF6ADB" w14:textId="784EA8A7" w:rsidR="00843C5D" w:rsidRPr="005D6E28" w:rsidRDefault="00843C5D" w:rsidP="00843C5D">
            <w:pPr>
              <w:rPr>
                <w:sz w:val="20"/>
                <w:szCs w:val="20"/>
                <w:lang w:val="en-GB" w:bidi="en-US"/>
              </w:rPr>
            </w:pPr>
            <w:r w:rsidRPr="004367C2">
              <w:rPr>
                <w:sz w:val="20"/>
                <w:szCs w:val="20"/>
                <w:lang w:val="en-GB" w:bidi="en-US"/>
              </w:rPr>
              <w:t>(</w:t>
            </w:r>
            <w:r w:rsidRPr="004367C2">
              <w:rPr>
                <w:sz w:val="20"/>
                <w:szCs w:val="20"/>
                <w:lang w:val="en-GB" w:bidi="en-US"/>
              </w:rPr>
              <w:fldChar w:fldCharType="begin" w:fldLock="1"/>
            </w:r>
            <w:r w:rsidR="003445CC">
              <w:rPr>
                <w:sz w:val="20"/>
                <w:szCs w:val="20"/>
                <w:lang w:val="en-GB" w:bidi="en-US"/>
              </w:rPr>
              <w:instrText>ADDIN CSL_CITATION {"citationItems":[{"id":"ITEM-1","itemData":{"DOI":"10.1016/j.jclepro.2017.09.056","ISSN":"09596526","abstract":"The Circular Economy (CE) has received considerable attention as an approach that promises to reconcile ecological systems and economic growth. In spite of its increased popularity, little is known about the implementation struggles of incumbent firms across industrial sectors. Furthermore, although the notion of circular production systems is at the intersection of different research areas such as sustainable product design, sustainable supply chains, and reverse logistics, knowledge on how these concepts combine to ease or impede firms' transition towards circularity is scarce. To shed light on these gaps, I used multiple case studies from Cradle to Cradle certified companies in the textile industry in Europe. By employing qualitative research, I identified a set of factors along the textile value chain, from product design to take-back and reprocessing, that are crucial in expediting or delaying a firm's aspirations to develop a circular product. The main contribution of this paper is the dynamic understanding of how certain collaborative supplier-buyer innovation factors (i.e., supply chain position, power balance, and a shared vision) coupled with complex aspects in product design, namely in basic materials, architecture, and functionality, combine to determine the output speed and quantity of circular products to be sold, taken back, and ultimately regenerated.","author":[{"dropping-particle":"","family":"Franco","given":"Maria A.","non-dropping-particle":"","parse-names":false,"suffix":""}],"container-title":"Journal of Cleaner Production","id":"ITEM-1","issued":{"date-parts":[["2017"]]},"page":"833-845","publisher":"Elsevier Ltd","title":"Circular economy at the micro level: A dynamic view of incumbents' struggles and challenges in the textile industry","type":"article-journal","volume":"168"},"uris":["http://www.mendeley.com/documents/?uuid=0cad5324-584b-4f9f-965d-bcb477bedb56"]}],"mendeley":{"formattedCitation":"(Franco, 2017)","manualFormatting":"Franco 2017)","plainTextFormattedCitation":"(Franco, 2017)","previouslyFormattedCitation":"(Franco, 2017)"},"properties":{"noteIndex":0},"schema":"https://github.com/citation-style-language/schema/raw/master/csl-citation.json"}</w:instrText>
            </w:r>
            <w:r w:rsidRPr="004367C2">
              <w:rPr>
                <w:sz w:val="20"/>
                <w:szCs w:val="20"/>
                <w:lang w:val="en-GB" w:bidi="en-US"/>
              </w:rPr>
              <w:fldChar w:fldCharType="separate"/>
            </w:r>
            <w:r w:rsidRPr="004367C2">
              <w:rPr>
                <w:noProof/>
                <w:sz w:val="20"/>
                <w:szCs w:val="20"/>
                <w:lang w:val="en-GB" w:bidi="en-US"/>
              </w:rPr>
              <w:t>Franco 2017)</w:t>
            </w:r>
            <w:r w:rsidRPr="004367C2">
              <w:rPr>
                <w:sz w:val="20"/>
                <w:szCs w:val="20"/>
                <w:lang w:val="en-GB" w:bidi="en-US"/>
              </w:rPr>
              <w:fldChar w:fldCharType="end"/>
            </w:r>
          </w:p>
        </w:tc>
        <w:tc>
          <w:tcPr>
            <w:tcW w:w="874" w:type="pct"/>
          </w:tcPr>
          <w:p w14:paraId="3DA9E167" w14:textId="77777777" w:rsidR="00843C5D" w:rsidRPr="00C03A6B" w:rsidRDefault="00843C5D" w:rsidP="00843C5D">
            <w:pPr>
              <w:jc w:val="center"/>
              <w:rPr>
                <w:sz w:val="20"/>
                <w:szCs w:val="20"/>
                <w:lang w:val="en-GB"/>
              </w:rPr>
            </w:pPr>
          </w:p>
        </w:tc>
        <w:tc>
          <w:tcPr>
            <w:tcW w:w="958" w:type="pct"/>
          </w:tcPr>
          <w:p w14:paraId="52E33869" w14:textId="7A417EC9" w:rsidR="00843C5D" w:rsidRPr="00C03A6B" w:rsidRDefault="00843C5D" w:rsidP="00843C5D">
            <w:pPr>
              <w:jc w:val="center"/>
              <w:rPr>
                <w:sz w:val="20"/>
                <w:szCs w:val="20"/>
                <w:lang w:val="en-GB"/>
              </w:rPr>
            </w:pPr>
          </w:p>
        </w:tc>
        <w:tc>
          <w:tcPr>
            <w:tcW w:w="811" w:type="pct"/>
          </w:tcPr>
          <w:p w14:paraId="71F800B7" w14:textId="6B0ADFD4" w:rsidR="00843C5D" w:rsidRPr="005D6E28" w:rsidRDefault="00843C5D" w:rsidP="00843C5D">
            <w:pPr>
              <w:jc w:val="center"/>
              <w:rPr>
                <w:sz w:val="20"/>
                <w:szCs w:val="20"/>
                <w:lang w:val="en-GB"/>
              </w:rPr>
            </w:pPr>
            <w:r w:rsidRPr="004367C2">
              <w:rPr>
                <w:sz w:val="20"/>
                <w:szCs w:val="20"/>
                <w:lang w:val="en-GB"/>
              </w:rPr>
              <w:t>x</w:t>
            </w:r>
          </w:p>
        </w:tc>
        <w:tc>
          <w:tcPr>
            <w:tcW w:w="663" w:type="pct"/>
          </w:tcPr>
          <w:p w14:paraId="52404DE3" w14:textId="77777777" w:rsidR="00843C5D" w:rsidRPr="00C03A6B" w:rsidRDefault="00843C5D" w:rsidP="00843C5D">
            <w:pPr>
              <w:jc w:val="center"/>
              <w:rPr>
                <w:sz w:val="20"/>
                <w:szCs w:val="20"/>
                <w:lang w:val="en-GB"/>
              </w:rPr>
            </w:pPr>
          </w:p>
        </w:tc>
        <w:tc>
          <w:tcPr>
            <w:tcW w:w="730" w:type="pct"/>
          </w:tcPr>
          <w:p w14:paraId="712C1436" w14:textId="77777777" w:rsidR="00843C5D" w:rsidRPr="00C03A6B" w:rsidRDefault="00843C5D" w:rsidP="00843C5D">
            <w:pPr>
              <w:jc w:val="center"/>
              <w:rPr>
                <w:sz w:val="20"/>
                <w:szCs w:val="20"/>
                <w:lang w:val="en-GB"/>
              </w:rPr>
            </w:pPr>
          </w:p>
        </w:tc>
      </w:tr>
      <w:tr w:rsidR="00A85AA9" w:rsidRPr="00402AEC" w14:paraId="6AF68B28" w14:textId="77777777" w:rsidTr="00746DB3">
        <w:tc>
          <w:tcPr>
            <w:tcW w:w="964" w:type="pct"/>
          </w:tcPr>
          <w:p w14:paraId="6C61ED5B" w14:textId="5AB9D48E" w:rsidR="00843C5D" w:rsidRPr="004367C2" w:rsidRDefault="00843C5D" w:rsidP="00843C5D">
            <w:pPr>
              <w:rPr>
                <w:sz w:val="20"/>
                <w:szCs w:val="20"/>
                <w:lang w:val="en-GB" w:bidi="en-US"/>
              </w:rPr>
            </w:pPr>
            <w:r w:rsidRPr="00772F1A">
              <w:rPr>
                <w:sz w:val="20"/>
                <w:szCs w:val="20"/>
                <w:lang w:val="en-GB" w:bidi="en-US"/>
              </w:rPr>
              <w:t>(</w:t>
            </w:r>
            <w:r w:rsidRPr="00772F1A">
              <w:rPr>
                <w:sz w:val="20"/>
                <w:szCs w:val="20"/>
                <w:lang w:val="en-GB" w:bidi="en-US"/>
              </w:rPr>
              <w:fldChar w:fldCharType="begin" w:fldLock="1"/>
            </w:r>
            <w:r w:rsidR="003445CC">
              <w:rPr>
                <w:sz w:val="20"/>
                <w:szCs w:val="20"/>
                <w:lang w:val="en-GB" w:bidi="en-US"/>
              </w:rPr>
              <w:instrText>ADDIN CSL_CITATION {"citationItems":[{"id":"ITEM-1","itemData":{"author":[{"dropping-particle":"","family":"Guldmann","given":"Eva","non-dropping-particle":"","parse-names":false,"suffix":""},{"dropping-particle":"","family":"Jensen","given":"Jonas Pagh","non-dropping-particle":"","parse-names":false,"suffix":""}],"container-title":"Global Cleaner Production and Sustainable Consumption Conference 2015","id":"ITEM-1","issued":{"date-parts":[["2015"]]},"page":"1-2","publisher-place":"Barcelona, Spain","title":"Implementation of circular economy in Danish companies","type":"paper-conference"},"uris":["http://www.mendeley.com/documents/?uuid=a17433fa-6b69-43dc-9b0e-aa652b93de68","http://www.mendeley.com/documents/?uuid=6c88fd4b-c043-4a11-a59c-3bc050e334fa"]}],"mendeley":{"formattedCitation":"(Guldmann and Jensen, 2015)","manualFormatting":"Guldmann and Jensen 2015)","plainTextFormattedCitation":"(Guldmann and Jensen, 2015)","previouslyFormattedCitation":"(Guldmann and Jensen, 2015)"},"properties":{"noteIndex":0},"schema":"https://github.com/citation-style-language/schema/raw/master/csl-citation.json"}</w:instrText>
            </w:r>
            <w:r w:rsidRPr="00772F1A">
              <w:rPr>
                <w:sz w:val="20"/>
                <w:szCs w:val="20"/>
                <w:lang w:val="en-GB" w:bidi="en-US"/>
              </w:rPr>
              <w:fldChar w:fldCharType="separate"/>
            </w:r>
            <w:r w:rsidRPr="00772F1A">
              <w:rPr>
                <w:noProof/>
                <w:sz w:val="20"/>
                <w:szCs w:val="20"/>
                <w:lang w:val="en-GB" w:bidi="en-US"/>
              </w:rPr>
              <w:t>Guldmann and Jensen 2015)</w:t>
            </w:r>
            <w:r w:rsidRPr="00772F1A">
              <w:rPr>
                <w:sz w:val="20"/>
                <w:szCs w:val="20"/>
                <w:lang w:val="en-GB" w:bidi="en-US"/>
              </w:rPr>
              <w:fldChar w:fldCharType="end"/>
            </w:r>
          </w:p>
        </w:tc>
        <w:tc>
          <w:tcPr>
            <w:tcW w:w="874" w:type="pct"/>
          </w:tcPr>
          <w:p w14:paraId="1CD7796B" w14:textId="77777777" w:rsidR="00843C5D" w:rsidRPr="00C03A6B" w:rsidRDefault="00843C5D" w:rsidP="00843C5D">
            <w:pPr>
              <w:jc w:val="center"/>
              <w:rPr>
                <w:sz w:val="20"/>
                <w:szCs w:val="20"/>
                <w:lang w:val="en-GB"/>
              </w:rPr>
            </w:pPr>
          </w:p>
        </w:tc>
        <w:tc>
          <w:tcPr>
            <w:tcW w:w="958" w:type="pct"/>
          </w:tcPr>
          <w:p w14:paraId="03DBA6D6" w14:textId="375A4360" w:rsidR="00843C5D" w:rsidRPr="00C03A6B" w:rsidRDefault="00843C5D" w:rsidP="00843C5D">
            <w:pPr>
              <w:jc w:val="center"/>
              <w:rPr>
                <w:sz w:val="20"/>
                <w:szCs w:val="20"/>
                <w:lang w:val="en-GB"/>
              </w:rPr>
            </w:pPr>
          </w:p>
        </w:tc>
        <w:tc>
          <w:tcPr>
            <w:tcW w:w="811" w:type="pct"/>
          </w:tcPr>
          <w:p w14:paraId="1C9C0D14" w14:textId="161EB65B" w:rsidR="00843C5D" w:rsidRPr="004367C2" w:rsidRDefault="00843C5D" w:rsidP="00843C5D">
            <w:pPr>
              <w:jc w:val="center"/>
              <w:rPr>
                <w:sz w:val="20"/>
                <w:szCs w:val="20"/>
                <w:lang w:val="en-GB"/>
              </w:rPr>
            </w:pPr>
            <w:r w:rsidRPr="00772F1A">
              <w:rPr>
                <w:sz w:val="20"/>
                <w:szCs w:val="20"/>
                <w:lang w:val="en-GB"/>
              </w:rPr>
              <w:t>x</w:t>
            </w:r>
          </w:p>
        </w:tc>
        <w:tc>
          <w:tcPr>
            <w:tcW w:w="663" w:type="pct"/>
          </w:tcPr>
          <w:p w14:paraId="29AE679F" w14:textId="77777777" w:rsidR="00843C5D" w:rsidRPr="00C03A6B" w:rsidRDefault="00843C5D" w:rsidP="00843C5D">
            <w:pPr>
              <w:jc w:val="center"/>
              <w:rPr>
                <w:sz w:val="20"/>
                <w:szCs w:val="20"/>
                <w:lang w:val="en-GB"/>
              </w:rPr>
            </w:pPr>
          </w:p>
        </w:tc>
        <w:tc>
          <w:tcPr>
            <w:tcW w:w="730" w:type="pct"/>
          </w:tcPr>
          <w:p w14:paraId="3CF3AB11" w14:textId="77777777" w:rsidR="00843C5D" w:rsidRPr="00C03A6B" w:rsidRDefault="00843C5D" w:rsidP="00843C5D">
            <w:pPr>
              <w:jc w:val="center"/>
              <w:rPr>
                <w:sz w:val="20"/>
                <w:szCs w:val="20"/>
                <w:lang w:val="en-GB"/>
              </w:rPr>
            </w:pPr>
          </w:p>
        </w:tc>
      </w:tr>
      <w:tr w:rsidR="00A85AA9" w:rsidRPr="00402AEC" w14:paraId="7A77622E" w14:textId="77777777" w:rsidTr="00746DB3">
        <w:tc>
          <w:tcPr>
            <w:tcW w:w="964" w:type="pct"/>
          </w:tcPr>
          <w:p w14:paraId="2E24583E" w14:textId="41826F16" w:rsidR="00843C5D" w:rsidRPr="00772F1A" w:rsidRDefault="00843C5D" w:rsidP="00843C5D">
            <w:pPr>
              <w:rPr>
                <w:sz w:val="20"/>
                <w:szCs w:val="20"/>
                <w:lang w:val="en-GB" w:bidi="en-US"/>
              </w:rPr>
            </w:pPr>
            <w:r w:rsidRPr="002D7A95">
              <w:rPr>
                <w:rFonts w:eastAsiaTheme="minorEastAsia"/>
                <w:sz w:val="20"/>
                <w:szCs w:val="20"/>
                <w:lang w:val="en-GB" w:bidi="en-US"/>
              </w:rPr>
              <w:t>(</w:t>
            </w:r>
            <w:r w:rsidRPr="002D7A95">
              <w:rPr>
                <w:sz w:val="20"/>
                <w:szCs w:val="20"/>
                <w:lang w:val="en-GB" w:bidi="en-US"/>
              </w:rPr>
              <w:fldChar w:fldCharType="begin" w:fldLock="1"/>
            </w:r>
            <w:r w:rsidR="003027D4">
              <w:rPr>
                <w:sz w:val="20"/>
                <w:szCs w:val="20"/>
                <w:lang w:val="en-GB" w:bidi="en-US"/>
              </w:rPr>
              <w:instrText>ADDIN CSL_CITATION {"citationItems":[{"id":"ITEM-1","itemData":{"DOI":"10.1016/j.techfore.2017.09.030","ISSN":"00401625","abstract":"Bringing value to end consumers is one of the main challenges for businesses in emerging markets. This paper examines the role of information technology (IT) advancements in frugal innovation and in influencing new business models to bring frugal innovations within reach of the poor. A thorough review of theoretical concepts of business models and their applicability to the Bottom-of-the-Pyramid (BoP) literature and frugal innovation is given. IT has three characteristics that have influenced both business models and frugal innovation. First IT reduces transaction costs, sensor prices have decreased, and IT's externalities have increased the economic and social value from one innovation. By discussing the case of a high-technology low cost weather sensor system deployed in sub-Saharan Africa, this paper demonstrates how IT has introduced new frugal innovations, and influenced new business models. The success of the weather station diffusion has been due to the value of the weather data generated, the adaptive business model, and the co-creation approach throughout the station and business model design. IT has played a strong part in diffusing new innovations in Africa, but also has the potential to exclude certain groups. Future research should explore how IT and frugal innovation can lead to inclusion.","author":[{"dropping-particle":"","family":"Howell","given":"Rachel","non-dropping-particle":"","parse-names":false,"suffix":""},{"dropping-particle":"","family":"Beers","given":"Cees","non-dropping-particle":"van","parse-names":false,"suffix":""},{"dropping-particle":"","family":"Doorn","given":"Neelke","non-dropping-particle":"","parse-names":false,"suffix":""}],"container-title":"Technological Forecasting &amp; Social Change","id":"ITEM-1","issued":{"date-parts":[["2018"]]},"page":"227-239","publisher":"Elsevier","title":"Value capture and value creation: The role of information technology in business models for frugal innovations in Africa","type":"article-journal","volume":"131"},"uris":["http://www.mendeley.com/documents/?uuid=b58c1a55-77d3-4fc7-a691-093550e545be","http://www.mendeley.com/documents/?uuid=1507b836-0977-4095-b92e-60219d7bab83"]}],"mendeley":{"formattedCitation":"(Howell et al., 2018)","manualFormatting":"Howell et al. 2017)","plainTextFormattedCitation":"(Howell et al., 2018)","previouslyFormattedCitation":"(Howell et al., 2018)"},"properties":{"noteIndex":0},"schema":"https://github.com/citation-style-language/schema/raw/master/csl-citation.json"}</w:instrText>
            </w:r>
            <w:r w:rsidRPr="002D7A95">
              <w:rPr>
                <w:sz w:val="20"/>
                <w:szCs w:val="20"/>
                <w:lang w:val="en-GB" w:bidi="en-US"/>
              </w:rPr>
              <w:fldChar w:fldCharType="separate"/>
            </w:r>
            <w:r w:rsidRPr="002D7A95">
              <w:rPr>
                <w:noProof/>
                <w:sz w:val="20"/>
                <w:szCs w:val="20"/>
                <w:lang w:val="en-GB" w:bidi="en-US"/>
              </w:rPr>
              <w:t>Howell et al. 2017)</w:t>
            </w:r>
            <w:r w:rsidRPr="002D7A95">
              <w:rPr>
                <w:sz w:val="20"/>
                <w:szCs w:val="20"/>
                <w:lang w:val="en-GB" w:bidi="en-US"/>
              </w:rPr>
              <w:fldChar w:fldCharType="end"/>
            </w:r>
          </w:p>
        </w:tc>
        <w:tc>
          <w:tcPr>
            <w:tcW w:w="874" w:type="pct"/>
          </w:tcPr>
          <w:p w14:paraId="4C9B3D95" w14:textId="77777777" w:rsidR="00843C5D" w:rsidRPr="00C03A6B" w:rsidRDefault="00843C5D" w:rsidP="00843C5D">
            <w:pPr>
              <w:jc w:val="center"/>
              <w:rPr>
                <w:sz w:val="20"/>
                <w:szCs w:val="20"/>
                <w:lang w:val="en-GB"/>
              </w:rPr>
            </w:pPr>
          </w:p>
        </w:tc>
        <w:tc>
          <w:tcPr>
            <w:tcW w:w="958" w:type="pct"/>
          </w:tcPr>
          <w:p w14:paraId="435A04FC" w14:textId="1FFD1F01" w:rsidR="00843C5D" w:rsidRPr="00C03A6B" w:rsidRDefault="00843C5D" w:rsidP="00843C5D">
            <w:pPr>
              <w:jc w:val="center"/>
              <w:rPr>
                <w:sz w:val="20"/>
                <w:szCs w:val="20"/>
                <w:lang w:val="en-GB"/>
              </w:rPr>
            </w:pPr>
          </w:p>
        </w:tc>
        <w:tc>
          <w:tcPr>
            <w:tcW w:w="811" w:type="pct"/>
          </w:tcPr>
          <w:p w14:paraId="6F7E15CE" w14:textId="77777777" w:rsidR="00843C5D" w:rsidRPr="00772F1A" w:rsidRDefault="00843C5D" w:rsidP="00843C5D">
            <w:pPr>
              <w:jc w:val="center"/>
              <w:rPr>
                <w:sz w:val="20"/>
                <w:szCs w:val="20"/>
                <w:lang w:val="en-GB"/>
              </w:rPr>
            </w:pPr>
          </w:p>
        </w:tc>
        <w:tc>
          <w:tcPr>
            <w:tcW w:w="663" w:type="pct"/>
          </w:tcPr>
          <w:p w14:paraId="53176D01" w14:textId="723F6603" w:rsidR="00843C5D" w:rsidRPr="00C03A6B" w:rsidRDefault="00843C5D" w:rsidP="00843C5D">
            <w:pPr>
              <w:jc w:val="center"/>
              <w:rPr>
                <w:sz w:val="20"/>
                <w:szCs w:val="20"/>
                <w:lang w:val="en-GB"/>
              </w:rPr>
            </w:pPr>
            <w:r w:rsidRPr="002D7A95">
              <w:rPr>
                <w:sz w:val="20"/>
                <w:szCs w:val="20"/>
                <w:lang w:val="en-GB"/>
              </w:rPr>
              <w:t>x</w:t>
            </w:r>
          </w:p>
        </w:tc>
        <w:tc>
          <w:tcPr>
            <w:tcW w:w="730" w:type="pct"/>
          </w:tcPr>
          <w:p w14:paraId="3C6B465E" w14:textId="77777777" w:rsidR="00843C5D" w:rsidRPr="00C03A6B" w:rsidRDefault="00843C5D" w:rsidP="00843C5D">
            <w:pPr>
              <w:jc w:val="center"/>
              <w:rPr>
                <w:sz w:val="20"/>
                <w:szCs w:val="20"/>
                <w:lang w:val="en-GB"/>
              </w:rPr>
            </w:pPr>
          </w:p>
        </w:tc>
      </w:tr>
      <w:tr w:rsidR="00A85AA9" w:rsidRPr="00402AEC" w14:paraId="2ABAA0E0" w14:textId="77777777" w:rsidTr="00746DB3">
        <w:tc>
          <w:tcPr>
            <w:tcW w:w="964" w:type="pct"/>
          </w:tcPr>
          <w:p w14:paraId="0E186C4D" w14:textId="1BCED0B1" w:rsidR="00843C5D" w:rsidRPr="00772F1A" w:rsidRDefault="00843C5D" w:rsidP="00843C5D">
            <w:pPr>
              <w:rPr>
                <w:sz w:val="20"/>
                <w:szCs w:val="20"/>
                <w:lang w:val="en-GB" w:bidi="en-US"/>
              </w:rPr>
            </w:pPr>
            <w:r w:rsidRPr="00DF5A3E">
              <w:rPr>
                <w:rFonts w:eastAsiaTheme="minorEastAsia"/>
                <w:sz w:val="20"/>
                <w:szCs w:val="20"/>
                <w:lang w:val="en-GB" w:bidi="en-US"/>
              </w:rPr>
              <w:t>(</w:t>
            </w:r>
            <w:r w:rsidRPr="00DF5A3E">
              <w:rPr>
                <w:sz w:val="20"/>
                <w:szCs w:val="20"/>
                <w:lang w:val="en-GB" w:bidi="en-US"/>
              </w:rPr>
              <w:fldChar w:fldCharType="begin" w:fldLock="1"/>
            </w:r>
            <w:r w:rsidR="00BF2F60">
              <w:rPr>
                <w:sz w:val="20"/>
                <w:szCs w:val="20"/>
                <w:lang w:val="en-GB" w:bidi="en-US"/>
              </w:rPr>
              <w:instrText>ADDIN CSL_CITATION {"citationItems":[{"id":"ITEM-1","itemData":{"DOI":"10.1016/j.jclepro.2017.11.023","ISSN":"09596526","abstract":"Remanufacturing is a viable way to prolong the useful life of an end-of-use product or its parts. Despite its economic, environmental, and social benefits, remanufacturing is associated with many challenges related to core (used product or its part) availability, timing and quality. The aim of this paper is to study how lean production could be used to tackle remanufacturing process challenges and contribute to shorter lead times. To meet this aim, we conducted a literature review and case studies of four remanufacturing companies. The case companies’ remanufacturing challenges were: (1) a lack of material requirements planning system, (2) poor core information, (3) a lack of core material, (4) poor spare parts information, (5) a lack of spare parts material, (6) insufficient quality management practices, (7) large inventories, (8) stochastic remanufacturing processes, (9) a lack of supply-demand balance, and (10) insufficient automation. These challenges contribute to long and variable remanufacturing process lead times. To tackle remanufacturing challenges, seven lean-based improvements with a major effect on improvements in lead time were suggested: standard operations, continuous flow, Kanban, teamwork, employee cross-training, layout for continuous flow, and supplier partnership. Providing that the suggested improvements are implemented, a possible lead time reduction of 83–99 per cent was projected.","author":[{"dropping-particle":"","family":"Kurilova-Palisaitiene","given":"Jelena","non-dropping-particle":"","parse-names":false,"suffix":""},{"dropping-particle":"","family":"Sundin","given":"Erik","non-dropping-particle":"","parse-names":false,"suffix":""},{"dropping-particle":"","family":"Poksinska","given":"Bonnie","non-dropping-particle":"","parse-names":false,"suffix":""}],"container-title":"Journal of Cleaner Production","id":"ITEM-1","issued":{"date-parts":[["2018"]]},"page":"3225-3236","publisher":"Elsevier Ltd","title":"Remanufacturing challenges and possible lean improvements","type":"article-journal","volume":"172"},"uris":["http://www.mendeley.com/documents/?uuid=dfc44cd1-b101-4531-9264-83e166403f73","http://www.mendeley.com/documents/?uuid=c97b42aa-c134-45dc-a08f-1a6825fbdb56"]}],"mendeley":{"formattedCitation":"(Kurilova-Palisaitiene et al., 2018)","manualFormatting":"Kurilova-Palisaitiene et al. 2018)","plainTextFormattedCitation":"(Kurilova-Palisaitiene et al., 2018)","previouslyFormattedCitation":"(Kurilova-Palisaitiene et al., 2018)"},"properties":{"noteIndex":0},"schema":"https://github.com/citation-style-language/schema/raw/master/csl-citation.json"}</w:instrText>
            </w:r>
            <w:r w:rsidRPr="00DF5A3E">
              <w:rPr>
                <w:sz w:val="20"/>
                <w:szCs w:val="20"/>
                <w:lang w:val="en-GB" w:bidi="en-US"/>
              </w:rPr>
              <w:fldChar w:fldCharType="separate"/>
            </w:r>
            <w:r w:rsidRPr="00DF5A3E">
              <w:rPr>
                <w:noProof/>
                <w:sz w:val="20"/>
                <w:szCs w:val="20"/>
                <w:lang w:val="en-GB" w:bidi="en-US"/>
              </w:rPr>
              <w:t>Kurilova-Palisaitiene et al. 2018)</w:t>
            </w:r>
            <w:r w:rsidRPr="00DF5A3E">
              <w:rPr>
                <w:sz w:val="20"/>
                <w:szCs w:val="20"/>
                <w:lang w:val="en-GB" w:bidi="en-US"/>
              </w:rPr>
              <w:fldChar w:fldCharType="end"/>
            </w:r>
          </w:p>
        </w:tc>
        <w:tc>
          <w:tcPr>
            <w:tcW w:w="874" w:type="pct"/>
          </w:tcPr>
          <w:p w14:paraId="1286BF4C" w14:textId="77777777" w:rsidR="00843C5D" w:rsidRPr="00C03A6B" w:rsidRDefault="00843C5D" w:rsidP="00843C5D">
            <w:pPr>
              <w:jc w:val="center"/>
              <w:rPr>
                <w:sz w:val="20"/>
                <w:szCs w:val="20"/>
                <w:lang w:val="en-GB"/>
              </w:rPr>
            </w:pPr>
          </w:p>
        </w:tc>
        <w:tc>
          <w:tcPr>
            <w:tcW w:w="958" w:type="pct"/>
          </w:tcPr>
          <w:p w14:paraId="59FF86DC" w14:textId="7E36AC8E" w:rsidR="00843C5D" w:rsidRPr="00C03A6B" w:rsidRDefault="00843C5D" w:rsidP="00843C5D">
            <w:pPr>
              <w:jc w:val="center"/>
              <w:rPr>
                <w:sz w:val="20"/>
                <w:szCs w:val="20"/>
                <w:lang w:val="en-GB"/>
              </w:rPr>
            </w:pPr>
          </w:p>
        </w:tc>
        <w:tc>
          <w:tcPr>
            <w:tcW w:w="811" w:type="pct"/>
          </w:tcPr>
          <w:p w14:paraId="3AE58B4D" w14:textId="77777777" w:rsidR="00843C5D" w:rsidRPr="00772F1A" w:rsidRDefault="00843C5D" w:rsidP="00843C5D">
            <w:pPr>
              <w:jc w:val="center"/>
              <w:rPr>
                <w:sz w:val="20"/>
                <w:szCs w:val="20"/>
                <w:lang w:val="en-GB"/>
              </w:rPr>
            </w:pPr>
          </w:p>
        </w:tc>
        <w:tc>
          <w:tcPr>
            <w:tcW w:w="663" w:type="pct"/>
          </w:tcPr>
          <w:p w14:paraId="131DD999" w14:textId="63D06C3A" w:rsidR="00843C5D" w:rsidRPr="00C03A6B" w:rsidRDefault="00843C5D" w:rsidP="00843C5D">
            <w:pPr>
              <w:jc w:val="center"/>
              <w:rPr>
                <w:sz w:val="20"/>
                <w:szCs w:val="20"/>
                <w:lang w:val="en-GB"/>
              </w:rPr>
            </w:pPr>
            <w:r w:rsidRPr="00DF5A3E">
              <w:rPr>
                <w:sz w:val="20"/>
                <w:szCs w:val="20"/>
                <w:lang w:val="en-GB"/>
              </w:rPr>
              <w:t>x</w:t>
            </w:r>
          </w:p>
        </w:tc>
        <w:tc>
          <w:tcPr>
            <w:tcW w:w="730" w:type="pct"/>
          </w:tcPr>
          <w:p w14:paraId="361A51A3" w14:textId="77777777" w:rsidR="00843C5D" w:rsidRPr="00C03A6B" w:rsidRDefault="00843C5D" w:rsidP="00843C5D">
            <w:pPr>
              <w:jc w:val="center"/>
              <w:rPr>
                <w:sz w:val="20"/>
                <w:szCs w:val="20"/>
                <w:lang w:val="en-GB"/>
              </w:rPr>
            </w:pPr>
          </w:p>
        </w:tc>
      </w:tr>
      <w:tr w:rsidR="00A85AA9" w:rsidRPr="00402AEC" w14:paraId="5630E36A" w14:textId="77777777" w:rsidTr="00746DB3">
        <w:tc>
          <w:tcPr>
            <w:tcW w:w="964" w:type="pct"/>
          </w:tcPr>
          <w:p w14:paraId="06E08698" w14:textId="1F76C46C" w:rsidR="00843C5D" w:rsidRPr="00C03A6B" w:rsidRDefault="00843C5D" w:rsidP="00843C5D">
            <w:pPr>
              <w:rPr>
                <w:sz w:val="20"/>
                <w:szCs w:val="20"/>
                <w:lang w:val="en-GB" w:bidi="en-US"/>
              </w:rPr>
            </w:pPr>
            <w:r w:rsidRPr="000A4CB8">
              <w:rPr>
                <w:sz w:val="20"/>
                <w:szCs w:val="20"/>
                <w:lang w:val="en-GB" w:bidi="en-US"/>
              </w:rPr>
              <w:lastRenderedPageBreak/>
              <w:t>(</w:t>
            </w:r>
            <w:r w:rsidRPr="000A4CB8">
              <w:rPr>
                <w:sz w:val="20"/>
                <w:szCs w:val="20"/>
                <w:lang w:val="en-GB" w:bidi="en-US"/>
              </w:rPr>
              <w:fldChar w:fldCharType="begin" w:fldLock="1"/>
            </w:r>
            <w:r w:rsidR="00BF2F60">
              <w:rPr>
                <w:sz w:val="20"/>
                <w:szCs w:val="20"/>
                <w:lang w:val="en-GB" w:bidi="en-US"/>
              </w:rPr>
              <w:instrText>ADDIN CSL_CITATION {"citationItems":[{"id":"ITEM-1","itemData":{"DOI":"10.1016/j.jclepro.2017.08.093","ISSN":"09596526","abstract":"This article reflects on the current state of the dynamically growing research and practice related to sustainable business models (SBMs), motivated by the question of whether dealing with SBMs is just a passing fancy or an emerging field, maybe even a field in its own right. We follow Ehrenfeld (2004), who asked a similar question for the field of industrial ecology in this journal, and reflect on the major beliefs and concepts underpinning SBM research and practice, tools and resources, authorities and the related community of actors. These elements are considered characteristics of a field and must be institutionalised in academia, industry and government for a field to emerge and progress. We therefore also identify some institutionalisation tendencies. As a result, we conclude that SBM research and practice show traits of an emerging field. It is however too early to foresee if it will develop as a sub-field within already established domains (“sub-field hypothesis”) or as a stand-alone field (“stand-alone hypothesis”). We argue that the sub-field and the stand-alone positioning may hamper the unfolding of the field's full potential. Instead, we propose that the SBM field needs to assume the role of an integrative field to break existing academic niches and silos and maximise practical impact (“integration hypothesis”). Our observations indicate that the SBM field is indeed developing into an integrative field and force. But we need to better understand and strengthen this development, for example by crafting a dedicated SBM research programme. A series of critical reviews could be a starting point for such an endeavour.","author":[{"dropping-particle":"","family":"Lüdeke-Freund","given":"Florian","non-dropping-particle":"","parse-names":false,"suffix":""},{"dropping-particle":"","family":"Dembek","given":"Krzysztof","non-dropping-particle":"","parse-names":false,"suffix":""}],"container-title":"Journal of Cleaner Production","id":"ITEM-1","issued":{"date-parts":[["2017"]]},"page":"1668-1678","publisher":"Elsevier Ltd","title":"Sustainable business model research and practice: Emerging field or passing fancy?","type":"article-journal","volume":"168"},"uris":["http://www.mendeley.com/documents/?uuid=0121b41c-a60c-4901-9b7d-9b2d1429eccf","http://www.mendeley.com/documents/?uuid=a50dedd0-538a-4642-8fd3-7a47283032aa"]}],"mendeley":{"formattedCitation":"(Lüdeke-Freund and Dembek, 2017)","manualFormatting":"Lüdeke-Freund and Dembek 2017)","plainTextFormattedCitation":"(Lüdeke-Freund and Dembek, 2017)","previouslyFormattedCitation":"(Lüdeke-Freund and Dembek, 2017)"},"properties":{"noteIndex":0},"schema":"https://github.com/citation-style-language/schema/raw/master/csl-citation.json"}</w:instrText>
            </w:r>
            <w:r w:rsidRPr="000A4CB8">
              <w:rPr>
                <w:sz w:val="20"/>
                <w:szCs w:val="20"/>
                <w:lang w:val="en-GB" w:bidi="en-US"/>
              </w:rPr>
              <w:fldChar w:fldCharType="separate"/>
            </w:r>
            <w:r w:rsidRPr="000A4CB8">
              <w:rPr>
                <w:noProof/>
                <w:sz w:val="20"/>
                <w:szCs w:val="20"/>
                <w:lang w:val="en-GB" w:bidi="en-US"/>
              </w:rPr>
              <w:t>Lüdeke-Freund and Dembek 2017)</w:t>
            </w:r>
            <w:r w:rsidRPr="000A4CB8">
              <w:rPr>
                <w:sz w:val="20"/>
                <w:szCs w:val="20"/>
                <w:lang w:val="en-GB" w:bidi="en-US"/>
              </w:rPr>
              <w:fldChar w:fldCharType="end"/>
            </w:r>
          </w:p>
        </w:tc>
        <w:tc>
          <w:tcPr>
            <w:tcW w:w="874" w:type="pct"/>
          </w:tcPr>
          <w:p w14:paraId="3CFA42AD" w14:textId="738DB7F1" w:rsidR="00843C5D" w:rsidRPr="00C03A6B" w:rsidRDefault="00843C5D" w:rsidP="00843C5D">
            <w:pPr>
              <w:jc w:val="center"/>
              <w:rPr>
                <w:sz w:val="20"/>
                <w:szCs w:val="20"/>
                <w:lang w:val="en-GB"/>
              </w:rPr>
            </w:pPr>
            <w:r w:rsidRPr="000A4CB8">
              <w:rPr>
                <w:sz w:val="20"/>
                <w:szCs w:val="20"/>
                <w:lang w:val="en-GB"/>
              </w:rPr>
              <w:t>x</w:t>
            </w:r>
          </w:p>
        </w:tc>
        <w:tc>
          <w:tcPr>
            <w:tcW w:w="958" w:type="pct"/>
          </w:tcPr>
          <w:p w14:paraId="6E981AE8" w14:textId="7BA67C44" w:rsidR="00843C5D" w:rsidRPr="00C03A6B" w:rsidRDefault="00843C5D" w:rsidP="00843C5D">
            <w:pPr>
              <w:jc w:val="center"/>
              <w:rPr>
                <w:sz w:val="20"/>
                <w:szCs w:val="20"/>
                <w:lang w:val="en-GB"/>
              </w:rPr>
            </w:pPr>
          </w:p>
        </w:tc>
        <w:tc>
          <w:tcPr>
            <w:tcW w:w="811" w:type="pct"/>
          </w:tcPr>
          <w:p w14:paraId="5C4D1E21" w14:textId="77777777" w:rsidR="00843C5D" w:rsidRPr="00C03A6B" w:rsidRDefault="00843C5D" w:rsidP="00843C5D">
            <w:pPr>
              <w:jc w:val="center"/>
              <w:rPr>
                <w:sz w:val="20"/>
                <w:szCs w:val="20"/>
                <w:lang w:val="en-GB"/>
              </w:rPr>
            </w:pPr>
          </w:p>
        </w:tc>
        <w:tc>
          <w:tcPr>
            <w:tcW w:w="663" w:type="pct"/>
          </w:tcPr>
          <w:p w14:paraId="1589CEE7" w14:textId="77777777" w:rsidR="00843C5D" w:rsidRPr="00C03A6B" w:rsidRDefault="00843C5D" w:rsidP="00843C5D">
            <w:pPr>
              <w:jc w:val="center"/>
              <w:rPr>
                <w:sz w:val="20"/>
                <w:szCs w:val="20"/>
                <w:lang w:val="en-GB"/>
              </w:rPr>
            </w:pPr>
          </w:p>
        </w:tc>
        <w:tc>
          <w:tcPr>
            <w:tcW w:w="730" w:type="pct"/>
          </w:tcPr>
          <w:p w14:paraId="5B1F2DE7" w14:textId="5165AE73" w:rsidR="00843C5D" w:rsidRPr="00C03A6B" w:rsidRDefault="00843C5D" w:rsidP="00843C5D">
            <w:pPr>
              <w:jc w:val="center"/>
              <w:rPr>
                <w:sz w:val="20"/>
                <w:szCs w:val="20"/>
                <w:lang w:val="en-GB"/>
              </w:rPr>
            </w:pPr>
          </w:p>
        </w:tc>
      </w:tr>
      <w:tr w:rsidR="00A85AA9" w:rsidRPr="00402AEC" w14:paraId="222DE3E2" w14:textId="77777777" w:rsidTr="00746DB3">
        <w:tc>
          <w:tcPr>
            <w:tcW w:w="964" w:type="pct"/>
          </w:tcPr>
          <w:p w14:paraId="49047F4D" w14:textId="2834455C" w:rsidR="00843C5D" w:rsidRPr="000A4CB8" w:rsidRDefault="00843C5D" w:rsidP="00843C5D">
            <w:pPr>
              <w:rPr>
                <w:sz w:val="20"/>
                <w:szCs w:val="20"/>
                <w:lang w:val="en-GB" w:bidi="en-US"/>
              </w:rPr>
            </w:pPr>
            <w:r w:rsidRPr="004719D2">
              <w:rPr>
                <w:sz w:val="20"/>
                <w:szCs w:val="20"/>
                <w:lang w:val="en-GB" w:bidi="en-US"/>
              </w:rPr>
              <w:t>(</w:t>
            </w:r>
            <w:r w:rsidRPr="004719D2">
              <w:rPr>
                <w:sz w:val="20"/>
                <w:szCs w:val="20"/>
                <w:lang w:val="en-GB" w:bidi="en-US"/>
              </w:rPr>
              <w:fldChar w:fldCharType="begin" w:fldLock="1"/>
            </w:r>
            <w:r w:rsidR="00BF2F60">
              <w:rPr>
                <w:sz w:val="20"/>
                <w:szCs w:val="20"/>
                <w:lang w:val="en-GB" w:bidi="en-US"/>
              </w:rPr>
              <w:instrText>ADDIN CSL_CITATION {"citationItems":[{"id":"ITEM-1","itemData":{"author":[{"dropping-particle":"","family":"Morlat","given":"Clément","non-dropping-particle":"","parse-names":false,"suffix":""},{"dropping-particle":"","family":"Pinto-Silva","given":"Kleber","non-dropping-particle":"","parse-names":false,"suffix":""}],"container-title":"IAEE 2014 - 14th European Energy Conference - Sustainable Energy Policy and Strategies for Europe","id":"ITEM-1","issued":{"date-parts":[["2014"]]},"page":"1-2","publisher-place":"Rome, Italy","title":"Dynamic modelling of cost systems applied to energy efficiency","type":"paper-conference"},"uris":["http://www.mendeley.com/documents/?uuid=b88a48e7-27fc-44ee-bf45-3d509c9633eb","http://www.mendeley.com/documents/?uuid=5e8dbdb5-0dbe-4279-ad66-d5e15be7aee9"]}],"mendeley":{"formattedCitation":"(Morlat and Pinto-Silva, 2014)","manualFormatting":"Morlat and Pinto-Silva 2014)","plainTextFormattedCitation":"(Morlat and Pinto-Silva, 2014)","previouslyFormattedCitation":"(Morlat and Pinto-Silva, 2014)"},"properties":{"noteIndex":0},"schema":"https://github.com/citation-style-language/schema/raw/master/csl-citation.json"}</w:instrText>
            </w:r>
            <w:r w:rsidRPr="004719D2">
              <w:rPr>
                <w:sz w:val="20"/>
                <w:szCs w:val="20"/>
                <w:lang w:val="en-GB" w:bidi="en-US"/>
              </w:rPr>
              <w:fldChar w:fldCharType="separate"/>
            </w:r>
            <w:r w:rsidRPr="004719D2">
              <w:rPr>
                <w:noProof/>
                <w:sz w:val="20"/>
                <w:szCs w:val="20"/>
                <w:lang w:val="en-GB" w:bidi="en-US"/>
              </w:rPr>
              <w:t>Morlat and Pinto-Silva 2014)</w:t>
            </w:r>
            <w:r w:rsidRPr="004719D2">
              <w:rPr>
                <w:sz w:val="20"/>
                <w:szCs w:val="20"/>
                <w:lang w:val="en-GB" w:bidi="en-US"/>
              </w:rPr>
              <w:fldChar w:fldCharType="end"/>
            </w:r>
          </w:p>
        </w:tc>
        <w:tc>
          <w:tcPr>
            <w:tcW w:w="874" w:type="pct"/>
          </w:tcPr>
          <w:p w14:paraId="66822784" w14:textId="1ED688DF" w:rsidR="00843C5D" w:rsidRPr="00C03A6B" w:rsidRDefault="00843C5D" w:rsidP="00843C5D">
            <w:pPr>
              <w:jc w:val="center"/>
              <w:rPr>
                <w:sz w:val="20"/>
                <w:szCs w:val="20"/>
                <w:lang w:val="en-GB"/>
              </w:rPr>
            </w:pPr>
            <w:r w:rsidRPr="004719D2">
              <w:rPr>
                <w:sz w:val="20"/>
                <w:szCs w:val="20"/>
                <w:lang w:val="en-GB"/>
              </w:rPr>
              <w:t>x</w:t>
            </w:r>
          </w:p>
        </w:tc>
        <w:tc>
          <w:tcPr>
            <w:tcW w:w="958" w:type="pct"/>
          </w:tcPr>
          <w:p w14:paraId="4C949B31" w14:textId="17D1CBBF" w:rsidR="00843C5D" w:rsidRPr="00C03A6B" w:rsidRDefault="00843C5D" w:rsidP="00843C5D">
            <w:pPr>
              <w:jc w:val="center"/>
              <w:rPr>
                <w:sz w:val="20"/>
                <w:szCs w:val="20"/>
                <w:lang w:val="en-GB"/>
              </w:rPr>
            </w:pPr>
          </w:p>
        </w:tc>
        <w:tc>
          <w:tcPr>
            <w:tcW w:w="811" w:type="pct"/>
          </w:tcPr>
          <w:p w14:paraId="7C12880E" w14:textId="77777777" w:rsidR="00843C5D" w:rsidRPr="00C03A6B" w:rsidRDefault="00843C5D" w:rsidP="00843C5D">
            <w:pPr>
              <w:jc w:val="center"/>
              <w:rPr>
                <w:sz w:val="20"/>
                <w:szCs w:val="20"/>
                <w:lang w:val="en-GB"/>
              </w:rPr>
            </w:pPr>
          </w:p>
        </w:tc>
        <w:tc>
          <w:tcPr>
            <w:tcW w:w="663" w:type="pct"/>
          </w:tcPr>
          <w:p w14:paraId="6DFA7872" w14:textId="77777777" w:rsidR="00843C5D" w:rsidRPr="00C03A6B" w:rsidRDefault="00843C5D" w:rsidP="00843C5D">
            <w:pPr>
              <w:jc w:val="center"/>
              <w:rPr>
                <w:sz w:val="20"/>
                <w:szCs w:val="20"/>
                <w:lang w:val="en-GB"/>
              </w:rPr>
            </w:pPr>
          </w:p>
        </w:tc>
        <w:tc>
          <w:tcPr>
            <w:tcW w:w="730" w:type="pct"/>
          </w:tcPr>
          <w:p w14:paraId="34BBC2D3" w14:textId="44E2404D" w:rsidR="00843C5D" w:rsidRPr="000A4CB8" w:rsidRDefault="00843C5D" w:rsidP="00843C5D">
            <w:pPr>
              <w:jc w:val="center"/>
              <w:rPr>
                <w:sz w:val="20"/>
                <w:szCs w:val="20"/>
                <w:lang w:val="en-GB"/>
              </w:rPr>
            </w:pPr>
          </w:p>
        </w:tc>
      </w:tr>
      <w:tr w:rsidR="00A85AA9" w:rsidRPr="00402AEC" w14:paraId="472FA057" w14:textId="77777777" w:rsidTr="00746DB3">
        <w:tc>
          <w:tcPr>
            <w:tcW w:w="964" w:type="pct"/>
          </w:tcPr>
          <w:p w14:paraId="3E5D20B4" w14:textId="6D734737" w:rsidR="00843C5D" w:rsidRPr="000A4CB8" w:rsidRDefault="00843C5D" w:rsidP="00843C5D">
            <w:pPr>
              <w:rPr>
                <w:sz w:val="20"/>
                <w:szCs w:val="20"/>
                <w:lang w:val="en-GB" w:bidi="en-US"/>
              </w:rPr>
            </w:pPr>
            <w:r w:rsidRPr="009F0A98">
              <w:rPr>
                <w:rFonts w:eastAsiaTheme="minorEastAsia"/>
                <w:sz w:val="20"/>
                <w:szCs w:val="20"/>
                <w:lang w:val="en-GB" w:bidi="en-US"/>
              </w:rPr>
              <w:t>(</w:t>
            </w:r>
            <w:r w:rsidRPr="009F0A98">
              <w:rPr>
                <w:sz w:val="20"/>
                <w:szCs w:val="20"/>
                <w:lang w:val="en-GB" w:bidi="en-US"/>
              </w:rPr>
              <w:fldChar w:fldCharType="begin" w:fldLock="1"/>
            </w:r>
            <w:r w:rsidR="003445CC">
              <w:rPr>
                <w:sz w:val="20"/>
                <w:szCs w:val="20"/>
                <w:lang w:val="en-GB" w:bidi="en-US"/>
              </w:rPr>
              <w:instrText>ADDIN CSL_CITATION {"citationItems":[{"id":"ITEM-1","itemData":{"DOI":"10.1016/j.procir.2017.02.047","ISBN":"22128271 (ISSN)","ISSN":"22128271","abstract":"Digital technologies have enabled the formulation of multiple Product Service-Systems (PSS) with considerable economic, environmental and societal benefits. One of the most promising paradigms, which is inspired by business models and value propositions that have already been described in the PSS literature, is the concept of Circular Economy. Circular Economy is characterized as an economy that is restorative and regenerative by design and is attracting significant attention from researchers and policy makers alike. In light of the recent proliferation of digital technologies such as Big Data and the Internet of Things, this article attempts to identify how can digital technologies support the transition to Circular Economy. This article conducted a systematic review of the literature based on a review protocol, in an effort to evaluate the application of key digital technologies in Circular Economy. The study concludes by identifying research gaps, reflecting on the application of digital technologies in the field of PSS and proposing suggestions for future research.","author":[{"dropping-particle":"","family":"Pagoropoulos","given":"Aris","non-dropping-particle":"","parse-names":false,"suffix":""},{"dropping-particle":"","family":"Pigosso","given":"Daniela C.A.","non-dropping-particle":"","parse-names":false,"suffix":""},{"dropping-particle":"","family":"McAloone","given":"Tim C.","non-dropping-particle":"","parse-names":false,"suffix":""}],"container-title":"Procedia CIRP","id":"ITEM-1","issued":{"date-parts":[["2017"]]},"page":"19-24","publisher":"The Author(s)","title":"The Emergent Role of Digital Technologies in the Circular Economy: A Review","type":"article-journal","volume":"64"},"uris":["http://www.mendeley.com/documents/?uuid=a6537701-1686-4062-8bf3-04468577418c"]}],"mendeley":{"formattedCitation":"(Pagoropoulos et al., 2017)","manualFormatting":"Pagoropoulos et al. 2017)","plainTextFormattedCitation":"(Pagoropoulos et al., 2017)","previouslyFormattedCitation":"(Pagoropoulos et al., 2017)"},"properties":{"noteIndex":0},"schema":"https://github.com/citation-style-language/schema/raw/master/csl-citation.json"}</w:instrText>
            </w:r>
            <w:r w:rsidRPr="009F0A98">
              <w:rPr>
                <w:sz w:val="20"/>
                <w:szCs w:val="20"/>
                <w:lang w:val="en-GB" w:bidi="en-US"/>
              </w:rPr>
              <w:fldChar w:fldCharType="separate"/>
            </w:r>
            <w:r w:rsidRPr="009F0A98">
              <w:rPr>
                <w:noProof/>
                <w:sz w:val="20"/>
                <w:szCs w:val="20"/>
                <w:lang w:val="en-GB" w:bidi="en-US"/>
              </w:rPr>
              <w:t>Pagoropoulos et al. 2017)</w:t>
            </w:r>
            <w:r w:rsidRPr="009F0A98">
              <w:rPr>
                <w:sz w:val="20"/>
                <w:szCs w:val="20"/>
                <w:lang w:val="en-GB" w:bidi="en-US"/>
              </w:rPr>
              <w:fldChar w:fldCharType="end"/>
            </w:r>
          </w:p>
        </w:tc>
        <w:tc>
          <w:tcPr>
            <w:tcW w:w="874" w:type="pct"/>
          </w:tcPr>
          <w:p w14:paraId="0367F0D8" w14:textId="77777777" w:rsidR="00843C5D" w:rsidRPr="00C03A6B" w:rsidRDefault="00843C5D" w:rsidP="00843C5D">
            <w:pPr>
              <w:jc w:val="center"/>
              <w:rPr>
                <w:sz w:val="20"/>
                <w:szCs w:val="20"/>
                <w:lang w:val="en-GB"/>
              </w:rPr>
            </w:pPr>
          </w:p>
        </w:tc>
        <w:tc>
          <w:tcPr>
            <w:tcW w:w="958" w:type="pct"/>
          </w:tcPr>
          <w:p w14:paraId="15BC782E" w14:textId="42F9C784" w:rsidR="00843C5D" w:rsidRPr="00C03A6B" w:rsidRDefault="00843C5D" w:rsidP="00843C5D">
            <w:pPr>
              <w:jc w:val="center"/>
              <w:rPr>
                <w:sz w:val="20"/>
                <w:szCs w:val="20"/>
                <w:lang w:val="en-GB"/>
              </w:rPr>
            </w:pPr>
          </w:p>
        </w:tc>
        <w:tc>
          <w:tcPr>
            <w:tcW w:w="811" w:type="pct"/>
          </w:tcPr>
          <w:p w14:paraId="7A5B2791" w14:textId="77777777" w:rsidR="00843C5D" w:rsidRPr="00C03A6B" w:rsidRDefault="00843C5D" w:rsidP="00843C5D">
            <w:pPr>
              <w:jc w:val="center"/>
              <w:rPr>
                <w:sz w:val="20"/>
                <w:szCs w:val="20"/>
                <w:lang w:val="en-GB"/>
              </w:rPr>
            </w:pPr>
          </w:p>
        </w:tc>
        <w:tc>
          <w:tcPr>
            <w:tcW w:w="663" w:type="pct"/>
          </w:tcPr>
          <w:p w14:paraId="1609E1FC" w14:textId="63B2186A" w:rsidR="00843C5D" w:rsidRPr="00C03A6B" w:rsidRDefault="00843C5D" w:rsidP="00843C5D">
            <w:pPr>
              <w:jc w:val="center"/>
              <w:rPr>
                <w:sz w:val="20"/>
                <w:szCs w:val="20"/>
                <w:lang w:val="en-GB"/>
              </w:rPr>
            </w:pPr>
            <w:r w:rsidRPr="009F0A98">
              <w:rPr>
                <w:sz w:val="20"/>
                <w:szCs w:val="20"/>
                <w:lang w:val="en-GB"/>
              </w:rPr>
              <w:t>x</w:t>
            </w:r>
          </w:p>
        </w:tc>
        <w:tc>
          <w:tcPr>
            <w:tcW w:w="730" w:type="pct"/>
          </w:tcPr>
          <w:p w14:paraId="73E58516" w14:textId="77777777" w:rsidR="00843C5D" w:rsidRPr="000A4CB8" w:rsidRDefault="00843C5D" w:rsidP="00843C5D">
            <w:pPr>
              <w:jc w:val="center"/>
              <w:rPr>
                <w:sz w:val="20"/>
                <w:szCs w:val="20"/>
                <w:lang w:val="en-GB"/>
              </w:rPr>
            </w:pPr>
          </w:p>
        </w:tc>
      </w:tr>
      <w:tr w:rsidR="00A85AA9" w:rsidRPr="00402AEC" w14:paraId="7676A5E4" w14:textId="77777777" w:rsidTr="00746DB3">
        <w:tc>
          <w:tcPr>
            <w:tcW w:w="964" w:type="pct"/>
          </w:tcPr>
          <w:p w14:paraId="066EC02B" w14:textId="203AF85E" w:rsidR="00843C5D" w:rsidRPr="000A4CB8" w:rsidRDefault="00843C5D" w:rsidP="00843C5D">
            <w:pPr>
              <w:rPr>
                <w:sz w:val="20"/>
                <w:szCs w:val="20"/>
                <w:lang w:val="en-GB" w:bidi="en-US"/>
              </w:rPr>
            </w:pPr>
            <w:r w:rsidRPr="009F0A98">
              <w:rPr>
                <w:rFonts w:eastAsiaTheme="minorEastAsia"/>
                <w:sz w:val="20"/>
                <w:szCs w:val="20"/>
                <w:lang w:val="en-GB" w:bidi="en-US"/>
              </w:rPr>
              <w:t>(</w:t>
            </w:r>
            <w:r w:rsidRPr="009F0A98">
              <w:rPr>
                <w:sz w:val="20"/>
                <w:szCs w:val="20"/>
                <w:lang w:val="en-GB" w:bidi="en-US"/>
              </w:rPr>
              <w:fldChar w:fldCharType="begin" w:fldLock="1"/>
            </w:r>
            <w:r w:rsidR="003445CC">
              <w:rPr>
                <w:sz w:val="20"/>
                <w:szCs w:val="20"/>
                <w:lang w:val="en-GB" w:bidi="en-US"/>
              </w:rPr>
              <w:instrText>ADDIN CSL_CITATION {"citationItems":[{"id":"ITEM-1","itemData":{"ISSN":"17416264","abstract":"The overall aim of this paper is to answer the question whether the digital transformation of products, services and business models positively impacts the realization of a circular economy. There is little doubt that the shift towards a circular economy will be mandatory, in order to sustain population growth, despite the limited amount of resources on earth. While the concept of a circular economy has been around for decades, its realization is still in its infantry. The purpose of this paper is to explain the potential of (1) digitalized products and services and (2) digital business models for realizing the concept of a circular economy. Based on research in different disciplines, this paper demonstrates that digital technologies will (1) improved asset utilization, (2) boost the recovery of pure material flows and (3) enable refurbishment and remanufacturing scenarios. The digital transformation has the potential to become the much hoped for ignition spark for the Circular Economy if the remaining challenges regarding regulation, social acceptance and economic viability are met. Key","author":[{"dropping-particle":"","family":"Planing","given":"Patrick","non-dropping-particle":"","parse-names":false,"suffix":""}],"container-title":"International journal of Management Cases","id":"ITEM-1","issued":{"date-parts":[["2017"]]},"page":"22-31","title":"Will digital boost circular ? Evaluating the impact of the digital transformation on the shift towards a circular economy","type":"article-journal"},"uris":["http://www.mendeley.com/documents/?uuid=2fbff1a1-d5c7-4596-a052-dcfb6ab3fc21"]}],"mendeley":{"formattedCitation":"(Planing, 2017)","manualFormatting":"Planing 2017)","plainTextFormattedCitation":"(Planing, 2017)","previouslyFormattedCitation":"(Planing, 2017)"},"properties":{"noteIndex":0},"schema":"https://github.com/citation-style-language/schema/raw/master/csl-citation.json"}</w:instrText>
            </w:r>
            <w:r w:rsidRPr="009F0A98">
              <w:rPr>
                <w:sz w:val="20"/>
                <w:szCs w:val="20"/>
                <w:lang w:val="en-GB" w:bidi="en-US"/>
              </w:rPr>
              <w:fldChar w:fldCharType="separate"/>
            </w:r>
            <w:r w:rsidRPr="009F0A98">
              <w:rPr>
                <w:noProof/>
                <w:sz w:val="20"/>
                <w:szCs w:val="20"/>
                <w:lang w:val="en-GB" w:bidi="en-US"/>
              </w:rPr>
              <w:t>Planing 2017)</w:t>
            </w:r>
            <w:r w:rsidRPr="009F0A98">
              <w:rPr>
                <w:sz w:val="20"/>
                <w:szCs w:val="20"/>
                <w:lang w:val="en-GB" w:bidi="en-US"/>
              </w:rPr>
              <w:fldChar w:fldCharType="end"/>
            </w:r>
          </w:p>
        </w:tc>
        <w:tc>
          <w:tcPr>
            <w:tcW w:w="874" w:type="pct"/>
          </w:tcPr>
          <w:p w14:paraId="253FBB5B" w14:textId="77777777" w:rsidR="00843C5D" w:rsidRPr="00C03A6B" w:rsidRDefault="00843C5D" w:rsidP="00843C5D">
            <w:pPr>
              <w:jc w:val="center"/>
              <w:rPr>
                <w:sz w:val="20"/>
                <w:szCs w:val="20"/>
                <w:lang w:val="en-GB"/>
              </w:rPr>
            </w:pPr>
          </w:p>
        </w:tc>
        <w:tc>
          <w:tcPr>
            <w:tcW w:w="958" w:type="pct"/>
          </w:tcPr>
          <w:p w14:paraId="61CEEEE9" w14:textId="799D5E83" w:rsidR="00843C5D" w:rsidRPr="00C03A6B" w:rsidRDefault="00843C5D" w:rsidP="00843C5D">
            <w:pPr>
              <w:jc w:val="center"/>
              <w:rPr>
                <w:sz w:val="20"/>
                <w:szCs w:val="20"/>
                <w:lang w:val="en-GB"/>
              </w:rPr>
            </w:pPr>
          </w:p>
        </w:tc>
        <w:tc>
          <w:tcPr>
            <w:tcW w:w="811" w:type="pct"/>
          </w:tcPr>
          <w:p w14:paraId="5AB050D0" w14:textId="77777777" w:rsidR="00843C5D" w:rsidRPr="00C03A6B" w:rsidRDefault="00843C5D" w:rsidP="00843C5D">
            <w:pPr>
              <w:jc w:val="center"/>
              <w:rPr>
                <w:sz w:val="20"/>
                <w:szCs w:val="20"/>
                <w:lang w:val="en-GB"/>
              </w:rPr>
            </w:pPr>
          </w:p>
        </w:tc>
        <w:tc>
          <w:tcPr>
            <w:tcW w:w="663" w:type="pct"/>
          </w:tcPr>
          <w:p w14:paraId="3919122E" w14:textId="6812918C" w:rsidR="00843C5D" w:rsidRPr="00C03A6B" w:rsidRDefault="00843C5D" w:rsidP="00843C5D">
            <w:pPr>
              <w:jc w:val="center"/>
              <w:rPr>
                <w:sz w:val="20"/>
                <w:szCs w:val="20"/>
                <w:lang w:val="en-GB"/>
              </w:rPr>
            </w:pPr>
            <w:r w:rsidRPr="009F0A98">
              <w:rPr>
                <w:sz w:val="20"/>
                <w:szCs w:val="20"/>
                <w:lang w:val="en-GB"/>
              </w:rPr>
              <w:t>x</w:t>
            </w:r>
          </w:p>
        </w:tc>
        <w:tc>
          <w:tcPr>
            <w:tcW w:w="730" w:type="pct"/>
          </w:tcPr>
          <w:p w14:paraId="24589C73" w14:textId="77777777" w:rsidR="00843C5D" w:rsidRPr="000A4CB8" w:rsidRDefault="00843C5D" w:rsidP="00843C5D">
            <w:pPr>
              <w:jc w:val="center"/>
              <w:rPr>
                <w:sz w:val="20"/>
                <w:szCs w:val="20"/>
                <w:lang w:val="en-GB"/>
              </w:rPr>
            </w:pPr>
          </w:p>
        </w:tc>
      </w:tr>
      <w:tr w:rsidR="00A85AA9" w:rsidRPr="00402AEC" w14:paraId="323A51F7" w14:textId="77777777" w:rsidTr="00746DB3">
        <w:tc>
          <w:tcPr>
            <w:tcW w:w="964" w:type="pct"/>
          </w:tcPr>
          <w:p w14:paraId="1519CB19" w14:textId="5C782476" w:rsidR="00843C5D" w:rsidRPr="009F0A98" w:rsidRDefault="00843C5D" w:rsidP="00843C5D">
            <w:pPr>
              <w:rPr>
                <w:sz w:val="20"/>
                <w:szCs w:val="20"/>
                <w:lang w:val="en-GB" w:bidi="en-US"/>
              </w:rPr>
            </w:pPr>
            <w:r w:rsidRPr="0054703D">
              <w:rPr>
                <w:sz w:val="20"/>
                <w:szCs w:val="20"/>
                <w:lang w:val="en-GB" w:bidi="en-US"/>
              </w:rPr>
              <w:t>(</w:t>
            </w:r>
            <w:r w:rsidRPr="0054703D">
              <w:rPr>
                <w:sz w:val="20"/>
                <w:szCs w:val="20"/>
                <w:lang w:val="en-GB" w:bidi="en-US"/>
              </w:rPr>
              <w:fldChar w:fldCharType="begin" w:fldLock="1"/>
            </w:r>
            <w:r w:rsidR="003445CC">
              <w:rPr>
                <w:sz w:val="20"/>
                <w:szCs w:val="20"/>
                <w:lang w:val="en-GB" w:bidi="en-US"/>
              </w:rPr>
              <w:instrText>ADDIN CSL_CITATION {"citationItems":[{"id":"ITEM-1","itemData":{"ISBN":"9789461384799","abstract":"The ‘circular economy’ is gaining momentum as a concept in both academic and policy circles, while circular business models have been linked to significant economic benefits. This paper identifies key barriers and enablers to adopting circular economy business practices, using input from a literature review, discussions held in the context of the GreenEcoNet project and an analysis of two SME circular business models","author":[{"dropping-particle":"","family":"Rizos","given":"Vasileios","non-dropping-particle":"","parse-names":false,"suffix":""},{"dropping-particle":"","family":"Behrens","given":"Arno","non-dropping-particle":"","parse-names":false,"suffix":""},{"dropping-particle":"","family":"Kafyeke","given":"Terri","non-dropping-particle":"","parse-names":false,"suffix":""},{"dropping-particle":"","family":"Hirschnitz-Garbers","given":"Martin","non-dropping-particle":"","parse-names":false,"suffix":""},{"dropping-particle":"","family":"Ioannou","given":"Anastasia","non-dropping-particle":"","parse-names":false,"suffix":""}],"id":"ITEM-1","issue":"412","issued":{"date-parts":[["2015"]]},"number-of-pages":"1-25","title":"The Circular Economy: Barriers and Opportunities for SMEs","type":"report"},"uris":["http://www.mendeley.com/documents/?uuid=10283c25-960f-4eec-8d79-1c09c2f7c8d7"]}],"mendeley":{"formattedCitation":"(Rizos et al., 2015)","manualFormatting":"Rizos et al. 2015)","plainTextFormattedCitation":"(Rizos et al., 2015)","previouslyFormattedCitation":"(Rizos et al., 2015)"},"properties":{"noteIndex":0},"schema":"https://github.com/citation-style-language/schema/raw/master/csl-citation.json"}</w:instrText>
            </w:r>
            <w:r w:rsidRPr="0054703D">
              <w:rPr>
                <w:sz w:val="20"/>
                <w:szCs w:val="20"/>
                <w:lang w:val="en-GB" w:bidi="en-US"/>
              </w:rPr>
              <w:fldChar w:fldCharType="separate"/>
            </w:r>
            <w:r w:rsidRPr="0054703D">
              <w:rPr>
                <w:noProof/>
                <w:sz w:val="20"/>
                <w:szCs w:val="20"/>
                <w:lang w:val="en-GB" w:bidi="en-US"/>
              </w:rPr>
              <w:t>Rizos et al. 2015)</w:t>
            </w:r>
            <w:r w:rsidRPr="0054703D">
              <w:rPr>
                <w:sz w:val="20"/>
                <w:szCs w:val="20"/>
                <w:lang w:val="en-GB" w:bidi="en-US"/>
              </w:rPr>
              <w:fldChar w:fldCharType="end"/>
            </w:r>
            <w:r w:rsidRPr="0054703D">
              <w:rPr>
                <w:sz w:val="20"/>
                <w:szCs w:val="20"/>
                <w:lang w:val="en-GB" w:bidi="en-US"/>
              </w:rPr>
              <w:t xml:space="preserve"> </w:t>
            </w:r>
          </w:p>
        </w:tc>
        <w:tc>
          <w:tcPr>
            <w:tcW w:w="874" w:type="pct"/>
          </w:tcPr>
          <w:p w14:paraId="50A9C161" w14:textId="77777777" w:rsidR="00843C5D" w:rsidRPr="00C03A6B" w:rsidRDefault="00843C5D" w:rsidP="00843C5D">
            <w:pPr>
              <w:jc w:val="center"/>
              <w:rPr>
                <w:sz w:val="20"/>
                <w:szCs w:val="20"/>
                <w:lang w:val="en-GB"/>
              </w:rPr>
            </w:pPr>
          </w:p>
        </w:tc>
        <w:tc>
          <w:tcPr>
            <w:tcW w:w="958" w:type="pct"/>
          </w:tcPr>
          <w:p w14:paraId="19912918" w14:textId="5F9E22CB" w:rsidR="00843C5D" w:rsidRPr="00C03A6B" w:rsidRDefault="00843C5D" w:rsidP="00843C5D">
            <w:pPr>
              <w:jc w:val="center"/>
              <w:rPr>
                <w:sz w:val="20"/>
                <w:szCs w:val="20"/>
                <w:lang w:val="en-GB"/>
              </w:rPr>
            </w:pPr>
          </w:p>
        </w:tc>
        <w:tc>
          <w:tcPr>
            <w:tcW w:w="811" w:type="pct"/>
          </w:tcPr>
          <w:p w14:paraId="70E23B3B" w14:textId="0B58A6DF" w:rsidR="00843C5D" w:rsidRPr="00C03A6B" w:rsidRDefault="00843C5D" w:rsidP="00843C5D">
            <w:pPr>
              <w:jc w:val="center"/>
              <w:rPr>
                <w:sz w:val="20"/>
                <w:szCs w:val="20"/>
                <w:lang w:val="en-GB"/>
              </w:rPr>
            </w:pPr>
            <w:r w:rsidRPr="0054703D">
              <w:rPr>
                <w:sz w:val="20"/>
                <w:szCs w:val="20"/>
                <w:lang w:val="en-GB"/>
              </w:rPr>
              <w:t>x</w:t>
            </w:r>
          </w:p>
        </w:tc>
        <w:tc>
          <w:tcPr>
            <w:tcW w:w="663" w:type="pct"/>
          </w:tcPr>
          <w:p w14:paraId="32074B82" w14:textId="77777777" w:rsidR="00843C5D" w:rsidRPr="009F0A98" w:rsidRDefault="00843C5D" w:rsidP="00843C5D">
            <w:pPr>
              <w:jc w:val="center"/>
              <w:rPr>
                <w:sz w:val="20"/>
                <w:szCs w:val="20"/>
                <w:lang w:val="en-GB"/>
              </w:rPr>
            </w:pPr>
          </w:p>
        </w:tc>
        <w:tc>
          <w:tcPr>
            <w:tcW w:w="730" w:type="pct"/>
          </w:tcPr>
          <w:p w14:paraId="5F2F3CBF" w14:textId="77777777" w:rsidR="00843C5D" w:rsidRPr="000A4CB8" w:rsidRDefault="00843C5D" w:rsidP="00843C5D">
            <w:pPr>
              <w:jc w:val="center"/>
              <w:rPr>
                <w:sz w:val="20"/>
                <w:szCs w:val="20"/>
                <w:lang w:val="en-GB"/>
              </w:rPr>
            </w:pPr>
          </w:p>
        </w:tc>
      </w:tr>
      <w:tr w:rsidR="00A85AA9" w:rsidRPr="00402AEC" w14:paraId="52A40FD8" w14:textId="77777777" w:rsidTr="00746DB3">
        <w:tc>
          <w:tcPr>
            <w:tcW w:w="964" w:type="pct"/>
          </w:tcPr>
          <w:p w14:paraId="06CEF64F" w14:textId="4247DC58" w:rsidR="00843C5D" w:rsidRPr="009F0A98" w:rsidRDefault="00843C5D" w:rsidP="00843C5D">
            <w:pPr>
              <w:rPr>
                <w:sz w:val="20"/>
                <w:szCs w:val="20"/>
                <w:lang w:val="en-GB" w:bidi="en-US"/>
              </w:rPr>
            </w:pPr>
            <w:r w:rsidRPr="0054703D">
              <w:rPr>
                <w:sz w:val="20"/>
                <w:szCs w:val="20"/>
                <w:lang w:val="en-GB" w:bidi="en-US"/>
              </w:rPr>
              <w:t>(</w:t>
            </w:r>
            <w:r w:rsidRPr="0054703D">
              <w:rPr>
                <w:sz w:val="20"/>
                <w:szCs w:val="20"/>
                <w:lang w:val="en-GB" w:bidi="en-US"/>
              </w:rPr>
              <w:fldChar w:fldCharType="begin" w:fldLock="1"/>
            </w:r>
            <w:r w:rsidR="003445CC">
              <w:rPr>
                <w:sz w:val="20"/>
                <w:szCs w:val="20"/>
                <w:lang w:val="en-GB" w:bidi="en-US"/>
              </w:rPr>
              <w:instrText>ADDIN CSL_CITATION {"citationItems":[{"id":"ITEM-1","itemData":{"DOI":"10.3390/su8111212","ISSN":"20711050","abstract":"Small and medium-sized enterprises (SMEs) are increasingly aware of the benefits of closing loops and improving resource efficiency, such as saving material costs, creating competitive advantages, and accessing new markets. At the same time, however, various barriers pose challenges to small businesses in their transition to a circular economy, namely a lack of financial resources and lack of technical skills. The aim of this paper is to increase knowledge and understanding about the barriers and enablers experienced by SMEs when implementing circular economy business models. Looking first at the barriers that prevent SMEs from realising the benefits of the circular economy, an investigation is carried out in the form of a literature review and an analysis of a sample of SME case studies that are featured on the GreenEcoNet EU-funded web platform. Several enabling factors that help SMEs adopt circular economy practices are then identified. The paper concludes that although various policy instruments are available to help SMEs incorporate circular economy principles into their business models, several barriers remain. The authors recommend that European and national policies strengthen their focus on greening consumer preferences, market value chains and company cultures, and support the recognition of SMEs’ green business models. This can be achieved through the creation of dedicated marketplaces and communities of practice, for example.","author":[{"dropping-particle":"","family":"Rizos","given":"Vasileios","non-dropping-particle":"","parse-names":false,"suffix":""},{"dropping-particle":"","family":"Behrens","given":"Arno","non-dropping-particle":"","parse-names":false,"suffix":""},{"dropping-particle":"","family":"Gaast","given":"Wytze","non-dropping-particle":"van der","parse-names":false,"suffix":""},{"dropping-particle":"","family":"Hofman","given":"Erwin","non-dropping-particle":"","parse-names":false,"suffix":""},{"dropping-particle":"","family":"Ioannou","given":"Anastasia","non-dropping-particle":"","parse-names":false,"suffix":""},{"dropping-particle":"","family":"Kafyeke","given":"Terri","non-dropping-particle":"","parse-names":false,"suffix":""},{"dropping-particle":"","family":"Flamos","given":"Alexandros","non-dropping-particle":"","parse-names":false,"suffix":""},{"dropping-particle":"","family":"Rinaldi","given":"Roberto","non-dropping-particle":"","parse-names":false,"suffix":""},{"dropping-particle":"","family":"Papadelis","given":"Sotiris","non-dropping-particle":"","parse-names":false,"suffix":""},{"dropping-particle":"","family":"Hirschnitz-Garbers","given":"Martin","non-dropping-particle":"","parse-names":false,"suffix":""},{"dropping-particle":"","family":"Topi","given":"Corrado","non-dropping-particle":"","parse-names":false,"suffix":""}],"container-title":"Sustainability (Switzerland)","id":"ITEM-1","issue":"1212","issued":{"date-parts":[["2016"]]},"page":"1-18","title":"Implementation of circular economy business models by small and medium-sized enterprises (SMEs): Barriers and enablers","type":"article-journal","volume":"8"},"uris":["http://www.mendeley.com/documents/?uuid=1cbd4dbe-ea0b-47a7-a6f1-1b95c7c09e17"]}],"mendeley":{"formattedCitation":"(Rizos et al., 2016)","manualFormatting":"Rizos et al. 2016)","plainTextFormattedCitation":"(Rizos et al., 2016)","previouslyFormattedCitation":"(Rizos et al., 2016)"},"properties":{"noteIndex":0},"schema":"https://github.com/citation-style-language/schema/raw/master/csl-citation.json"}</w:instrText>
            </w:r>
            <w:r w:rsidRPr="0054703D">
              <w:rPr>
                <w:sz w:val="20"/>
                <w:szCs w:val="20"/>
                <w:lang w:val="en-GB" w:bidi="en-US"/>
              </w:rPr>
              <w:fldChar w:fldCharType="separate"/>
            </w:r>
            <w:r w:rsidRPr="0054703D">
              <w:rPr>
                <w:noProof/>
                <w:sz w:val="20"/>
                <w:szCs w:val="20"/>
                <w:lang w:val="en-GB" w:bidi="en-US"/>
              </w:rPr>
              <w:t>Rizos et al. 2016)</w:t>
            </w:r>
            <w:r w:rsidRPr="0054703D">
              <w:rPr>
                <w:sz w:val="20"/>
                <w:szCs w:val="20"/>
                <w:lang w:val="en-GB" w:bidi="en-US"/>
              </w:rPr>
              <w:fldChar w:fldCharType="end"/>
            </w:r>
          </w:p>
        </w:tc>
        <w:tc>
          <w:tcPr>
            <w:tcW w:w="874" w:type="pct"/>
          </w:tcPr>
          <w:p w14:paraId="35205D94" w14:textId="77777777" w:rsidR="00843C5D" w:rsidRPr="00C03A6B" w:rsidRDefault="00843C5D" w:rsidP="00843C5D">
            <w:pPr>
              <w:jc w:val="center"/>
              <w:rPr>
                <w:sz w:val="20"/>
                <w:szCs w:val="20"/>
                <w:lang w:val="en-GB"/>
              </w:rPr>
            </w:pPr>
          </w:p>
        </w:tc>
        <w:tc>
          <w:tcPr>
            <w:tcW w:w="958" w:type="pct"/>
          </w:tcPr>
          <w:p w14:paraId="4CCBE5A0" w14:textId="4E3DD4FA" w:rsidR="00843C5D" w:rsidRPr="00C03A6B" w:rsidRDefault="00843C5D" w:rsidP="00843C5D">
            <w:pPr>
              <w:jc w:val="center"/>
              <w:rPr>
                <w:sz w:val="20"/>
                <w:szCs w:val="20"/>
                <w:lang w:val="en-GB"/>
              </w:rPr>
            </w:pPr>
          </w:p>
        </w:tc>
        <w:tc>
          <w:tcPr>
            <w:tcW w:w="811" w:type="pct"/>
          </w:tcPr>
          <w:p w14:paraId="45351C6B" w14:textId="0BAA447C" w:rsidR="00843C5D" w:rsidRPr="00C03A6B" w:rsidRDefault="00843C5D" w:rsidP="00843C5D">
            <w:pPr>
              <w:jc w:val="center"/>
              <w:rPr>
                <w:sz w:val="20"/>
                <w:szCs w:val="20"/>
                <w:lang w:val="en-GB"/>
              </w:rPr>
            </w:pPr>
            <w:r w:rsidRPr="0054703D">
              <w:rPr>
                <w:sz w:val="20"/>
                <w:szCs w:val="20"/>
                <w:lang w:val="en-GB"/>
              </w:rPr>
              <w:t>x</w:t>
            </w:r>
          </w:p>
        </w:tc>
        <w:tc>
          <w:tcPr>
            <w:tcW w:w="663" w:type="pct"/>
          </w:tcPr>
          <w:p w14:paraId="219000ED" w14:textId="77777777" w:rsidR="00843C5D" w:rsidRPr="009F0A98" w:rsidRDefault="00843C5D" w:rsidP="00843C5D">
            <w:pPr>
              <w:jc w:val="center"/>
              <w:rPr>
                <w:sz w:val="20"/>
                <w:szCs w:val="20"/>
                <w:lang w:val="en-GB"/>
              </w:rPr>
            </w:pPr>
          </w:p>
        </w:tc>
        <w:tc>
          <w:tcPr>
            <w:tcW w:w="730" w:type="pct"/>
          </w:tcPr>
          <w:p w14:paraId="4FFA5BE4" w14:textId="77777777" w:rsidR="00843C5D" w:rsidRPr="000A4CB8" w:rsidRDefault="00843C5D" w:rsidP="00843C5D">
            <w:pPr>
              <w:jc w:val="center"/>
              <w:rPr>
                <w:sz w:val="20"/>
                <w:szCs w:val="20"/>
                <w:lang w:val="en-GB"/>
              </w:rPr>
            </w:pPr>
          </w:p>
        </w:tc>
      </w:tr>
      <w:tr w:rsidR="00A85AA9" w:rsidRPr="00402AEC" w14:paraId="434AA436" w14:textId="77777777" w:rsidTr="00746DB3">
        <w:tc>
          <w:tcPr>
            <w:tcW w:w="964" w:type="pct"/>
          </w:tcPr>
          <w:p w14:paraId="68E23690" w14:textId="5289952D" w:rsidR="00843C5D" w:rsidRPr="0054703D" w:rsidRDefault="00843C5D" w:rsidP="00843C5D">
            <w:pPr>
              <w:rPr>
                <w:sz w:val="20"/>
                <w:szCs w:val="20"/>
                <w:lang w:val="en-GB" w:bidi="en-US"/>
              </w:rPr>
            </w:pPr>
            <w:r w:rsidRPr="00EB5168">
              <w:rPr>
                <w:rFonts w:eastAsiaTheme="minorEastAsia"/>
                <w:sz w:val="20"/>
                <w:szCs w:val="20"/>
                <w:lang w:val="en-GB" w:bidi="en-US"/>
              </w:rPr>
              <w:t>(</w:t>
            </w:r>
            <w:r w:rsidRPr="00EB5168">
              <w:rPr>
                <w:sz w:val="20"/>
                <w:szCs w:val="20"/>
                <w:lang w:val="en-GB" w:bidi="en-US"/>
              </w:rPr>
              <w:fldChar w:fldCharType="begin" w:fldLock="1"/>
            </w:r>
            <w:r w:rsidR="003445CC">
              <w:rPr>
                <w:sz w:val="20"/>
                <w:szCs w:val="20"/>
                <w:lang w:val="en-GB" w:bidi="en-US"/>
              </w:rPr>
              <w:instrText>ADDIN CSL_CITATION {"citationItems":[{"id":"ITEM-1","itemData":{"DOI":"10.1016/j.procir.2017.03.133","ISBN":"22128271 (ISSN)","ISSN":"22128271","abstract":"Circular Lean Product-Service Systems (CLPSSs) are a new type of PSS, a combination of a tangible circular product with intangible value-added service elements, and its related supporting closed-loop networks and infrastructure. CLPSSs can lead to dematerialization through reducing the creation of waste in manufacturing and services operations, and the consumption of virgin materials, thanks to a restorative and regenerative operational system by design that can satisfy customers' needs, decouple economic growth from environmental impact and create new revenue streams out of extending the residual value of products. This paper aims to demonstrate the compatibility of circular economy and lean principles in the context of PSSs and contribute to their integration in order to create customer-oriented solutions that minimize resources consumption and enhance the ultimate value-added to the end-user.","author":[{"dropping-particle":"","family":"Romero","given":"David","non-dropping-particle":"","parse-names":false,"suffix":""},{"dropping-particle":"","family":"Rossi","given":"Monica","non-dropping-particle":"","parse-names":false,"suffix":""}],"container-title":"Procedia CIRP","id":"ITEM-1","issued":{"date-parts":[["2017"]]},"page":"13-18","publisher":"The Author(s)","title":"Towards Circular Lean Product-Service Systems","type":"article-journal","volume":"64"},"uris":["http://www.mendeley.com/documents/?uuid=2302cd52-3606-4c11-9cd2-e60e271edc3f"]}],"mendeley":{"formattedCitation":"(Romero and Rossi, 2017)","manualFormatting":"Romero and Rossi 2017)","plainTextFormattedCitation":"(Romero and Rossi, 2017)","previouslyFormattedCitation":"(Romero and Rossi, 2017)"},"properties":{"noteIndex":0},"schema":"https://github.com/citation-style-language/schema/raw/master/csl-citation.json"}</w:instrText>
            </w:r>
            <w:r w:rsidRPr="00EB5168">
              <w:rPr>
                <w:sz w:val="20"/>
                <w:szCs w:val="20"/>
                <w:lang w:val="en-GB" w:bidi="en-US"/>
              </w:rPr>
              <w:fldChar w:fldCharType="separate"/>
            </w:r>
            <w:r w:rsidRPr="00EB5168">
              <w:rPr>
                <w:noProof/>
                <w:sz w:val="20"/>
                <w:szCs w:val="20"/>
                <w:lang w:val="en-GB" w:bidi="en-US"/>
              </w:rPr>
              <w:t>Romero and Rossi 2017)</w:t>
            </w:r>
            <w:r w:rsidRPr="00EB5168">
              <w:rPr>
                <w:sz w:val="20"/>
                <w:szCs w:val="20"/>
                <w:lang w:val="en-GB" w:bidi="en-US"/>
              </w:rPr>
              <w:fldChar w:fldCharType="end"/>
            </w:r>
          </w:p>
        </w:tc>
        <w:tc>
          <w:tcPr>
            <w:tcW w:w="874" w:type="pct"/>
          </w:tcPr>
          <w:p w14:paraId="582D8894" w14:textId="77777777" w:rsidR="00843C5D" w:rsidRPr="00C03A6B" w:rsidRDefault="00843C5D" w:rsidP="00843C5D">
            <w:pPr>
              <w:jc w:val="center"/>
              <w:rPr>
                <w:sz w:val="20"/>
                <w:szCs w:val="20"/>
                <w:lang w:val="en-GB"/>
              </w:rPr>
            </w:pPr>
          </w:p>
        </w:tc>
        <w:tc>
          <w:tcPr>
            <w:tcW w:w="958" w:type="pct"/>
          </w:tcPr>
          <w:p w14:paraId="49541B49" w14:textId="5DB73307" w:rsidR="00843C5D" w:rsidRPr="00C03A6B" w:rsidRDefault="00843C5D" w:rsidP="00843C5D">
            <w:pPr>
              <w:jc w:val="center"/>
              <w:rPr>
                <w:sz w:val="20"/>
                <w:szCs w:val="20"/>
                <w:lang w:val="en-GB"/>
              </w:rPr>
            </w:pPr>
          </w:p>
        </w:tc>
        <w:tc>
          <w:tcPr>
            <w:tcW w:w="811" w:type="pct"/>
          </w:tcPr>
          <w:p w14:paraId="3AA7ABB7" w14:textId="77777777" w:rsidR="00843C5D" w:rsidRPr="0054703D" w:rsidRDefault="00843C5D" w:rsidP="00843C5D">
            <w:pPr>
              <w:jc w:val="center"/>
              <w:rPr>
                <w:sz w:val="20"/>
                <w:szCs w:val="20"/>
                <w:lang w:val="en-GB"/>
              </w:rPr>
            </w:pPr>
          </w:p>
        </w:tc>
        <w:tc>
          <w:tcPr>
            <w:tcW w:w="663" w:type="pct"/>
          </w:tcPr>
          <w:p w14:paraId="4D737069" w14:textId="77777777" w:rsidR="00843C5D" w:rsidRPr="009F0A98" w:rsidRDefault="00843C5D" w:rsidP="00843C5D">
            <w:pPr>
              <w:jc w:val="center"/>
              <w:rPr>
                <w:sz w:val="20"/>
                <w:szCs w:val="20"/>
                <w:lang w:val="en-GB"/>
              </w:rPr>
            </w:pPr>
          </w:p>
        </w:tc>
        <w:tc>
          <w:tcPr>
            <w:tcW w:w="730" w:type="pct"/>
          </w:tcPr>
          <w:p w14:paraId="4A1FDC13" w14:textId="7F5E6036" w:rsidR="00843C5D" w:rsidRPr="000A4CB8" w:rsidRDefault="00843C5D" w:rsidP="00843C5D">
            <w:pPr>
              <w:jc w:val="center"/>
              <w:rPr>
                <w:sz w:val="20"/>
                <w:szCs w:val="20"/>
                <w:lang w:val="en-GB"/>
              </w:rPr>
            </w:pPr>
            <w:r w:rsidRPr="00EB5168">
              <w:rPr>
                <w:sz w:val="20"/>
                <w:szCs w:val="20"/>
                <w:lang w:val="en-GB"/>
              </w:rPr>
              <w:t>x</w:t>
            </w:r>
          </w:p>
        </w:tc>
      </w:tr>
      <w:tr w:rsidR="00A85AA9" w:rsidRPr="00402AEC" w14:paraId="3A620907" w14:textId="11E0EC6C" w:rsidTr="00746DB3">
        <w:tc>
          <w:tcPr>
            <w:tcW w:w="964" w:type="pct"/>
          </w:tcPr>
          <w:p w14:paraId="7E3A9659" w14:textId="468EC8F0" w:rsidR="00843C5D" w:rsidRPr="00C03A6B" w:rsidRDefault="00843C5D" w:rsidP="00843C5D">
            <w:pPr>
              <w:rPr>
                <w:sz w:val="20"/>
                <w:szCs w:val="20"/>
                <w:highlight w:val="yellow"/>
                <w:lang w:val="en-GB"/>
              </w:rPr>
            </w:pPr>
            <w:r w:rsidRPr="00746DB3">
              <w:rPr>
                <w:sz w:val="20"/>
                <w:szCs w:val="20"/>
                <w:lang w:val="en-GB" w:bidi="en-US"/>
              </w:rPr>
              <w:t>(</w:t>
            </w:r>
            <w:r w:rsidRPr="00746DB3">
              <w:rPr>
                <w:sz w:val="20"/>
                <w:szCs w:val="20"/>
                <w:lang w:val="en-GB" w:bidi="en-US"/>
              </w:rPr>
              <w:fldChar w:fldCharType="begin" w:fldLock="1"/>
            </w:r>
            <w:r w:rsidR="003445CC">
              <w:rPr>
                <w:sz w:val="20"/>
                <w:szCs w:val="20"/>
                <w:lang w:val="en-GB" w:bidi="en-US"/>
              </w:rPr>
              <w:instrText>ADDIN CSL_CITATION {"citationItems":[{"id":"ITEM-1","itemData":{"DOI":"10.3390/resources3010248","ISBN":"2079-9276","ISSN":"2079-9276","abstract":"This article briefly discusses the origins and development of the business model concept resulting in a high level definition. Against this backdrop, frameworks from the literature around green business models with examples of green business models and the business model innovation process are presented. The article then discusses the origins and meaning of different “green” concepts relevant for the circular value chain concluding with a high level definition. The article finally outline the process by which a business model for a circular value chain can be developed taking into account the social dilemma that exist in these type of situations. The article concludes with the specific questions that need to be answered in order to create an appropriate business model for a circular value chain.","author":[{"dropping-particle":"","family":"Roos","given":"Göran","non-dropping-particle":"","parse-names":false,"suffix":""}],"container-title":"Resources","id":"ITEM-1","issue":"1","issued":{"date-parts":[["2014"]]},"page":"248-274","title":"Business Model Innovation to Create and Capture Resource Value in Future Circular Material Chains","type":"article-journal","volume":"3"},"uris":["http://www.mendeley.com/documents/?uuid=9b117769-3345-4e34-a6a8-2ac79a116cf3"]}],"mendeley":{"formattedCitation":"(Roos, 2014)","manualFormatting":"Roos 2014)","plainTextFormattedCitation":"(Roos, 2014)","previouslyFormattedCitation":"(Roos, 2014)"},"properties":{"noteIndex":0},"schema":"https://github.com/citation-style-language/schema/raw/master/csl-citation.json"}</w:instrText>
            </w:r>
            <w:r w:rsidRPr="00746DB3">
              <w:rPr>
                <w:sz w:val="20"/>
                <w:szCs w:val="20"/>
                <w:lang w:val="en-GB" w:bidi="en-US"/>
              </w:rPr>
              <w:fldChar w:fldCharType="separate"/>
            </w:r>
            <w:r w:rsidRPr="00746DB3">
              <w:rPr>
                <w:noProof/>
                <w:sz w:val="20"/>
                <w:szCs w:val="20"/>
                <w:lang w:val="en-GB" w:bidi="en-US"/>
              </w:rPr>
              <w:t>Roos 2014)</w:t>
            </w:r>
            <w:r w:rsidRPr="00746DB3">
              <w:rPr>
                <w:sz w:val="20"/>
                <w:szCs w:val="20"/>
                <w:lang w:val="en-GB" w:bidi="en-US"/>
              </w:rPr>
              <w:fldChar w:fldCharType="end"/>
            </w:r>
          </w:p>
        </w:tc>
        <w:tc>
          <w:tcPr>
            <w:tcW w:w="874" w:type="pct"/>
          </w:tcPr>
          <w:p w14:paraId="57BE6CBA" w14:textId="274D9147" w:rsidR="00843C5D" w:rsidRPr="00C03A6B" w:rsidRDefault="00843C5D" w:rsidP="00843C5D">
            <w:pPr>
              <w:jc w:val="center"/>
              <w:rPr>
                <w:sz w:val="20"/>
                <w:szCs w:val="20"/>
                <w:lang w:val="en-GB"/>
              </w:rPr>
            </w:pPr>
            <w:r w:rsidRPr="007937F0">
              <w:rPr>
                <w:sz w:val="20"/>
                <w:szCs w:val="20"/>
                <w:lang w:val="en-GB"/>
              </w:rPr>
              <w:t>x</w:t>
            </w:r>
          </w:p>
        </w:tc>
        <w:tc>
          <w:tcPr>
            <w:tcW w:w="958" w:type="pct"/>
          </w:tcPr>
          <w:p w14:paraId="28A6BFDB" w14:textId="7980A81D" w:rsidR="00843C5D" w:rsidRPr="00746DB3" w:rsidRDefault="00843C5D" w:rsidP="00843C5D">
            <w:pPr>
              <w:jc w:val="center"/>
              <w:rPr>
                <w:sz w:val="20"/>
                <w:szCs w:val="20"/>
                <w:lang w:val="en-GB"/>
              </w:rPr>
            </w:pPr>
          </w:p>
        </w:tc>
        <w:tc>
          <w:tcPr>
            <w:tcW w:w="811" w:type="pct"/>
          </w:tcPr>
          <w:p w14:paraId="201B0136" w14:textId="77777777" w:rsidR="00843C5D" w:rsidRPr="00746DB3" w:rsidRDefault="00843C5D" w:rsidP="00843C5D">
            <w:pPr>
              <w:jc w:val="center"/>
              <w:rPr>
                <w:sz w:val="20"/>
                <w:szCs w:val="20"/>
                <w:lang w:val="en-GB"/>
              </w:rPr>
            </w:pPr>
          </w:p>
        </w:tc>
        <w:tc>
          <w:tcPr>
            <w:tcW w:w="663" w:type="pct"/>
          </w:tcPr>
          <w:p w14:paraId="470A477D" w14:textId="77777777" w:rsidR="00843C5D" w:rsidRPr="00746DB3" w:rsidRDefault="00843C5D" w:rsidP="00843C5D">
            <w:pPr>
              <w:jc w:val="center"/>
              <w:rPr>
                <w:sz w:val="20"/>
                <w:szCs w:val="20"/>
                <w:lang w:val="en-GB"/>
              </w:rPr>
            </w:pPr>
          </w:p>
        </w:tc>
        <w:tc>
          <w:tcPr>
            <w:tcW w:w="730" w:type="pct"/>
          </w:tcPr>
          <w:p w14:paraId="7CDA9AF6" w14:textId="36C9B199" w:rsidR="00843C5D" w:rsidRPr="00746DB3" w:rsidRDefault="00843C5D" w:rsidP="00843C5D">
            <w:pPr>
              <w:jc w:val="center"/>
              <w:rPr>
                <w:sz w:val="20"/>
                <w:szCs w:val="20"/>
                <w:lang w:val="en-GB"/>
              </w:rPr>
            </w:pPr>
          </w:p>
        </w:tc>
      </w:tr>
      <w:tr w:rsidR="00A85AA9" w:rsidRPr="00402AEC" w14:paraId="418842B0" w14:textId="458ADB04" w:rsidTr="00746DB3">
        <w:tc>
          <w:tcPr>
            <w:tcW w:w="964" w:type="pct"/>
          </w:tcPr>
          <w:p w14:paraId="5E0131F9" w14:textId="31FC0B59" w:rsidR="00843C5D" w:rsidRPr="00C03A6B" w:rsidRDefault="00843C5D" w:rsidP="00843C5D">
            <w:pPr>
              <w:rPr>
                <w:sz w:val="20"/>
                <w:szCs w:val="20"/>
                <w:highlight w:val="yellow"/>
                <w:lang w:val="en-GB"/>
              </w:rPr>
            </w:pPr>
            <w:r w:rsidRPr="00746DB3">
              <w:rPr>
                <w:sz w:val="20"/>
                <w:szCs w:val="20"/>
                <w:lang w:val="en-GB" w:bidi="en-US"/>
              </w:rPr>
              <w:t>(</w:t>
            </w:r>
            <w:r w:rsidRPr="00746DB3">
              <w:rPr>
                <w:sz w:val="20"/>
                <w:szCs w:val="20"/>
                <w:lang w:val="en-GB" w:bidi="en-US"/>
              </w:rPr>
              <w:fldChar w:fldCharType="begin" w:fldLock="1"/>
            </w:r>
            <w:r w:rsidR="003445CC">
              <w:rPr>
                <w:sz w:val="20"/>
                <w:szCs w:val="20"/>
                <w:lang w:val="en-GB" w:bidi="en-US"/>
              </w:rPr>
              <w:instrText>ADDIN CSL_CITATION {"citationItems":[{"id":"ITEM-1","itemData":{"author":[{"dropping-particle":"","family":"Sannö","given":"Anna","non-dropping-particle":"","parse-names":false,"suffix":""},{"dropping-particle":"","family":"Wallin","given":"Peter","non-dropping-particle":"","parse-names":false,"suffix":""},{"dropping-particle":"","family":"Fundin","given":"Anders","non-dropping-particle":"","parse-names":false,"suffix":""}],"container-title":"EurOMA 2014 - 21st International Sustainable Operations and Supply Chains Forum","id":"ITEM-1","issued":{"date-parts":[["2014"]]},"page":"1-11","publisher-place":"Groningen, Netherlands","title":"Developing a research framework for environmental sustainability within a global automotive business","type":"paper-conference"},"uris":["http://www.mendeley.com/documents/?uuid=6f18d468-e46c-4d0a-8d37-43eb476df9ac"]}],"mendeley":{"formattedCitation":"(Sannö et al., 2014)","manualFormatting":"Sannö et al. 2014)","plainTextFormattedCitation":"(Sannö et al., 2014)","previouslyFormattedCitation":"(Sannö et al., 2014)"},"properties":{"noteIndex":0},"schema":"https://github.com/citation-style-language/schema/raw/master/csl-citation.json"}</w:instrText>
            </w:r>
            <w:r w:rsidRPr="00746DB3">
              <w:rPr>
                <w:sz w:val="20"/>
                <w:szCs w:val="20"/>
                <w:lang w:val="en-GB" w:bidi="en-US"/>
              </w:rPr>
              <w:fldChar w:fldCharType="separate"/>
            </w:r>
            <w:r w:rsidRPr="00746DB3">
              <w:rPr>
                <w:noProof/>
                <w:sz w:val="20"/>
                <w:szCs w:val="20"/>
                <w:lang w:val="en-GB" w:bidi="en-US"/>
              </w:rPr>
              <w:t>Sannö et al. 2014)</w:t>
            </w:r>
            <w:r w:rsidRPr="00746DB3">
              <w:rPr>
                <w:sz w:val="20"/>
                <w:szCs w:val="20"/>
                <w:lang w:val="en-GB" w:bidi="en-US"/>
              </w:rPr>
              <w:fldChar w:fldCharType="end"/>
            </w:r>
          </w:p>
        </w:tc>
        <w:tc>
          <w:tcPr>
            <w:tcW w:w="874" w:type="pct"/>
          </w:tcPr>
          <w:p w14:paraId="31A03F3E" w14:textId="65CB2875" w:rsidR="00843C5D" w:rsidRPr="00C03A6B" w:rsidRDefault="00843C5D" w:rsidP="00843C5D">
            <w:pPr>
              <w:jc w:val="center"/>
              <w:rPr>
                <w:sz w:val="20"/>
                <w:szCs w:val="20"/>
                <w:lang w:val="en-GB"/>
              </w:rPr>
            </w:pPr>
            <w:r w:rsidRPr="007937F0">
              <w:rPr>
                <w:sz w:val="20"/>
                <w:szCs w:val="20"/>
                <w:lang w:val="en-GB"/>
              </w:rPr>
              <w:t>x</w:t>
            </w:r>
          </w:p>
        </w:tc>
        <w:tc>
          <w:tcPr>
            <w:tcW w:w="958" w:type="pct"/>
          </w:tcPr>
          <w:p w14:paraId="6EE714E4" w14:textId="5E3851A0" w:rsidR="00843C5D" w:rsidRPr="00746DB3" w:rsidRDefault="00843C5D" w:rsidP="00843C5D">
            <w:pPr>
              <w:jc w:val="center"/>
              <w:rPr>
                <w:sz w:val="20"/>
                <w:szCs w:val="20"/>
                <w:lang w:val="en-GB"/>
              </w:rPr>
            </w:pPr>
          </w:p>
        </w:tc>
        <w:tc>
          <w:tcPr>
            <w:tcW w:w="811" w:type="pct"/>
          </w:tcPr>
          <w:p w14:paraId="32195D33" w14:textId="77777777" w:rsidR="00843C5D" w:rsidRPr="00746DB3" w:rsidRDefault="00843C5D" w:rsidP="00843C5D">
            <w:pPr>
              <w:jc w:val="center"/>
              <w:rPr>
                <w:sz w:val="20"/>
                <w:szCs w:val="20"/>
                <w:lang w:val="en-GB"/>
              </w:rPr>
            </w:pPr>
          </w:p>
        </w:tc>
        <w:tc>
          <w:tcPr>
            <w:tcW w:w="663" w:type="pct"/>
          </w:tcPr>
          <w:p w14:paraId="12193670" w14:textId="77777777" w:rsidR="00843C5D" w:rsidRPr="00746DB3" w:rsidRDefault="00843C5D" w:rsidP="00843C5D">
            <w:pPr>
              <w:jc w:val="center"/>
              <w:rPr>
                <w:sz w:val="20"/>
                <w:szCs w:val="20"/>
                <w:lang w:val="en-GB"/>
              </w:rPr>
            </w:pPr>
          </w:p>
        </w:tc>
        <w:tc>
          <w:tcPr>
            <w:tcW w:w="730" w:type="pct"/>
          </w:tcPr>
          <w:p w14:paraId="7B010AD5" w14:textId="72AF1C70" w:rsidR="00843C5D" w:rsidRPr="00746DB3" w:rsidRDefault="00843C5D" w:rsidP="00843C5D">
            <w:pPr>
              <w:jc w:val="center"/>
              <w:rPr>
                <w:sz w:val="20"/>
                <w:szCs w:val="20"/>
                <w:lang w:val="en-GB"/>
              </w:rPr>
            </w:pPr>
          </w:p>
        </w:tc>
      </w:tr>
      <w:tr w:rsidR="00A85AA9" w:rsidRPr="00402AEC" w14:paraId="045FA416" w14:textId="66C99641" w:rsidTr="00746DB3">
        <w:tc>
          <w:tcPr>
            <w:tcW w:w="964" w:type="pct"/>
          </w:tcPr>
          <w:p w14:paraId="237322FF" w14:textId="688824E2" w:rsidR="00843C5D" w:rsidRPr="00C03A6B" w:rsidRDefault="00843C5D" w:rsidP="00843C5D">
            <w:pPr>
              <w:rPr>
                <w:sz w:val="20"/>
                <w:szCs w:val="20"/>
                <w:highlight w:val="yellow"/>
                <w:lang w:val="en-GB"/>
              </w:rPr>
            </w:pPr>
            <w:r w:rsidRPr="00252DF0">
              <w:rPr>
                <w:sz w:val="20"/>
                <w:szCs w:val="20"/>
                <w:lang w:val="en-GB" w:bidi="en-US"/>
              </w:rPr>
              <w:t>(</w:t>
            </w:r>
            <w:r w:rsidRPr="00746DB3">
              <w:rPr>
                <w:sz w:val="20"/>
                <w:szCs w:val="20"/>
                <w:lang w:val="en-GB" w:bidi="en-US"/>
              </w:rPr>
              <w:fldChar w:fldCharType="begin" w:fldLock="1"/>
            </w:r>
            <w:r w:rsidR="00BF2F60">
              <w:rPr>
                <w:sz w:val="20"/>
                <w:szCs w:val="20"/>
                <w:lang w:val="en-GB" w:bidi="en-US"/>
              </w:rPr>
              <w:instrText>ADDIN CSL_CITATION {"citationItems":[{"id":"ITEM-1","itemData":{"author":[{"dropping-particle":"","family":"Smith-Gillespie","given":"Aleyn","non-dropping-particle":"","parse-names":false,"suffix":""}],"id":"ITEM-1","issued":{"date-parts":[["2017"]]},"number-of-pages":"1-23","title":"Defining the Concept of Circular Economy Business Model","type":"report"},"uris":["http://www.mendeley.com/documents/?uuid=5f349440-8283-460f-b389-ccca2311b135","http://www.mendeley.com/documents/?uuid=02542925-cb8e-43cd-934c-7c1cf455eb1a"]}],"mendeley":{"formattedCitation":"(Smith-Gillespie, 2017)","manualFormatting":"Smith-Gillespie 2017)","plainTextFormattedCitation":"(Smith-Gillespie, 2017)","previouslyFormattedCitation":"(Smith-Gillespie, 2017)"},"properties":{"noteIndex":0},"schema":"https://github.com/citation-style-language/schema/raw/master/csl-citation.json"}</w:instrText>
            </w:r>
            <w:r w:rsidRPr="00746DB3">
              <w:rPr>
                <w:sz w:val="20"/>
                <w:szCs w:val="20"/>
                <w:lang w:val="en-GB" w:bidi="en-US"/>
              </w:rPr>
              <w:fldChar w:fldCharType="separate"/>
            </w:r>
            <w:r w:rsidRPr="00746DB3">
              <w:rPr>
                <w:noProof/>
                <w:sz w:val="20"/>
                <w:szCs w:val="20"/>
                <w:lang w:val="en-GB" w:bidi="en-US"/>
              </w:rPr>
              <w:t>Smith-Gillespie 2017)</w:t>
            </w:r>
            <w:r w:rsidRPr="00746DB3">
              <w:rPr>
                <w:sz w:val="20"/>
                <w:szCs w:val="20"/>
                <w:lang w:val="en-GB" w:bidi="en-US"/>
              </w:rPr>
              <w:fldChar w:fldCharType="end"/>
            </w:r>
          </w:p>
        </w:tc>
        <w:tc>
          <w:tcPr>
            <w:tcW w:w="874" w:type="pct"/>
          </w:tcPr>
          <w:p w14:paraId="483F1FAE" w14:textId="3DDBFE46" w:rsidR="00843C5D" w:rsidRPr="00C03A6B" w:rsidRDefault="00843C5D" w:rsidP="00843C5D">
            <w:pPr>
              <w:jc w:val="center"/>
              <w:rPr>
                <w:sz w:val="20"/>
                <w:szCs w:val="20"/>
                <w:lang w:val="en-GB"/>
              </w:rPr>
            </w:pPr>
            <w:r w:rsidRPr="007937F0">
              <w:rPr>
                <w:sz w:val="20"/>
                <w:szCs w:val="20"/>
                <w:lang w:val="en-GB"/>
              </w:rPr>
              <w:t>x</w:t>
            </w:r>
          </w:p>
        </w:tc>
        <w:tc>
          <w:tcPr>
            <w:tcW w:w="958" w:type="pct"/>
          </w:tcPr>
          <w:p w14:paraId="131247F0" w14:textId="54C943E9" w:rsidR="00843C5D" w:rsidRPr="00746DB3" w:rsidRDefault="00843C5D" w:rsidP="00843C5D">
            <w:pPr>
              <w:jc w:val="center"/>
              <w:rPr>
                <w:sz w:val="20"/>
                <w:szCs w:val="20"/>
                <w:lang w:val="en-GB"/>
              </w:rPr>
            </w:pPr>
          </w:p>
        </w:tc>
        <w:tc>
          <w:tcPr>
            <w:tcW w:w="811" w:type="pct"/>
          </w:tcPr>
          <w:p w14:paraId="3F5E779D" w14:textId="3A8D21BA" w:rsidR="00843C5D" w:rsidRPr="00746DB3" w:rsidRDefault="00843C5D" w:rsidP="00843C5D">
            <w:pPr>
              <w:jc w:val="center"/>
              <w:rPr>
                <w:sz w:val="20"/>
                <w:szCs w:val="20"/>
                <w:lang w:val="en-GB"/>
              </w:rPr>
            </w:pPr>
          </w:p>
        </w:tc>
        <w:tc>
          <w:tcPr>
            <w:tcW w:w="663" w:type="pct"/>
          </w:tcPr>
          <w:p w14:paraId="261F8912" w14:textId="77777777" w:rsidR="00843C5D" w:rsidRPr="00746DB3" w:rsidRDefault="00843C5D" w:rsidP="00843C5D">
            <w:pPr>
              <w:jc w:val="center"/>
              <w:rPr>
                <w:sz w:val="20"/>
                <w:szCs w:val="20"/>
                <w:lang w:val="en-GB"/>
              </w:rPr>
            </w:pPr>
          </w:p>
        </w:tc>
        <w:tc>
          <w:tcPr>
            <w:tcW w:w="730" w:type="pct"/>
          </w:tcPr>
          <w:p w14:paraId="5E9622F0" w14:textId="42E2D712" w:rsidR="00843C5D" w:rsidRPr="00746DB3" w:rsidRDefault="00843C5D" w:rsidP="00843C5D">
            <w:pPr>
              <w:jc w:val="center"/>
              <w:rPr>
                <w:sz w:val="20"/>
                <w:szCs w:val="20"/>
                <w:lang w:val="en-GB"/>
              </w:rPr>
            </w:pPr>
          </w:p>
        </w:tc>
      </w:tr>
      <w:tr w:rsidR="009648BE" w:rsidRPr="00402AEC" w14:paraId="262A2210" w14:textId="77777777" w:rsidTr="00764E4F">
        <w:tc>
          <w:tcPr>
            <w:tcW w:w="964" w:type="pct"/>
          </w:tcPr>
          <w:p w14:paraId="572FF09B" w14:textId="7D755B03" w:rsidR="009648BE" w:rsidRPr="00252DF0" w:rsidRDefault="009648BE" w:rsidP="00843C5D">
            <w:pPr>
              <w:rPr>
                <w:sz w:val="20"/>
                <w:szCs w:val="20"/>
                <w:lang w:val="en-GB" w:bidi="en-US"/>
              </w:rPr>
            </w:pPr>
            <w:r>
              <w:rPr>
                <w:b/>
                <w:sz w:val="20"/>
                <w:szCs w:val="20"/>
                <w:lang w:val="en-GB"/>
              </w:rPr>
              <w:t>Total</w:t>
            </w:r>
          </w:p>
        </w:tc>
        <w:tc>
          <w:tcPr>
            <w:tcW w:w="874" w:type="pct"/>
          </w:tcPr>
          <w:p w14:paraId="652E523B" w14:textId="635CA122" w:rsidR="009648BE" w:rsidRPr="00746DB3" w:rsidRDefault="009648BE" w:rsidP="00843C5D">
            <w:pPr>
              <w:jc w:val="center"/>
              <w:rPr>
                <w:b/>
                <w:sz w:val="20"/>
                <w:szCs w:val="20"/>
                <w:lang w:val="en-GB"/>
              </w:rPr>
            </w:pPr>
            <w:r w:rsidRPr="00746DB3">
              <w:rPr>
                <w:b/>
                <w:sz w:val="20"/>
                <w:szCs w:val="20"/>
                <w:lang w:val="en-GB"/>
              </w:rPr>
              <w:t>5</w:t>
            </w:r>
          </w:p>
        </w:tc>
        <w:tc>
          <w:tcPr>
            <w:tcW w:w="958" w:type="pct"/>
          </w:tcPr>
          <w:p w14:paraId="3D159F2A" w14:textId="79E96A11" w:rsidR="009648BE" w:rsidRPr="00746DB3" w:rsidRDefault="009648BE" w:rsidP="00843C5D">
            <w:pPr>
              <w:jc w:val="center"/>
              <w:rPr>
                <w:b/>
                <w:sz w:val="20"/>
                <w:szCs w:val="20"/>
                <w:lang w:val="en-GB"/>
              </w:rPr>
            </w:pPr>
            <w:r w:rsidRPr="00746DB3">
              <w:rPr>
                <w:b/>
                <w:sz w:val="20"/>
                <w:szCs w:val="20"/>
                <w:lang w:val="en-GB"/>
              </w:rPr>
              <w:t>1</w:t>
            </w:r>
          </w:p>
        </w:tc>
        <w:tc>
          <w:tcPr>
            <w:tcW w:w="811" w:type="pct"/>
          </w:tcPr>
          <w:p w14:paraId="0187E029" w14:textId="67102633" w:rsidR="009648BE" w:rsidRPr="00746DB3" w:rsidRDefault="009648BE" w:rsidP="00843C5D">
            <w:pPr>
              <w:jc w:val="center"/>
              <w:rPr>
                <w:b/>
                <w:sz w:val="20"/>
                <w:szCs w:val="20"/>
                <w:lang w:val="en-GB"/>
              </w:rPr>
            </w:pPr>
            <w:r w:rsidRPr="00746DB3">
              <w:rPr>
                <w:b/>
                <w:sz w:val="20"/>
                <w:szCs w:val="20"/>
                <w:lang w:val="en-GB"/>
              </w:rPr>
              <w:t>5</w:t>
            </w:r>
          </w:p>
        </w:tc>
        <w:tc>
          <w:tcPr>
            <w:tcW w:w="663" w:type="pct"/>
          </w:tcPr>
          <w:p w14:paraId="54AF2676" w14:textId="77B24097" w:rsidR="009648BE" w:rsidRPr="00746DB3" w:rsidRDefault="009648BE" w:rsidP="00843C5D">
            <w:pPr>
              <w:jc w:val="center"/>
              <w:rPr>
                <w:b/>
                <w:sz w:val="20"/>
                <w:szCs w:val="20"/>
                <w:lang w:val="en-GB"/>
              </w:rPr>
            </w:pPr>
            <w:r w:rsidRPr="00746DB3">
              <w:rPr>
                <w:b/>
                <w:sz w:val="20"/>
                <w:szCs w:val="20"/>
                <w:lang w:val="en-GB"/>
              </w:rPr>
              <w:t>4</w:t>
            </w:r>
          </w:p>
        </w:tc>
        <w:tc>
          <w:tcPr>
            <w:tcW w:w="730" w:type="pct"/>
          </w:tcPr>
          <w:p w14:paraId="5E636518" w14:textId="5B85C35C" w:rsidR="009648BE" w:rsidRPr="00746DB3" w:rsidRDefault="009648BE" w:rsidP="00843C5D">
            <w:pPr>
              <w:jc w:val="center"/>
              <w:rPr>
                <w:b/>
                <w:sz w:val="20"/>
                <w:szCs w:val="20"/>
                <w:lang w:val="en-GB"/>
              </w:rPr>
            </w:pPr>
            <w:r w:rsidRPr="00746DB3">
              <w:rPr>
                <w:b/>
                <w:sz w:val="20"/>
                <w:szCs w:val="20"/>
                <w:lang w:val="en-GB"/>
              </w:rPr>
              <w:t>1</w:t>
            </w:r>
          </w:p>
        </w:tc>
      </w:tr>
    </w:tbl>
    <w:p w14:paraId="15094B7A" w14:textId="60B29B41" w:rsidR="00A011C4" w:rsidRDefault="00A011C4" w:rsidP="00216241">
      <w:pPr>
        <w:spacing w:after="240" w:line="360" w:lineRule="auto"/>
        <w:jc w:val="both"/>
        <w:rPr>
          <w:lang w:val="en-GB" w:bidi="en-US"/>
        </w:rPr>
      </w:pPr>
    </w:p>
    <w:p w14:paraId="3EFAEDCC" w14:textId="2742E96D" w:rsidR="00BC7CE3" w:rsidRPr="00402AEC" w:rsidRDefault="00643088" w:rsidP="00216241">
      <w:pPr>
        <w:spacing w:after="240" w:line="360" w:lineRule="auto"/>
        <w:jc w:val="both"/>
        <w:rPr>
          <w:lang w:val="en-GB" w:bidi="en-US"/>
        </w:rPr>
      </w:pPr>
      <w:r w:rsidRPr="00746DB3">
        <w:rPr>
          <w:lang w:val="en-GB" w:bidi="en-US"/>
        </w:rPr>
        <w:t xml:space="preserve">Concerning challenges </w:t>
      </w:r>
      <w:r w:rsidR="0051206E" w:rsidRPr="00746DB3">
        <w:rPr>
          <w:lang w:val="en-GB" w:bidi="en-US"/>
        </w:rPr>
        <w:t xml:space="preserve">faced by companies </w:t>
      </w:r>
      <w:r w:rsidR="003923B9">
        <w:rPr>
          <w:lang w:val="en-GB" w:bidi="en-US"/>
        </w:rPr>
        <w:t>willing to implement</w:t>
      </w:r>
      <w:r w:rsidR="0051206E" w:rsidRPr="00746DB3">
        <w:rPr>
          <w:lang w:val="en-GB" w:bidi="en-US"/>
        </w:rPr>
        <w:t xml:space="preserve"> CBMs, contributions deal with five main categories: </w:t>
      </w:r>
      <w:r w:rsidR="00BC7CE3" w:rsidRPr="002224BE">
        <w:rPr>
          <w:lang w:val="en-GB" w:bidi="en-US"/>
        </w:rPr>
        <w:t>Sustainability-, supply chain</w:t>
      </w:r>
      <w:r w:rsidRPr="00746DB3">
        <w:rPr>
          <w:lang w:val="en-GB" w:bidi="en-US"/>
        </w:rPr>
        <w:t>-,</w:t>
      </w:r>
      <w:r w:rsidR="00BC7CE3" w:rsidRPr="002224BE">
        <w:rPr>
          <w:lang w:val="en-GB" w:bidi="en-US"/>
        </w:rPr>
        <w:t xml:space="preserve"> Company-, ICT-</w:t>
      </w:r>
      <w:r w:rsidR="00863014">
        <w:rPr>
          <w:lang w:val="en-GB" w:bidi="en-US"/>
        </w:rPr>
        <w:t xml:space="preserve"> and</w:t>
      </w:r>
      <w:r w:rsidR="00BC7CE3" w:rsidRPr="002224BE">
        <w:rPr>
          <w:lang w:val="en-GB" w:bidi="en-US"/>
        </w:rPr>
        <w:t xml:space="preserve"> Lean-based</w:t>
      </w:r>
      <w:r w:rsidR="003568A1">
        <w:rPr>
          <w:lang w:val="en-GB" w:bidi="en-US"/>
        </w:rPr>
        <w:t xml:space="preserve"> </w:t>
      </w:r>
      <w:r w:rsidR="00FF7EE1">
        <w:rPr>
          <w:lang w:val="en-GB" w:bidi="en-US"/>
        </w:rPr>
        <w:t xml:space="preserve">ones </w:t>
      </w:r>
      <w:r w:rsidR="003568A1">
        <w:rPr>
          <w:lang w:val="en-GB" w:bidi="en-US"/>
        </w:rPr>
        <w:t xml:space="preserve">(Table </w:t>
      </w:r>
      <w:r w:rsidR="00E472A3">
        <w:rPr>
          <w:lang w:val="en-GB" w:bidi="en-US"/>
        </w:rPr>
        <w:t>4</w:t>
      </w:r>
      <w:r w:rsidR="003568A1">
        <w:rPr>
          <w:lang w:val="en-GB" w:bidi="en-US"/>
        </w:rPr>
        <w:t>)</w:t>
      </w:r>
      <w:r w:rsidR="001C3C02" w:rsidRPr="002224BE">
        <w:rPr>
          <w:lang w:val="en-GB" w:bidi="en-US"/>
        </w:rPr>
        <w:t xml:space="preserve">. </w:t>
      </w:r>
      <w:r w:rsidR="00584BD3" w:rsidRPr="002224BE">
        <w:rPr>
          <w:lang w:val="en-GB" w:bidi="en-US"/>
        </w:rPr>
        <w:t>Among them,</w:t>
      </w:r>
      <w:r w:rsidR="009B51B8" w:rsidRPr="002224BE">
        <w:rPr>
          <w:lang w:val="en-GB" w:bidi="en-US"/>
        </w:rPr>
        <w:t xml:space="preserve"> supply chain and lean dimensions </w:t>
      </w:r>
      <w:r w:rsidR="00584BD3" w:rsidRPr="002224BE">
        <w:rPr>
          <w:lang w:val="en-GB" w:bidi="en-US"/>
        </w:rPr>
        <w:t xml:space="preserve">appear to be </w:t>
      </w:r>
      <w:r w:rsidR="009B51B8" w:rsidRPr="002224BE">
        <w:rPr>
          <w:lang w:val="en-GB" w:bidi="en-US"/>
        </w:rPr>
        <w:t xml:space="preserve">still neglected, while </w:t>
      </w:r>
      <w:r w:rsidR="00021E2F" w:rsidRPr="002224BE">
        <w:rPr>
          <w:lang w:val="en-GB" w:bidi="en-US"/>
        </w:rPr>
        <w:t xml:space="preserve">the majority of the </w:t>
      </w:r>
      <w:r w:rsidR="009B51B8" w:rsidRPr="002224BE">
        <w:rPr>
          <w:lang w:val="en-GB" w:bidi="en-US"/>
        </w:rPr>
        <w:t xml:space="preserve">experts </w:t>
      </w:r>
      <w:r w:rsidR="00021E2F" w:rsidRPr="002224BE">
        <w:rPr>
          <w:lang w:val="en-GB" w:bidi="en-US"/>
        </w:rPr>
        <w:t>dedicated their attention to</w:t>
      </w:r>
      <w:r w:rsidR="00F3173F" w:rsidRPr="002224BE">
        <w:rPr>
          <w:lang w:val="en-GB" w:bidi="en-US"/>
        </w:rPr>
        <w:t xml:space="preserve"> challenges </w:t>
      </w:r>
      <w:r w:rsidR="00021E2F" w:rsidRPr="002224BE">
        <w:rPr>
          <w:lang w:val="en-GB" w:bidi="en-US"/>
        </w:rPr>
        <w:t xml:space="preserve">that </w:t>
      </w:r>
      <w:r w:rsidR="009B51B8" w:rsidRPr="002224BE">
        <w:rPr>
          <w:lang w:val="en-GB" w:bidi="en-US"/>
        </w:rPr>
        <w:t>companies have to face at micro-level</w:t>
      </w:r>
      <w:r w:rsidR="00584BD3" w:rsidRPr="002224BE">
        <w:rPr>
          <w:lang w:val="en-GB" w:bidi="en-US"/>
        </w:rPr>
        <w:t xml:space="preserve"> while</w:t>
      </w:r>
      <w:r w:rsidR="009B51B8" w:rsidRPr="002224BE">
        <w:rPr>
          <w:lang w:val="en-GB" w:bidi="en-US"/>
        </w:rPr>
        <w:t xml:space="preserve"> approach</w:t>
      </w:r>
      <w:r w:rsidR="00584BD3" w:rsidRPr="002224BE">
        <w:rPr>
          <w:lang w:val="en-GB" w:bidi="en-US"/>
        </w:rPr>
        <w:t>ing</w:t>
      </w:r>
      <w:r w:rsidR="009B51B8" w:rsidRPr="002224BE">
        <w:rPr>
          <w:lang w:val="en-GB" w:bidi="en-US"/>
        </w:rPr>
        <w:t xml:space="preserve"> </w:t>
      </w:r>
      <w:r w:rsidR="00F3173F" w:rsidRPr="002224BE">
        <w:rPr>
          <w:lang w:val="en-GB" w:bidi="en-US"/>
        </w:rPr>
        <w:t>circularity</w:t>
      </w:r>
      <w:r w:rsidR="00584BD3" w:rsidRPr="002224BE">
        <w:rPr>
          <w:lang w:val="en-GB" w:bidi="en-US"/>
        </w:rPr>
        <w:t xml:space="preserve">, </w:t>
      </w:r>
      <w:r w:rsidR="001C2FB6">
        <w:rPr>
          <w:lang w:val="en-GB" w:bidi="en-US"/>
        </w:rPr>
        <w:t>either</w:t>
      </w:r>
      <w:r w:rsidR="009B51B8" w:rsidRPr="002224BE">
        <w:rPr>
          <w:lang w:val="en-GB" w:bidi="en-US"/>
        </w:rPr>
        <w:t xml:space="preserve"> </w:t>
      </w:r>
      <w:r w:rsidR="002224BE" w:rsidRPr="002224BE">
        <w:rPr>
          <w:lang w:val="en-GB" w:bidi="en-US"/>
        </w:rPr>
        <w:t xml:space="preserve">adopting </w:t>
      </w:r>
      <w:r w:rsidR="00584BD3" w:rsidRPr="002224BE">
        <w:rPr>
          <w:lang w:val="en-GB" w:bidi="en-US"/>
        </w:rPr>
        <w:t>the</w:t>
      </w:r>
      <w:r w:rsidR="00584BD3">
        <w:rPr>
          <w:lang w:val="en-GB" w:bidi="en-US"/>
        </w:rPr>
        <w:t xml:space="preserve"> </w:t>
      </w:r>
      <w:r w:rsidR="00F3173F">
        <w:rPr>
          <w:lang w:val="en-GB" w:bidi="en-US"/>
        </w:rPr>
        <w:t xml:space="preserve">general </w:t>
      </w:r>
      <w:r w:rsidR="00D971E3">
        <w:rPr>
          <w:lang w:val="en-GB" w:bidi="en-US"/>
        </w:rPr>
        <w:t>lens</w:t>
      </w:r>
      <w:r w:rsidR="009B51B8">
        <w:rPr>
          <w:lang w:val="en-GB" w:bidi="en-US"/>
        </w:rPr>
        <w:t xml:space="preserve"> </w:t>
      </w:r>
      <w:r w:rsidR="00F3173F">
        <w:rPr>
          <w:lang w:val="en-GB" w:bidi="en-US"/>
        </w:rPr>
        <w:t xml:space="preserve">of sustainability </w:t>
      </w:r>
      <w:r w:rsidR="001C2FB6">
        <w:rPr>
          <w:lang w:val="en-GB" w:bidi="en-US"/>
        </w:rPr>
        <w:t>or</w:t>
      </w:r>
      <w:r w:rsidR="002224BE">
        <w:rPr>
          <w:lang w:val="en-GB" w:bidi="en-US"/>
        </w:rPr>
        <w:t xml:space="preserve"> focusing on the ICT dimension, considered as an </w:t>
      </w:r>
      <w:r w:rsidR="00F3173F">
        <w:rPr>
          <w:lang w:val="en-GB" w:bidi="en-US"/>
        </w:rPr>
        <w:t xml:space="preserve">enabler of CE. </w:t>
      </w:r>
    </w:p>
    <w:p w14:paraId="51EE6EBD" w14:textId="15D05C0D" w:rsidR="000476AB" w:rsidRPr="00402AEC" w:rsidRDefault="001067B3" w:rsidP="00026D10">
      <w:pPr>
        <w:spacing w:after="160" w:line="360" w:lineRule="auto"/>
        <w:rPr>
          <w:rFonts w:eastAsia="Times New Roman"/>
          <w:i/>
          <w:lang w:val="en-GB"/>
        </w:rPr>
      </w:pPr>
      <w:r>
        <w:rPr>
          <w:rFonts w:eastAsia="Times New Roman"/>
          <w:i/>
          <w:lang w:val="en-GB"/>
        </w:rPr>
        <w:t xml:space="preserve">4.4 </w:t>
      </w:r>
      <w:r w:rsidR="000476AB" w:rsidRPr="00402AEC">
        <w:rPr>
          <w:rFonts w:eastAsia="Times New Roman"/>
          <w:i/>
          <w:lang w:val="en-GB"/>
        </w:rPr>
        <w:t>CBM decision-support tools</w:t>
      </w:r>
    </w:p>
    <w:p w14:paraId="3BF91AF3" w14:textId="13C3F847" w:rsidR="00BE3A74" w:rsidRDefault="000476AB" w:rsidP="00216241">
      <w:pPr>
        <w:spacing w:after="240" w:line="360" w:lineRule="auto"/>
        <w:jc w:val="both"/>
        <w:rPr>
          <w:lang w:val="en-GB" w:bidi="en-US"/>
        </w:rPr>
      </w:pPr>
      <w:r w:rsidRPr="00402AEC">
        <w:rPr>
          <w:lang w:val="en-GB" w:bidi="en-US"/>
        </w:rPr>
        <w:t xml:space="preserve">The </w:t>
      </w:r>
      <w:r w:rsidR="00A67F7D">
        <w:rPr>
          <w:lang w:val="en-GB" w:bidi="en-US"/>
        </w:rPr>
        <w:t>fourth</w:t>
      </w:r>
      <w:r w:rsidR="00A67F7D" w:rsidRPr="00402AEC">
        <w:rPr>
          <w:lang w:val="en-GB" w:bidi="en-US"/>
        </w:rPr>
        <w:t xml:space="preserve"> </w:t>
      </w:r>
      <w:r w:rsidRPr="00402AEC">
        <w:rPr>
          <w:lang w:val="en-GB" w:bidi="en-US"/>
        </w:rPr>
        <w:t xml:space="preserve">research area about CBMs focuses on decision-support tools. </w:t>
      </w:r>
      <w:r w:rsidR="00320923">
        <w:rPr>
          <w:lang w:val="en-GB" w:bidi="en-US"/>
        </w:rPr>
        <w:t xml:space="preserve">Their classification can be logically deducted from the final intent of the tool. This way, four types </w:t>
      </w:r>
      <w:r w:rsidR="006C005E">
        <w:rPr>
          <w:lang w:val="en-GB" w:bidi="en-US"/>
        </w:rPr>
        <w:t>of decision-support tools can be described in literature.</w:t>
      </w:r>
      <w:r w:rsidR="00446CD3">
        <w:rPr>
          <w:lang w:val="en-GB" w:bidi="en-US"/>
        </w:rPr>
        <w:t xml:space="preserve"> </w:t>
      </w:r>
    </w:p>
    <w:p w14:paraId="141EC492" w14:textId="1B6A61FE" w:rsidR="00EF772B" w:rsidRDefault="000476AB" w:rsidP="00216241">
      <w:pPr>
        <w:spacing w:after="240" w:line="360" w:lineRule="auto"/>
        <w:jc w:val="both"/>
        <w:rPr>
          <w:lang w:val="en-GB" w:bidi="en-US"/>
        </w:rPr>
      </w:pPr>
      <w:r w:rsidRPr="00402AEC">
        <w:rPr>
          <w:lang w:val="en-GB" w:bidi="en-US"/>
        </w:rPr>
        <w:t xml:space="preserve">Some authors propose decision-support tools for </w:t>
      </w:r>
      <w:r w:rsidR="00AD7D86">
        <w:rPr>
          <w:lang w:val="en-GB" w:bidi="en-US"/>
        </w:rPr>
        <w:t>checking</w:t>
      </w:r>
      <w:r w:rsidR="00AD7D86" w:rsidRPr="00402AEC">
        <w:rPr>
          <w:lang w:val="en-GB" w:bidi="en-US"/>
        </w:rPr>
        <w:t xml:space="preserve"> </w:t>
      </w:r>
      <w:r w:rsidRPr="00402AEC">
        <w:rPr>
          <w:lang w:val="en-GB" w:bidi="en-US"/>
        </w:rPr>
        <w:t>the sustainability level of companies and make the transition towards CE easier.</w:t>
      </w:r>
      <w:r w:rsidR="00446CD3">
        <w:rPr>
          <w:lang w:val="en-GB" w:bidi="en-US"/>
        </w:rPr>
        <w:t xml:space="preserve"> For example,</w:t>
      </w:r>
      <w:r w:rsidRPr="00402AEC">
        <w:rPr>
          <w:lang w:val="en-GB" w:bidi="en-US"/>
        </w:rPr>
        <w:t xml:space="preserve"> </w:t>
      </w:r>
      <w:r w:rsidRPr="009601F2">
        <w:rPr>
          <w:lang w:val="en-GB" w:bidi="en-US"/>
        </w:rPr>
        <w:fldChar w:fldCharType="begin" w:fldLock="1"/>
      </w:r>
      <w:r w:rsidR="00BF2F60">
        <w:rPr>
          <w:lang w:val="en-GB" w:bidi="en-US"/>
        </w:rPr>
        <w:instrText>ADDIN CSL_CITATION {"citationItems":[{"id":"ITEM-1","itemData":{"DOI":"10.1108/CG-06-2013-0078","ISBN":"14720701","ISSN":"1472-0701","PMID":"1439476457","abstract":"Purpose: Although business models that deliver sustainability are increasingly popular in the literature, few tools that assist in sustainable business modelling have been identified. This paper investigates how businesses might create balanced social, environmental and economic value through integrating sustainability more fully into the core of their business. A value mapping tool is developed to help firms create value propositions better suited for sustainability. Design/Methodology: In addition to a literature review, six sustainable companies were interviewed to understand their approaches to business modelling, using a case study approach. Building on the literature and practice, a tool was developed which was pilot tested through use in a workshop. The resulting improved tool and process was subsequently refined through use in 13 workshops. Findings: A novel value mapping tool was developed to support sustainable business modelling, which introduces three forms of value (value captured; missed/ destroyed or wasted; and opportunity) and four major stakeholder groups (environment, society, customer, and network actors). Practical implications: This tool intends to support business modelling for sustainability by assisting firms in better understanding their overall value proposition, both positive and negative, for all relevant stakeholders in the value network. Originality/ value: The tool adopts a multiple stakeholder view of value, a network rather than firm centric perspective, and introduces a novel way of conceptualising value that specifically introduces value destroyed or wasted/ missed, in addition to the current value proposition and new opportunities for value creation.","author":[{"dropping-particle":"","family":"Bocken","given":"Nancy M.P.","non-dropping-particle":"","parse-names":false,"suffix":""},{"dropping-particle":"","family":"Short","given":"Samuel W.","non-dropping-particle":"","parse-names":false,"suffix":""},{"dropping-particle":"","family":"Rana","given":"Padmakshi","non-dropping-particle":"","parse-names":false,"suffix":""},{"dropping-particle":"","family":"Evans","given":"Steve","non-dropping-particle":"","parse-names":false,"suffix":""}],"container-title":"Corporate Governance","id":"ITEM-1","issue":"5","issued":{"date-parts":[["2013"]]},"page":"482-497","title":"A value mapping tool for sustainable business modelling","type":"article-journal","volume":"13"},"uris":["http://www.mendeley.com/documents/?uuid=aa185ed9-eaed-4682-aa7c-88217f8c730f","http://www.mendeley.com/documents/?uuid=1fa09b70-d4a1-42d4-8d50-04c07c9fd4bb"]}],"mendeley":{"formattedCitation":"(Bocken et al., 2013)","manualFormatting":"Bocken et al. (2013)","plainTextFormattedCitation":"(Bocken et al., 2013)","previouslyFormattedCitation":"(Bocken et al., 2013)"},"properties":{"noteIndex":0},"schema":"https://github.com/citation-style-language/schema/raw/master/csl-citation.json"}</w:instrText>
      </w:r>
      <w:r w:rsidRPr="009601F2">
        <w:rPr>
          <w:lang w:val="en-GB" w:bidi="en-US"/>
        </w:rPr>
        <w:fldChar w:fldCharType="separate"/>
      </w:r>
      <w:r w:rsidRPr="00402AEC">
        <w:rPr>
          <w:noProof/>
          <w:lang w:val="en-GB" w:bidi="en-US"/>
        </w:rPr>
        <w:t xml:space="preserve">Bocken et al. </w:t>
      </w:r>
      <w:r w:rsidR="00A60A35" w:rsidRPr="00402AEC">
        <w:rPr>
          <w:noProof/>
          <w:lang w:val="en-GB" w:bidi="en-US"/>
        </w:rPr>
        <w:t>(</w:t>
      </w:r>
      <w:r w:rsidRPr="00402AEC">
        <w:rPr>
          <w:noProof/>
          <w:lang w:val="en-GB" w:bidi="en-US"/>
        </w:rPr>
        <w:t>2013)</w:t>
      </w:r>
      <w:r w:rsidRPr="009601F2">
        <w:rPr>
          <w:lang w:val="en-GB" w:bidi="en-US"/>
        </w:rPr>
        <w:fldChar w:fldCharType="end"/>
      </w:r>
      <w:r w:rsidRPr="00402AEC">
        <w:rPr>
          <w:lang w:val="en-GB" w:bidi="en-US"/>
        </w:rPr>
        <w:t xml:space="preserve"> develop</w:t>
      </w:r>
      <w:r w:rsidR="00446CD3">
        <w:rPr>
          <w:lang w:val="en-GB" w:bidi="en-US"/>
        </w:rPr>
        <w:t>ed</w:t>
      </w:r>
      <w:r w:rsidRPr="00402AEC">
        <w:rPr>
          <w:lang w:val="en-GB" w:bidi="en-US"/>
        </w:rPr>
        <w:t xml:space="preserve"> a value mapping tool </w:t>
      </w:r>
      <w:r w:rsidR="00446CD3">
        <w:rPr>
          <w:lang w:val="en-GB" w:bidi="en-US"/>
        </w:rPr>
        <w:t>for</w:t>
      </w:r>
      <w:r w:rsidRPr="00402AEC">
        <w:rPr>
          <w:lang w:val="en-GB" w:bidi="en-US"/>
        </w:rPr>
        <w:t xml:space="preserve"> help</w:t>
      </w:r>
      <w:r w:rsidR="00446CD3">
        <w:rPr>
          <w:lang w:val="en-GB" w:bidi="en-US"/>
        </w:rPr>
        <w:t>ing</w:t>
      </w:r>
      <w:r w:rsidRPr="00402AEC">
        <w:rPr>
          <w:lang w:val="en-GB" w:bidi="en-US"/>
        </w:rPr>
        <w:t xml:space="preserve"> firms in creating value propositions better suited for sustainability. </w:t>
      </w:r>
      <w:r w:rsidRPr="009601F2">
        <w:rPr>
          <w:lang w:val="en-GB" w:bidi="en-US"/>
        </w:rPr>
        <w:fldChar w:fldCharType="begin" w:fldLock="1"/>
      </w:r>
      <w:r w:rsidR="00BF2F60">
        <w:rPr>
          <w:lang w:val="en-GB" w:bidi="en-US"/>
        </w:rPr>
        <w:instrText>ADDIN CSL_CITATION {"citationItems":[{"id":"ITEM-1","itemData":{"DOI":"10.1016/j.jclepro.2015.10.121","ISSN":"09596526","abstract":"The purpose of this paper is to give a comprehensive and cohesive description of the most recent version of the Framework for Strategic Sustainable Development (FSSD), and also to describe and discuss the overall method for developing the FSSD, elaborate on the general rational for and general benefits of a framework of this type, and validate benefits of the FSSD through examples of its application. The purpose is also to point to pertinent future work. In preparation of this paper, we have reviewed previous publications and other documents related to the FSSD and reflected on the 25-year learning process between scientists and practitioners. We conclude that the FSSD has proven to aid organizations in thoroughly understanding and putting themselves in context of the global sustainability challenge, and to move themselves strategically towards sustainability, i.e., to stepwise reduce their negative impacts on ecological and social systems at large while strengthening the own organization through capturing of innovation opportunities, including new business models, exploration of new markets and winning of new market shares, and through reduced risks and operation costs. Specifically, we conclude that the FSSD aids more effective management of system boundaries and trade-offs, makes it possible to model and assess sustainable potentials for various materials and practices before investments are made, and offers the possibility for more effective collaboration across disciplines and sectors, regions, value-chains and stakeholder groups. We also conclude that the FSSD makes it possible to prevent damages, even from yet unknown problems, and not the least, to guide selection, development and combination of supplementary methods, tools, and other forms of support, which makes it possible to increase their utility for strategic sustainable development. Finally, we have shown that the FSSD is useful for structuring transdisciplinary academic education and research. Several examples of ongoing FSSD related research, as well as ideas for future work, are given.","author":[{"dropping-particle":"","family":"Broman","given":"Göran Ingvar","non-dropping-particle":"","parse-names":false,"suffix":""},{"dropping-particle":"","family":"Robèrt","given":"Karl Henrik","non-dropping-particle":"","parse-names":false,"suffix":""}],"container-title":"Journal of Cleaner Production","id":"ITEM-1","issued":{"date-parts":[["2017"]]},"page":"17-31","title":"A framework for strategic sustainable development","type":"article-journal","volume":"140"},"uris":["http://www.mendeley.com/documents/?uuid=94a20f74-7732-4bca-94c1-86b4315a8915","http://www.mendeley.com/documents/?uuid=e43bc35b-dca8-4ea1-bcd9-1503dc4b7df7"]}],"mendeley":{"formattedCitation":"(Broman and Robèrt, 2017)","manualFormatting":"Broman and Robèrt (2017)","plainTextFormattedCitation":"(Broman and Robèrt, 2017)","previouslyFormattedCitation":"(Broman and Robèrt, 2017)"},"properties":{"noteIndex":0},"schema":"https://github.com/citation-style-language/schema/raw/master/csl-citation.json"}</w:instrText>
      </w:r>
      <w:r w:rsidRPr="009601F2">
        <w:rPr>
          <w:lang w:val="en-GB" w:bidi="en-US"/>
        </w:rPr>
        <w:fldChar w:fldCharType="separate"/>
      </w:r>
      <w:r w:rsidRPr="00402AEC">
        <w:rPr>
          <w:noProof/>
          <w:lang w:val="en-GB" w:bidi="en-US"/>
        </w:rPr>
        <w:t xml:space="preserve">Broman and Robèrt </w:t>
      </w:r>
      <w:r w:rsidR="00A60A35" w:rsidRPr="00402AEC">
        <w:rPr>
          <w:noProof/>
          <w:lang w:val="en-GB" w:bidi="en-US"/>
        </w:rPr>
        <w:t>(</w:t>
      </w:r>
      <w:r w:rsidRPr="00402AEC">
        <w:rPr>
          <w:noProof/>
          <w:lang w:val="en-GB" w:bidi="en-US"/>
        </w:rPr>
        <w:t>2017)</w:t>
      </w:r>
      <w:r w:rsidRPr="009601F2">
        <w:rPr>
          <w:lang w:val="en-GB" w:bidi="en-US"/>
        </w:rPr>
        <w:fldChar w:fldCharType="end"/>
      </w:r>
      <w:r w:rsidRPr="00402AEC">
        <w:rPr>
          <w:lang w:val="en-GB" w:bidi="en-US"/>
        </w:rPr>
        <w:t xml:space="preserve"> follow</w:t>
      </w:r>
      <w:r w:rsidR="00446CD3">
        <w:rPr>
          <w:lang w:val="en-GB" w:bidi="en-US"/>
        </w:rPr>
        <w:t>ed</w:t>
      </w:r>
      <w:r w:rsidRPr="00402AEC">
        <w:rPr>
          <w:lang w:val="en-GB" w:bidi="en-US"/>
        </w:rPr>
        <w:t xml:space="preserve"> a similar logic, b</w:t>
      </w:r>
      <w:r w:rsidR="00EE5EB2">
        <w:rPr>
          <w:lang w:val="en-GB" w:bidi="en-US"/>
        </w:rPr>
        <w:t>ut</w:t>
      </w:r>
      <w:r w:rsidRPr="00402AEC">
        <w:rPr>
          <w:lang w:val="en-GB" w:bidi="en-US"/>
        </w:rPr>
        <w:t xml:space="preserve"> giving a </w:t>
      </w:r>
      <w:r w:rsidR="00EE5EB2">
        <w:rPr>
          <w:lang w:val="en-GB" w:bidi="en-US"/>
        </w:rPr>
        <w:t xml:space="preserve">more </w:t>
      </w:r>
      <w:r w:rsidRPr="00402AEC">
        <w:rPr>
          <w:lang w:val="en-GB" w:bidi="en-US"/>
        </w:rPr>
        <w:t xml:space="preserve">comprehensive and cohesive description. </w:t>
      </w:r>
      <w:r w:rsidRPr="00252DF0">
        <w:rPr>
          <w:lang w:val="en-GB" w:bidi="en-US"/>
        </w:rPr>
        <w:fldChar w:fldCharType="begin" w:fldLock="1"/>
      </w:r>
      <w:r w:rsidR="00BF2F60">
        <w:rPr>
          <w:lang w:val="en-GB" w:bidi="en-US"/>
        </w:rPr>
        <w:instrText>ADDIN CSL_CITATION {"citationItems":[{"id":"ITEM-1","itemData":{"DOI":"10.1016/j.jclepro.2017.02.115","ISBN":"09596526 (ISSN)","ISSN":"09596526","abstract":"Traditional linear production mode “take-make-dispose” has brought about increasing resource scarcity, great environmental cost and endangered human health. To address the problem, the concept of circular economy has been introduced and accepted as a solution. In a circular economy, end-of-life (EOL) products can be introduced into multiple life cycles, which maximize the utility and value of components and materials. The economic viability of value recovery from an EOL product is greatly affected by the plan and technologies used for dismantling that product. This paper presents an approach to find a profitable EOL strategy, which includes a method for generating a dismantling transition matrix and making decisions on the best dismantling sequence, level, and EOL options for components/parts. A preservative disassembly transition matrix is a description of possible ways to disassemble a product into individual parts without any damage. A guideline is created to include destructive and automated operations in order to expand a preservative disassembly matrix into a dismantling transition matrix, because dismantling EOL products might produce more profit than pure preservative disassembly. Based on the dismantling transition matrix, binary integer programming is used to formulate EOL product value recovery while considering possible options for components/subassemblies as well as the transition cost between dismantling operations, tools costs, and recycling regulations or goals. A hard disk drive (HDD) is used as a case study to demonstrate the approach.","author":[{"dropping-particle":"","family":"Cong","given":"Liang","non-dropping-particle":"","parse-names":false,"suffix":""},{"dropping-particle":"","family":"Zhao","given":"Fu","non-dropping-particle":"","parse-names":false,"suffix":""},{"dropping-particle":"","family":"Sutherland","given":"John W.","non-dropping-particle":"","parse-names":false,"suffix":""}],"container-title":"Journal of Cleaner Production","id":"ITEM-1","issued":{"date-parts":[["2017"]]},"page":"378-386","publisher":"Elsevier Ltd","title":"Integration of dismantling operations into a value recovery plan for circular economy","type":"article-journal","volume":"149"},"uris":["http://www.mendeley.com/documents/?uuid=9f97235f-ddd1-4cb5-9674-7006ea656c69","http://www.mendeley.com/documents/?uuid=b7023fdd-b4d6-4499-b85b-99b148db889c"]}],"mendeley":{"formattedCitation":"(Cong et al., 2017)","manualFormatting":"Cong et al. (2017)","plainTextFormattedCitation":"(Cong et al., 2017)","previouslyFormattedCitation":"(Cong et al., 2017)"},"properties":{"noteIndex":0},"schema":"https://github.com/citation-style-language/schema/raw/master/csl-citation.json"}</w:instrText>
      </w:r>
      <w:r w:rsidRPr="00252DF0">
        <w:rPr>
          <w:lang w:val="en-GB" w:bidi="en-US"/>
        </w:rPr>
        <w:fldChar w:fldCharType="separate"/>
      </w:r>
      <w:r w:rsidRPr="00402AEC">
        <w:rPr>
          <w:noProof/>
          <w:lang w:val="en-GB" w:bidi="en-US"/>
        </w:rPr>
        <w:t xml:space="preserve">Cong et al. </w:t>
      </w:r>
      <w:r w:rsidR="00A60A35" w:rsidRPr="00402AEC">
        <w:rPr>
          <w:noProof/>
          <w:lang w:val="en-GB" w:bidi="en-US"/>
        </w:rPr>
        <w:t>(</w:t>
      </w:r>
      <w:r w:rsidRPr="00402AEC">
        <w:rPr>
          <w:noProof/>
          <w:lang w:val="en-GB" w:bidi="en-US"/>
        </w:rPr>
        <w:t>2017)</w:t>
      </w:r>
      <w:r w:rsidRPr="00252DF0">
        <w:rPr>
          <w:lang w:val="en-GB" w:bidi="en-US"/>
        </w:rPr>
        <w:fldChar w:fldCharType="end"/>
      </w:r>
      <w:r w:rsidRPr="00402AEC">
        <w:rPr>
          <w:lang w:val="en-GB" w:bidi="en-US"/>
        </w:rPr>
        <w:t xml:space="preserve"> present</w:t>
      </w:r>
      <w:r w:rsidR="00EE5EB2">
        <w:rPr>
          <w:lang w:val="en-GB" w:bidi="en-US"/>
        </w:rPr>
        <w:t>ed</w:t>
      </w:r>
      <w:r w:rsidRPr="00402AEC">
        <w:rPr>
          <w:lang w:val="en-GB" w:bidi="en-US"/>
        </w:rPr>
        <w:t xml:space="preserve"> an approach </w:t>
      </w:r>
      <w:r w:rsidR="00EE5EB2">
        <w:rPr>
          <w:lang w:val="en-GB" w:bidi="en-US"/>
        </w:rPr>
        <w:t>for</w:t>
      </w:r>
      <w:r w:rsidRPr="00402AEC">
        <w:rPr>
          <w:lang w:val="en-GB" w:bidi="en-US"/>
        </w:rPr>
        <w:t xml:space="preserve"> find</w:t>
      </w:r>
      <w:r w:rsidR="00EE5EB2">
        <w:rPr>
          <w:lang w:val="en-GB" w:bidi="en-US"/>
        </w:rPr>
        <w:t>ing</w:t>
      </w:r>
      <w:r w:rsidRPr="00402AEC">
        <w:rPr>
          <w:lang w:val="en-GB" w:bidi="en-US"/>
        </w:rPr>
        <w:t xml:space="preserve"> a profitable dismantling sequence for components/parts. </w:t>
      </w:r>
      <w:r w:rsidRPr="009601F2">
        <w:rPr>
          <w:lang w:val="en-GB" w:bidi="en-US"/>
        </w:rPr>
        <w:fldChar w:fldCharType="begin" w:fldLock="1"/>
      </w:r>
      <w:r w:rsidR="00BF2F60">
        <w:rPr>
          <w:lang w:val="en-GB" w:bidi="en-US"/>
        </w:rPr>
        <w:instrText>ADDIN CSL_CITATION {"citationItems":[{"id":"ITEM-1","itemData":{"DOI":"10.1515/cks-2015-0009","ISSN":"1338-5283","abstract":"&lt;p&gt;is to partially describe underpinning economics for the circular economy. A circular economy (closed-loop system) is an advancement from the linear economy (open-loop system) which behaves according to the hierarchy of 6R, preferring reuse, remanufacture or recycle solutions insead of disposal (known also as a „linear dead-end“).&lt;/p&gt;","author":[{"dropping-particle":"","family":"Dolinsky","given":"Martin","non-dropping-particle":"","parse-names":false,"suffix":""},{"dropping-particle":"","family":"Maier","given":"Stephan","non-dropping-particle":"","parse-names":false,"suffix":""}],"container-title":"Creative and Knowledge Society","id":"ITEM-1","issue":"2","issued":{"date-parts":[["2015"]]},"page":"1-10","title":"Market-based Approach in Shift from Linear Economy Towards Circular Economy Supported by Game Theory Analysis","type":"article-journal","volume":"5"},"uris":["http://www.mendeley.com/documents/?uuid=cebf0799-a036-48b2-8f59-ad91b3e85544","http://www.mendeley.com/documents/?uuid=52f79e74-cb14-4ddb-b651-bdf0dbbe2214"]}],"mendeley":{"formattedCitation":"(Dolinsky and Maier, 2015)","manualFormatting":"Dolinsky and Maier (2015)","plainTextFormattedCitation":"(Dolinsky and Maier, 2015)","previouslyFormattedCitation":"(Dolinsky and Maier, 2015)"},"properties":{"noteIndex":0},"schema":"https://github.com/citation-style-language/schema/raw/master/csl-citation.json"}</w:instrText>
      </w:r>
      <w:r w:rsidRPr="009601F2">
        <w:rPr>
          <w:lang w:val="en-GB" w:bidi="en-US"/>
        </w:rPr>
        <w:fldChar w:fldCharType="separate"/>
      </w:r>
      <w:r w:rsidRPr="00402AEC">
        <w:rPr>
          <w:noProof/>
          <w:lang w:val="en-GB" w:bidi="en-US"/>
        </w:rPr>
        <w:t xml:space="preserve">Dolinsky and Maier </w:t>
      </w:r>
      <w:r w:rsidR="00A60A35" w:rsidRPr="00402AEC">
        <w:rPr>
          <w:noProof/>
          <w:lang w:val="en-GB" w:bidi="en-US"/>
        </w:rPr>
        <w:t>(</w:t>
      </w:r>
      <w:r w:rsidRPr="00402AEC">
        <w:rPr>
          <w:noProof/>
          <w:lang w:val="en-GB" w:bidi="en-US"/>
        </w:rPr>
        <w:t>2015)</w:t>
      </w:r>
      <w:r w:rsidRPr="009601F2">
        <w:rPr>
          <w:lang w:val="en-GB" w:bidi="en-US"/>
        </w:rPr>
        <w:fldChar w:fldCharType="end"/>
      </w:r>
      <w:r w:rsidRPr="00402AEC">
        <w:rPr>
          <w:lang w:val="en-GB" w:bidi="en-US"/>
        </w:rPr>
        <w:t xml:space="preserve"> exploited a game theory tool </w:t>
      </w:r>
      <w:r w:rsidR="000314A9">
        <w:rPr>
          <w:lang w:val="en-GB" w:bidi="en-US"/>
        </w:rPr>
        <w:t>for</w:t>
      </w:r>
      <w:r w:rsidRPr="00402AEC">
        <w:rPr>
          <w:lang w:val="en-GB" w:bidi="en-US"/>
        </w:rPr>
        <w:t xml:space="preserve"> support</w:t>
      </w:r>
      <w:r w:rsidR="00C3555D">
        <w:rPr>
          <w:lang w:val="en-GB" w:bidi="en-US"/>
        </w:rPr>
        <w:t>ing</w:t>
      </w:r>
      <w:r w:rsidRPr="00402AEC">
        <w:rPr>
          <w:lang w:val="en-GB" w:bidi="en-US"/>
        </w:rPr>
        <w:t xml:space="preserve"> </w:t>
      </w:r>
      <w:r w:rsidR="004E7650">
        <w:rPr>
          <w:lang w:val="en-GB" w:bidi="en-US"/>
        </w:rPr>
        <w:t xml:space="preserve">the development of </w:t>
      </w:r>
      <w:r w:rsidRPr="00402AEC">
        <w:rPr>
          <w:lang w:val="en-GB" w:bidi="en-US"/>
        </w:rPr>
        <w:t xml:space="preserve">CBMs </w:t>
      </w:r>
      <w:r w:rsidR="0014685D">
        <w:rPr>
          <w:lang w:val="en-GB" w:bidi="en-US"/>
        </w:rPr>
        <w:t>focused on</w:t>
      </w:r>
      <w:r w:rsidRPr="00402AEC">
        <w:rPr>
          <w:lang w:val="en-GB" w:bidi="en-US"/>
        </w:rPr>
        <w:t xml:space="preserve"> society </w:t>
      </w:r>
      <w:r w:rsidR="0014685D">
        <w:rPr>
          <w:lang w:val="en-GB" w:bidi="en-US"/>
        </w:rPr>
        <w:t>and</w:t>
      </w:r>
      <w:r w:rsidRPr="00402AEC">
        <w:rPr>
          <w:lang w:val="en-GB" w:bidi="en-US"/>
        </w:rPr>
        <w:t xml:space="preserve"> social </w:t>
      </w:r>
      <w:r w:rsidR="0014685D">
        <w:rPr>
          <w:lang w:val="en-GB" w:bidi="en-US"/>
        </w:rPr>
        <w:t>issues</w:t>
      </w:r>
      <w:r w:rsidRPr="00402AEC">
        <w:rPr>
          <w:lang w:val="en-GB" w:bidi="en-US"/>
        </w:rPr>
        <w:t xml:space="preserve">. </w:t>
      </w:r>
      <w:r w:rsidRPr="009601F2">
        <w:rPr>
          <w:lang w:val="en-GB" w:bidi="en-US"/>
        </w:rPr>
        <w:fldChar w:fldCharType="begin" w:fldLock="1"/>
      </w:r>
      <w:r w:rsidR="00BF2F60">
        <w:rPr>
          <w:lang w:val="en-GB" w:bidi="en-US"/>
        </w:rPr>
        <w:instrText>ADDIN CSL_CITATION {"citationItems":[{"id":"ITEM-1","itemData":{"DOI":"10.1080/13662716.2017.1310034","ISBN":"1366-2716 1469-8390","ISSN":"14698390","abstract":"The purpose of this paper is to examine the organisational processes of business model innovation for sustainability (BMIS). Building on dynamic capabilities literature, BMIS is conceptualised to evolutionary and radical approaches, and disaggregated into different sensing, seizing and reconfiguring capabilities. Based on this conceptual framework, we examine a qualitative multiple case study of eight companies in the Spanish Basque region, and provide a detailed analysis of how organisational and managerial capabilities for sustainability are utilised in business model innovation and transformation. These insights provide novel theoretical and practical insights into the business model, innovation and sustainability literatures.","author":[{"dropping-particle":"","family":"Inigo","given":"Edurne A.","non-dropping-particle":"","parse-names":false,"suffix":""},{"dropping-particle":"","family":"Albareda","given":"Laura","non-dropping-particle":"","parse-names":false,"suffix":""},{"dropping-particle":"","family":"Ritala","given":"Paavo","non-dropping-particle":"","parse-names":false,"suffix":""}],"container-title":"Industry and Innovation","id":"ITEM-1","issue":"5","issued":{"date-parts":[["2017"]]},"page":"515-542","publisher":"Routledge","title":"Business model innovation for sustainability: exploring evolutionary and radical approaches through dynamic capabilities","type":"article-journal","volume":"24"},"uris":["http://www.mendeley.com/documents/?uuid=38bbaec4-562d-4a12-8895-4baed8ee0843","http://www.mendeley.com/documents/?uuid=f48e158d-aab0-4baa-8fa8-81233192d2bd"]}],"mendeley":{"formattedCitation":"(Inigo et al., 2017)","manualFormatting":"Inigo et al. (2017)","plainTextFormattedCitation":"(Inigo et al., 2017)","previouslyFormattedCitation":"(Inigo et al., 2017)"},"properties":{"noteIndex":0},"schema":"https://github.com/citation-style-language/schema/raw/master/csl-citation.json"}</w:instrText>
      </w:r>
      <w:r w:rsidRPr="009601F2">
        <w:rPr>
          <w:lang w:val="en-GB" w:bidi="en-US"/>
        </w:rPr>
        <w:fldChar w:fldCharType="separate"/>
      </w:r>
      <w:r w:rsidRPr="00402AEC">
        <w:rPr>
          <w:noProof/>
          <w:lang w:val="en-GB" w:bidi="en-US"/>
        </w:rPr>
        <w:t xml:space="preserve">Inigo et al. </w:t>
      </w:r>
      <w:r w:rsidR="00A60A35" w:rsidRPr="00402AEC">
        <w:rPr>
          <w:noProof/>
          <w:lang w:val="en-GB" w:bidi="en-US"/>
        </w:rPr>
        <w:t>(</w:t>
      </w:r>
      <w:r w:rsidRPr="00402AEC">
        <w:rPr>
          <w:noProof/>
          <w:lang w:val="en-GB" w:bidi="en-US"/>
        </w:rPr>
        <w:t>2017)</w:t>
      </w:r>
      <w:r w:rsidRPr="009601F2">
        <w:rPr>
          <w:lang w:val="en-GB" w:bidi="en-US"/>
        </w:rPr>
        <w:fldChar w:fldCharType="end"/>
      </w:r>
      <w:r w:rsidRPr="00402AEC">
        <w:rPr>
          <w:lang w:val="en-GB" w:bidi="en-US"/>
        </w:rPr>
        <w:t xml:space="preserve"> examine</w:t>
      </w:r>
      <w:r w:rsidR="0014685D">
        <w:rPr>
          <w:lang w:val="en-GB" w:bidi="en-US"/>
        </w:rPr>
        <w:t>d</w:t>
      </w:r>
      <w:r w:rsidRPr="00402AEC">
        <w:rPr>
          <w:lang w:val="en-GB" w:bidi="en-US"/>
        </w:rPr>
        <w:t xml:space="preserve"> organisational and managerial capabilities </w:t>
      </w:r>
      <w:r w:rsidR="00560FC4">
        <w:rPr>
          <w:lang w:val="en-GB" w:bidi="en-US"/>
        </w:rPr>
        <w:t>for</w:t>
      </w:r>
      <w:r w:rsidRPr="00402AEC">
        <w:rPr>
          <w:lang w:val="en-GB" w:bidi="en-US"/>
        </w:rPr>
        <w:t xml:space="preserve"> </w:t>
      </w:r>
      <w:r w:rsidR="00560FC4">
        <w:rPr>
          <w:lang w:val="en-GB" w:bidi="en-US"/>
        </w:rPr>
        <w:t xml:space="preserve">a sustainable </w:t>
      </w:r>
      <w:r w:rsidRPr="00402AEC">
        <w:rPr>
          <w:lang w:val="en-GB" w:bidi="en-US"/>
        </w:rPr>
        <w:t xml:space="preserve">BM innovation and transformation. </w:t>
      </w:r>
      <w:r w:rsidRPr="009601F2">
        <w:rPr>
          <w:lang w:val="en-GB" w:bidi="en-US"/>
        </w:rPr>
        <w:fldChar w:fldCharType="begin" w:fldLock="1"/>
      </w:r>
      <w:r w:rsidR="00BF2F60">
        <w:rPr>
          <w:lang w:val="en-GB" w:bidi="en-US"/>
        </w:rPr>
        <w:instrText>ADDIN CSL_CITATION {"citationItems":[{"id":"ITEM-1","itemData":{"DOI":"10.1080/10807030902761361","ISSN":"10807039","abstract":"This article develops a systems dynamics and multi-objective programming\\nmodel (SDMOP) for planning a regional circular economy. Various risk\\nanalyses are conducted using the technique of sensitivity analysis. This\\nSDMOP model includes two modules: the MOP module used to derive\\noptimized parameters as inputs to the systems dynamics model, and the\\nsystems dynamics module used to plan the regional circular economy. We\\ndemonstrate the application of this SDMOP model to a problem of planning\\nthe circular economy of a county in the Sichuan Province of China.","author":[{"dropping-particle":"","family":"Xu","given":"Jiuping","non-dropping-particle":"","parse-names":false,"suffix":""},{"dropping-particle":"","family":"Li","given":"Xiaofei","non-dropping-particle":"","parse-names":false,"suffix":""},{"dropping-particle":"","family":"Wu","given":"Desheng Dash","non-dropping-particle":"","parse-names":false,"suffix":""}],"container-title":"Human and Ecological Risk Assessment: An International journal","id":"ITEM-1","issue":"2","issued":{"date-parts":[["2009"]]},"page":"316-331","title":"Optimizing circular economy planning and risk analysis using system dynamics","type":"article-journal","volume":"15"},"uris":["http://www.mendeley.com/documents/?uuid=04493f51-d89d-4310-a71b-b1473a310709","http://www.mendeley.com/documents/?uuid=026b5390-c853-4fdb-a43d-f91e34b5586f"]}],"mendeley":{"formattedCitation":"(Xu et al., 2009)","manualFormatting":"Xu et al. (2009)","plainTextFormattedCitation":"(Xu et al., 2009)","previouslyFormattedCitation":"(Xu et al., 2009)"},"properties":{"noteIndex":0},"schema":"https://github.com/citation-style-language/schema/raw/master/csl-citation.json"}</w:instrText>
      </w:r>
      <w:r w:rsidRPr="009601F2">
        <w:rPr>
          <w:lang w:val="en-GB" w:bidi="en-US"/>
        </w:rPr>
        <w:fldChar w:fldCharType="separate"/>
      </w:r>
      <w:r w:rsidRPr="00402AEC">
        <w:rPr>
          <w:noProof/>
          <w:lang w:val="en-GB" w:bidi="en-US"/>
        </w:rPr>
        <w:t xml:space="preserve">Xu et al. </w:t>
      </w:r>
      <w:r w:rsidR="00A60A35" w:rsidRPr="00402AEC">
        <w:rPr>
          <w:noProof/>
          <w:lang w:val="en-GB" w:bidi="en-US"/>
        </w:rPr>
        <w:t>(</w:t>
      </w:r>
      <w:r w:rsidRPr="00402AEC">
        <w:rPr>
          <w:noProof/>
          <w:lang w:val="en-GB" w:bidi="en-US"/>
        </w:rPr>
        <w:t>2009)</w:t>
      </w:r>
      <w:r w:rsidRPr="009601F2">
        <w:rPr>
          <w:lang w:val="en-GB" w:bidi="en-US"/>
        </w:rPr>
        <w:fldChar w:fldCharType="end"/>
      </w:r>
      <w:r w:rsidRPr="00402AEC">
        <w:rPr>
          <w:lang w:val="en-GB" w:bidi="en-US"/>
        </w:rPr>
        <w:t xml:space="preserve"> develop</w:t>
      </w:r>
      <w:r w:rsidR="001E4FC3">
        <w:rPr>
          <w:lang w:val="en-GB" w:bidi="en-US"/>
        </w:rPr>
        <w:t>ed</w:t>
      </w:r>
      <w:r w:rsidRPr="00402AEC">
        <w:rPr>
          <w:lang w:val="en-GB" w:bidi="en-US"/>
        </w:rPr>
        <w:t xml:space="preserve"> a </w:t>
      </w:r>
      <w:r w:rsidR="001E4FC3">
        <w:rPr>
          <w:lang w:val="en-GB" w:bidi="en-US"/>
        </w:rPr>
        <w:t>s</w:t>
      </w:r>
      <w:r w:rsidRPr="00402AEC">
        <w:rPr>
          <w:lang w:val="en-GB" w:bidi="en-US"/>
        </w:rPr>
        <w:t xml:space="preserve">ystem </w:t>
      </w:r>
      <w:r w:rsidR="001E4FC3">
        <w:rPr>
          <w:lang w:val="en-GB" w:bidi="en-US"/>
        </w:rPr>
        <w:t>d</w:t>
      </w:r>
      <w:r w:rsidRPr="00402AEC">
        <w:rPr>
          <w:lang w:val="en-GB" w:bidi="en-US"/>
        </w:rPr>
        <w:t xml:space="preserve">ynamics and </w:t>
      </w:r>
      <w:r w:rsidR="001E4FC3">
        <w:rPr>
          <w:lang w:val="en-GB" w:bidi="en-US"/>
        </w:rPr>
        <w:t>m</w:t>
      </w:r>
      <w:r w:rsidRPr="00402AEC">
        <w:rPr>
          <w:lang w:val="en-GB" w:bidi="en-US"/>
        </w:rPr>
        <w:t>ulti-</w:t>
      </w:r>
      <w:r w:rsidR="001E4FC3">
        <w:rPr>
          <w:lang w:val="en-GB" w:bidi="en-US"/>
        </w:rPr>
        <w:t>o</w:t>
      </w:r>
      <w:r w:rsidRPr="00402AEC">
        <w:rPr>
          <w:lang w:val="en-GB" w:bidi="en-US"/>
        </w:rPr>
        <w:t xml:space="preserve">bjective </w:t>
      </w:r>
      <w:r w:rsidR="001E4FC3">
        <w:rPr>
          <w:lang w:val="en-GB" w:bidi="en-US"/>
        </w:rPr>
        <w:t>p</w:t>
      </w:r>
      <w:r w:rsidRPr="00402AEC">
        <w:rPr>
          <w:lang w:val="en-GB" w:bidi="en-US"/>
        </w:rPr>
        <w:t>rogramming model for planning regional CE</w:t>
      </w:r>
      <w:r w:rsidR="006D7CC9">
        <w:rPr>
          <w:lang w:val="en-GB" w:bidi="en-US"/>
        </w:rPr>
        <w:t xml:space="preserve"> strategies</w:t>
      </w:r>
      <w:r w:rsidR="00FC6BE2">
        <w:rPr>
          <w:lang w:val="en-GB" w:bidi="en-US"/>
        </w:rPr>
        <w:t xml:space="preserve"> through</w:t>
      </w:r>
      <w:r w:rsidRPr="00402AEC">
        <w:rPr>
          <w:lang w:val="en-GB" w:bidi="en-US"/>
        </w:rPr>
        <w:t xml:space="preserve"> </w:t>
      </w:r>
      <w:r w:rsidR="00FC6BE2">
        <w:rPr>
          <w:lang w:val="en-GB" w:bidi="en-US"/>
        </w:rPr>
        <w:t xml:space="preserve">a </w:t>
      </w:r>
      <w:r w:rsidRPr="00402AEC">
        <w:rPr>
          <w:lang w:val="en-GB" w:bidi="en-US"/>
        </w:rPr>
        <w:t xml:space="preserve">sensitivity analysis. </w:t>
      </w:r>
      <w:r w:rsidRPr="009601F2">
        <w:rPr>
          <w:lang w:val="en-GB" w:bidi="en-US"/>
        </w:rPr>
        <w:fldChar w:fldCharType="begin" w:fldLock="1"/>
      </w:r>
      <w:r w:rsidR="00BF2F60">
        <w:rPr>
          <w:lang w:val="en-GB" w:bidi="en-US"/>
        </w:rPr>
        <w:instrText>ADDIN CSL_CITATION {"citationItems":[{"id":"ITEM-1","itemData":{"DOI":"10.1016/j.jclepro.2016.11.041","ISBN":"09596526","ISSN":"09596526","abstract":"With the increasing conflicts among economic growth, environmental deterioration, and resource shortage, as an effective way to achieve the sustainable development and circular economy, the eco-industrial park gradually becomes a critical research issue in the field of recycling economy. In this paper, a hybrid framework for evaluating the comprehensive benefit of eco-industrial parks from the perspective of circular economy was proposed. Firstly, the evaluation index system for eco-industrial parks was constructed by employing the grey-Delphi method according to the opinions provided by experts from relevant fields, which includes economic benefit criteria, social benefit criteria, environmental benefit criteria, ecology industry construction criteria, and management level criteria, consisting of seventeen quantitative sub-criteria and nine qualitative sub-criteria. Secondly, in order to solve complicated, uncertain and ambiguous problems under the fuzzy background, a hybrid multi-criteria decision making (MCDM) approach was put forward on the basis of superiority linguistic ratings and entropy weight method for weight determination as well as fuzzy-VIKOR for ranking alternatives. Finally, the effectiveness and practicality of the proposed hybrid MCDM approach was demonstrated through a case analysis of six representative eco-industrial parks in China, and the comprehensive benefits of six eco-industrial parks were prioritized effectively. The hybrid MCDM approach in this paper presents a great potential in evaluating and ranking the comprehensive benefits of eco-industrial parks through solving complex and ambiguous problems in a fuzzy environment and varying MCDM tools. The evaluation findings by employing the proposed MCDM approach can provide references for the construction and management of eco-industrial parks and relevant policy formulation.","author":[{"dropping-particle":"","family":"Zhao","given":"Haoran","non-dropping-particle":"","parse-names":false,"suffix":""},{"dropping-particle":"","family":"Zhao","given":"Huiru","non-dropping-particle":"","parse-names":false,"suffix":""},{"dropping-particle":"","family":"Guo","given":"Sen","non-dropping-particle":"","parse-names":false,"suffix":""}],"container-title":"Journal of Cleaner Production","id":"ITEM-1","issued":{"date-parts":[["2017"]]},"page":"2262-2276","publisher":"Elsevier Ltd","title":"Evaluating the comprehensive benefit of eco-industrial parks by employing multi-criteria decision making approach for circular economy","type":"article-journal","volume":"142"},"uris":["http://www.mendeley.com/documents/?uuid=011da03e-e862-4084-b82c-9c36c0210050","http://www.mendeley.com/documents/?uuid=2d1cdc2d-d1e3-42a4-be2f-27a066f80722"]}],"mendeley":{"formattedCitation":"(Zhao et al., 2017)","manualFormatting":"Zhao et al. (2017)","plainTextFormattedCitation":"(Zhao et al., 2017)","previouslyFormattedCitation":"(Zhao et al., 2017)"},"properties":{"noteIndex":0},"schema":"https://github.com/citation-style-language/schema/raw/master/csl-citation.json"}</w:instrText>
      </w:r>
      <w:r w:rsidRPr="009601F2">
        <w:rPr>
          <w:lang w:val="en-GB" w:bidi="en-US"/>
        </w:rPr>
        <w:fldChar w:fldCharType="separate"/>
      </w:r>
      <w:r w:rsidRPr="00402AEC">
        <w:rPr>
          <w:noProof/>
          <w:lang w:val="en-GB" w:bidi="en-US"/>
        </w:rPr>
        <w:t xml:space="preserve">Zhao et al. </w:t>
      </w:r>
      <w:r w:rsidR="00A60A35" w:rsidRPr="00402AEC">
        <w:rPr>
          <w:noProof/>
          <w:lang w:val="en-GB" w:bidi="en-US"/>
        </w:rPr>
        <w:t>(</w:t>
      </w:r>
      <w:r w:rsidRPr="00402AEC">
        <w:rPr>
          <w:noProof/>
          <w:lang w:val="en-GB" w:bidi="en-US"/>
        </w:rPr>
        <w:t>2017)</w:t>
      </w:r>
      <w:r w:rsidRPr="009601F2">
        <w:rPr>
          <w:lang w:val="en-GB" w:bidi="en-US"/>
        </w:rPr>
        <w:fldChar w:fldCharType="end"/>
      </w:r>
      <w:r w:rsidRPr="00402AEC">
        <w:rPr>
          <w:lang w:val="en-GB" w:bidi="en-US"/>
        </w:rPr>
        <w:t xml:space="preserve"> propose</w:t>
      </w:r>
      <w:r w:rsidR="00FC6BE2">
        <w:rPr>
          <w:lang w:val="en-GB" w:bidi="en-US"/>
        </w:rPr>
        <w:t>d</w:t>
      </w:r>
      <w:r w:rsidRPr="00402AEC">
        <w:rPr>
          <w:lang w:val="en-GB" w:bidi="en-US"/>
        </w:rPr>
        <w:t xml:space="preserve"> a hybrid framework for evaluating the comprehensive benefit of eco-industrial parks.</w:t>
      </w:r>
      <w:r w:rsidR="00F92100" w:rsidRPr="00402AEC">
        <w:rPr>
          <w:lang w:val="en-GB" w:bidi="en-US"/>
        </w:rPr>
        <w:t xml:space="preserve"> </w:t>
      </w:r>
    </w:p>
    <w:p w14:paraId="4816BCC2" w14:textId="31FB7F75" w:rsidR="00AB485F" w:rsidRDefault="000476AB" w:rsidP="00216241">
      <w:pPr>
        <w:spacing w:after="240" w:line="360" w:lineRule="auto"/>
        <w:jc w:val="both"/>
        <w:rPr>
          <w:lang w:val="en-GB" w:bidi="en-US"/>
        </w:rPr>
      </w:pPr>
      <w:r w:rsidRPr="00402AEC">
        <w:rPr>
          <w:lang w:val="en-GB" w:bidi="en-US"/>
        </w:rPr>
        <w:lastRenderedPageBreak/>
        <w:t>Other</w:t>
      </w:r>
      <w:r w:rsidR="001916C4">
        <w:rPr>
          <w:lang w:val="en-GB" w:bidi="en-US"/>
        </w:rPr>
        <w:t xml:space="preserve"> authors</w:t>
      </w:r>
      <w:r w:rsidRPr="00402AEC">
        <w:rPr>
          <w:lang w:val="en-GB" w:bidi="en-US"/>
        </w:rPr>
        <w:t xml:space="preserve"> develop decision-support tools able to solve a dedicated issue related with CE. For example, </w:t>
      </w:r>
      <w:r w:rsidRPr="00252DF0">
        <w:rPr>
          <w:lang w:val="en-GB" w:bidi="en-US"/>
        </w:rPr>
        <w:fldChar w:fldCharType="begin" w:fldLock="1"/>
      </w:r>
      <w:r w:rsidR="00BF2F60">
        <w:rPr>
          <w:lang w:val="en-GB" w:bidi="en-US"/>
        </w:rPr>
        <w:instrText>ADDIN CSL_CITATION {"citationItems":[{"id":"ITEM-1","itemData":{"DOI":"10.1016/j.jclepro.2017.12.010","ISSN":"09596526","abstract":"The Circular Economy (CE) gained significant traction in business and academia. While in the building sector issues around energy efficiency are being widely explored, CE is still a relatively new topic. This article reports on three CE pilots in the Dutch building sector and develops a collaboration tool for developing and operating circular buildings and their supply chain collaborations. First, a conceptual framework is developed to study supply chain collaboration in circular buildings, which uses theoretical building blocks for visions, actor learning, network dynamics and business model innovation. Second, a case study is presented where the framework is applied to three cases using semi-structured interviews and document analysis. Third, an empirically-based tool is developed to enhance collaboration for CE in the building sector. The cases include a newly built project, a renovation project and a demolition project. It was found that developing circular buildings requires (i) a new process design where a variety of disciplines in the supply chain is integrated upfront, (ii) the co-creation of an ambitious vision, (iii) extension of responsibilities to actors along the entire building supply chain, and (iv) new business and ownership models.","author":[{"dropping-particle":"","family":"Leising","given":"Eline","non-dropping-particle":"","parse-names":false,"suffix":""},{"dropping-particle":"","family":"Quist","given":"Jaco","non-dropping-particle":"","parse-names":false,"suffix":""},{"dropping-particle":"","family":"Bocken","given":"Nancy M.P.","non-dropping-particle":"","parse-names":false,"suffix":""}],"container-title":"Journal of Cleaner Production","id":"ITEM-1","issued":{"date-parts":[["2018"]]},"page":"976-989","publisher":"Elsevier Ltd","title":"Circular Economy in the building sector: Three cases and a collaboration tool","type":"article-journal","volume":"176"},"uris":["http://www.mendeley.com/documents/?uuid=0ff0c90c-389f-4e1b-8970-0b46020559b9","http://www.mendeley.com/documents/?uuid=1898accc-c968-4a27-acfc-f4333400b83d"]}],"mendeley":{"formattedCitation":"(Leising et al., 2018)","manualFormatting":"Leising et al. (2018)","plainTextFormattedCitation":"(Leising et al., 2018)","previouslyFormattedCitation":"(Leising et al., 2018)"},"properties":{"noteIndex":0},"schema":"https://github.com/citation-style-language/schema/raw/master/csl-citation.json"}</w:instrText>
      </w:r>
      <w:r w:rsidRPr="00252DF0">
        <w:rPr>
          <w:lang w:val="en-GB" w:bidi="en-US"/>
        </w:rPr>
        <w:fldChar w:fldCharType="separate"/>
      </w:r>
      <w:r w:rsidRPr="00402AEC">
        <w:rPr>
          <w:noProof/>
          <w:lang w:val="en-GB" w:bidi="en-US"/>
        </w:rPr>
        <w:t xml:space="preserve">Leising et al. </w:t>
      </w:r>
      <w:r w:rsidR="00A60A35" w:rsidRPr="00402AEC">
        <w:rPr>
          <w:noProof/>
          <w:lang w:val="en-GB" w:bidi="en-US"/>
        </w:rPr>
        <w:t>(</w:t>
      </w:r>
      <w:r w:rsidRPr="00402AEC">
        <w:rPr>
          <w:noProof/>
          <w:lang w:val="en-GB" w:bidi="en-US"/>
        </w:rPr>
        <w:t>2018)</w:t>
      </w:r>
      <w:r w:rsidRPr="00252DF0">
        <w:rPr>
          <w:lang w:val="en-GB" w:bidi="en-US"/>
        </w:rPr>
        <w:fldChar w:fldCharType="end"/>
      </w:r>
      <w:r w:rsidRPr="00402AEC">
        <w:rPr>
          <w:lang w:val="en-GB" w:bidi="en-US"/>
        </w:rPr>
        <w:t xml:space="preserve"> develop</w:t>
      </w:r>
      <w:r w:rsidR="00806685">
        <w:rPr>
          <w:lang w:val="en-GB" w:bidi="en-US"/>
        </w:rPr>
        <w:t>ed</w:t>
      </w:r>
      <w:r w:rsidRPr="00402AEC">
        <w:rPr>
          <w:lang w:val="en-GB" w:bidi="en-US"/>
        </w:rPr>
        <w:t xml:space="preserve"> a collaboration tool for managing circular buildings and related supply chain collaborations. </w:t>
      </w:r>
      <w:r w:rsidRPr="009601F2">
        <w:rPr>
          <w:lang w:val="en-GB" w:bidi="en-US"/>
        </w:rPr>
        <w:fldChar w:fldCharType="begin" w:fldLock="1"/>
      </w:r>
      <w:r w:rsidR="003445CC">
        <w:rPr>
          <w:lang w:val="en-GB" w:bidi="en-US"/>
        </w:rPr>
        <w:instrText>ADDIN CSL_CITATION {"citationItems":[{"id":"ITEM-1","itemData":{"DOI":"10.1007/s00170-017-0610-9","ISBN":"0017001706","ISSN":"14333015","abstract":"The recent circular economy movement has raised awareness and interest about untapped environmental and economic potential in the manufacturing industry. One of the crucial aspects in the implementation of circular or closed-loop manufacturing approach is the design of circular products. While it is obvious that three post-use strategies, i.e., reuse, remanufacturing, and recycling, are highly relevant to achieve loop closure, it is enormously challenging to choose “the right” strategy (if at all) during the early design stage and especially at the single component level. One reason is that economic and environmental impacts of adapting these strategies are not explicit as they vary depending on the chosen business model and associated supply chains. In this scenario, decision support is essential to motivate adaptation of regenerative design strategies. The main purpose of this paper is to provide reliable decision support at the intersection of multiple lifecycle design and business models in the circular economy context to identify effects on cost and CO2 emissions. The development of this work consists of a systematic method to quantify design effort for different circular design options through a multi-method simulation approach. The simulation model combines an agent-based product architecture and a discrete event closed-loop supply chain model. Feasibility of the model is tested using a case of a washing machine provided by Gorenje d.d. Firstly, design efforts for reuse, remanufacturing, and recycling are quantified. Secondly, cost and emissions of different design options are explored with different business model configurations. Finally, an optimization experiment is run to identify the most cost-effective combination of reused, remanufactured, and recycled components for a business model chosen on the basis of the explorative study results. © 2017 The Author(s)","author":[{"dropping-particle":"","family":"Lieder","given":"Michael","non-dropping-particle":"","parse-names":false,"suffix":""},{"dropping-particle":"","family":"Asif","given":"Farazee M.A.","non-dropping-particle":"","parse-names":false,"suffix":""},{"dropping-particle":"","family":"Rashid","given":"Amir","non-dropping-particle":"","parse-names":false,"suffix":""},{"dropping-particle":"","family":"Mihelič","given":"Aleš","non-dropping-particle":"","parse-names":false,"suffix":""},{"dropping-particle":"","family":"Kotnik","given":"Simon","non-dropping-particle":"","parse-names":false,"suffix":""}],"container-title":"International Journal of Advanced Manufacturing Technology","id":"ITEM-1","issue":"5-8","issued":{"date-parts":[["2017"]]},"page":"1953-1970","title":"Towards circular economy implementation in manufacturing systems using a multi-method simulation approach to link design and business strategy","type":"article-journal","volume":"93"},"uris":["http://www.mendeley.com/documents/?uuid=1c6b055f-f5f4-462b-aed9-8e35091db7ab"]}],"mendeley":{"formattedCitation":"(Lieder et al., 2017b)","manualFormatting":"Lieder et al. (2017b)","plainTextFormattedCitation":"(Lieder et al., 2017b)","previouslyFormattedCitation":"(Lieder et al., 2017b)"},"properties":{"noteIndex":0},"schema":"https://github.com/citation-style-language/schema/raw/master/csl-citation.json"}</w:instrText>
      </w:r>
      <w:r w:rsidRPr="009601F2">
        <w:rPr>
          <w:lang w:val="en-GB" w:bidi="en-US"/>
        </w:rPr>
        <w:fldChar w:fldCharType="separate"/>
      </w:r>
      <w:r w:rsidRPr="00402AEC">
        <w:rPr>
          <w:noProof/>
          <w:lang w:val="en-GB" w:bidi="en-US"/>
        </w:rPr>
        <w:t xml:space="preserve">Lieder et al. </w:t>
      </w:r>
      <w:r w:rsidR="00A60A35" w:rsidRPr="00402AEC">
        <w:rPr>
          <w:noProof/>
          <w:lang w:val="en-GB" w:bidi="en-US"/>
        </w:rPr>
        <w:t>(</w:t>
      </w:r>
      <w:r w:rsidRPr="00402AEC">
        <w:rPr>
          <w:noProof/>
          <w:lang w:val="en-GB" w:bidi="en-US"/>
        </w:rPr>
        <w:t>2017b)</w:t>
      </w:r>
      <w:r w:rsidRPr="009601F2">
        <w:rPr>
          <w:lang w:val="en-GB" w:bidi="en-US"/>
        </w:rPr>
        <w:fldChar w:fldCharType="end"/>
      </w:r>
      <w:r w:rsidRPr="00402AEC">
        <w:rPr>
          <w:lang w:val="en-GB" w:bidi="en-US"/>
        </w:rPr>
        <w:t xml:space="preserve"> provide</w:t>
      </w:r>
      <w:r w:rsidR="00806685">
        <w:rPr>
          <w:lang w:val="en-GB" w:bidi="en-US"/>
        </w:rPr>
        <w:t>d</w:t>
      </w:r>
      <w:r w:rsidRPr="00402AEC">
        <w:rPr>
          <w:lang w:val="en-GB" w:bidi="en-US"/>
        </w:rPr>
        <w:t xml:space="preserve"> reliable decision support at the intersection of multiple lifecycle design and BMs </w:t>
      </w:r>
      <w:r w:rsidR="00904E9E">
        <w:rPr>
          <w:lang w:val="en-GB" w:bidi="en-US"/>
        </w:rPr>
        <w:t>for</w:t>
      </w:r>
      <w:r w:rsidRPr="00402AEC">
        <w:rPr>
          <w:lang w:val="en-GB" w:bidi="en-US"/>
        </w:rPr>
        <w:t xml:space="preserve"> identify</w:t>
      </w:r>
      <w:r w:rsidR="00904E9E">
        <w:rPr>
          <w:lang w:val="en-GB" w:bidi="en-US"/>
        </w:rPr>
        <w:t>ing</w:t>
      </w:r>
      <w:r w:rsidRPr="00402AEC">
        <w:rPr>
          <w:lang w:val="en-GB" w:bidi="en-US"/>
        </w:rPr>
        <w:t xml:space="preserve"> effects on cost and CO</w:t>
      </w:r>
      <w:r w:rsidRPr="00402AEC">
        <w:rPr>
          <w:vertAlign w:val="subscript"/>
          <w:lang w:val="en-GB" w:bidi="en-US"/>
        </w:rPr>
        <w:t>2</w:t>
      </w:r>
      <w:r w:rsidRPr="00402AEC">
        <w:rPr>
          <w:lang w:val="en-GB" w:bidi="en-US"/>
        </w:rPr>
        <w:t xml:space="preserve"> emissions. </w:t>
      </w:r>
      <w:r w:rsidRPr="00252DF0">
        <w:rPr>
          <w:lang w:val="en-GB" w:bidi="en-US"/>
        </w:rPr>
        <w:fldChar w:fldCharType="begin" w:fldLock="1"/>
      </w:r>
      <w:r w:rsidR="003445CC">
        <w:rPr>
          <w:lang w:val="en-GB" w:bidi="en-US"/>
        </w:rPr>
        <w:instrText>ADDIN CSL_CITATION {"citationItems":[{"id":"ITEM-1","itemData":{"DOI":"10.1016/j.procir.2017.03.026","ISBN":"22128271 (ISSN)","ISSN":"22128271","abstract":"Due to ever increasing challenges faced by our global society, circular design and the idea of product-service systems (PSS) is gaining traction within businesses. However, 'predicting' the value of a future PSS solution in the early design phases is difficult, since it requires the ability to balance long term potential with short term decisions. Modelling and simulation is believed to be able to support this challenging task. A simulation framework for circular design of PSS is presented. The simulation process enables the comparison between functional and non-functional performances and their life cycle contributions depending on a defined PSS-like business model strategy. Such integrated simulation framework is intended to exploit engineering models outside their specific discipline, enabling cross-functional collaboration and help decision makers understand how a design can contribute in satisfying customer and stakeholders needs during the lifecycle of a PSS.","author":[{"dropping-particle":"","family":"Panarotto","given":"Massimo","non-dropping-particle":"","parse-names":false,"suffix":""},{"dropping-particle":"","family":"Wall","given":"Johan","non-dropping-particle":"","parse-names":false,"suffix":""},{"dropping-particle":"","family":"Larsson","given":"Tobias C.","non-dropping-particle":"","parse-names":false,"suffix":""}],"container-title":"Procedia CIRP","id":"ITEM-1","issued":{"date-parts":[["2017"]]},"page":"25-30","publisher":"The Author(s)","title":"Simulation-driven Design for Assessing Strategic Decisions in the Conceptual Design of Circular PSS Business Models","type":"article-journal","volume":"64"},"uris":["http://www.mendeley.com/documents/?uuid=a974dc47-9661-4992-b707-be9b569222db"]}],"mendeley":{"formattedCitation":"(Panarotto et al., 2017)","manualFormatting":"Panarotto et al. (2017)","plainTextFormattedCitation":"(Panarotto et al., 2017)","previouslyFormattedCitation":"(Panarotto et al., 2017)"},"properties":{"noteIndex":0},"schema":"https://github.com/citation-style-language/schema/raw/master/csl-citation.json"}</w:instrText>
      </w:r>
      <w:r w:rsidRPr="00252DF0">
        <w:rPr>
          <w:lang w:val="en-GB" w:bidi="en-US"/>
        </w:rPr>
        <w:fldChar w:fldCharType="separate"/>
      </w:r>
      <w:r w:rsidRPr="00402AEC">
        <w:rPr>
          <w:noProof/>
          <w:lang w:val="en-GB" w:bidi="en-US"/>
        </w:rPr>
        <w:t xml:space="preserve">Panarotto et al. </w:t>
      </w:r>
      <w:r w:rsidR="00A60A35" w:rsidRPr="00402AEC">
        <w:rPr>
          <w:noProof/>
          <w:lang w:val="en-GB" w:bidi="en-US"/>
        </w:rPr>
        <w:t>(</w:t>
      </w:r>
      <w:r w:rsidRPr="00402AEC">
        <w:rPr>
          <w:noProof/>
          <w:lang w:val="en-GB" w:bidi="en-US"/>
        </w:rPr>
        <w:t>2017)</w:t>
      </w:r>
      <w:r w:rsidRPr="00252DF0">
        <w:rPr>
          <w:lang w:val="en-GB" w:bidi="en-US"/>
        </w:rPr>
        <w:fldChar w:fldCharType="end"/>
      </w:r>
      <w:r w:rsidRPr="00402AEC">
        <w:rPr>
          <w:lang w:val="en-GB" w:bidi="en-US"/>
        </w:rPr>
        <w:t xml:space="preserve"> present</w:t>
      </w:r>
      <w:r w:rsidR="00352982">
        <w:rPr>
          <w:lang w:val="en-GB" w:bidi="en-US"/>
        </w:rPr>
        <w:t>ed</w:t>
      </w:r>
      <w:r w:rsidRPr="00402AEC">
        <w:rPr>
          <w:lang w:val="en-GB" w:bidi="en-US"/>
        </w:rPr>
        <w:t xml:space="preserve"> a simulation framework for circular design of PSS</w:t>
      </w:r>
      <w:r w:rsidR="00352982">
        <w:rPr>
          <w:lang w:val="en-GB" w:bidi="en-US"/>
        </w:rPr>
        <w:t>s,</w:t>
      </w:r>
      <w:r w:rsidRPr="00402AEC">
        <w:rPr>
          <w:lang w:val="en-GB" w:bidi="en-US"/>
        </w:rPr>
        <w:t xml:space="preserve"> </w:t>
      </w:r>
      <w:r w:rsidR="00352982">
        <w:rPr>
          <w:lang w:val="en-GB" w:bidi="en-US"/>
        </w:rPr>
        <w:t xml:space="preserve">by </w:t>
      </w:r>
      <w:r w:rsidRPr="00402AEC">
        <w:rPr>
          <w:lang w:val="en-GB" w:bidi="en-US"/>
        </w:rPr>
        <w:t>compari</w:t>
      </w:r>
      <w:r w:rsidR="00352982">
        <w:rPr>
          <w:lang w:val="en-GB" w:bidi="en-US"/>
        </w:rPr>
        <w:t>ng</w:t>
      </w:r>
      <w:r w:rsidRPr="00402AEC">
        <w:rPr>
          <w:lang w:val="en-GB" w:bidi="en-US"/>
        </w:rPr>
        <w:t xml:space="preserve"> functional and non-functional performances and their life cycle contributions</w:t>
      </w:r>
      <w:r w:rsidR="00154904">
        <w:rPr>
          <w:lang w:val="en-GB" w:bidi="en-US"/>
        </w:rPr>
        <w:t>.</w:t>
      </w:r>
      <w:r w:rsidR="00F92100" w:rsidRPr="00402AEC">
        <w:rPr>
          <w:lang w:val="en-GB" w:bidi="en-US"/>
        </w:rPr>
        <w:t xml:space="preserve"> </w:t>
      </w:r>
    </w:p>
    <w:p w14:paraId="58E1AE85" w14:textId="54287AF8" w:rsidR="00AB485F" w:rsidRDefault="000476AB" w:rsidP="00216241">
      <w:pPr>
        <w:spacing w:after="240" w:line="360" w:lineRule="auto"/>
        <w:jc w:val="both"/>
        <w:rPr>
          <w:lang w:val="en-GB" w:bidi="en-US"/>
        </w:rPr>
      </w:pPr>
      <w:r w:rsidRPr="00402AEC">
        <w:rPr>
          <w:lang w:val="en-GB" w:bidi="en-US"/>
        </w:rPr>
        <w:t>Other authors focus on</w:t>
      </w:r>
      <w:r w:rsidR="009D0D41">
        <w:rPr>
          <w:lang w:val="en-GB" w:bidi="en-US"/>
        </w:rPr>
        <w:t xml:space="preserve"> </w:t>
      </w:r>
      <w:r w:rsidR="003B38B8">
        <w:rPr>
          <w:lang w:val="en-GB" w:bidi="en-US"/>
        </w:rPr>
        <w:t>scenario analysis</w:t>
      </w:r>
      <w:r w:rsidRPr="00402AEC">
        <w:rPr>
          <w:lang w:val="en-GB" w:bidi="en-US"/>
        </w:rPr>
        <w:t xml:space="preserve">. </w:t>
      </w:r>
      <w:r w:rsidR="00154904">
        <w:rPr>
          <w:lang w:val="en-GB" w:bidi="en-US"/>
        </w:rPr>
        <w:t xml:space="preserve">For example, </w:t>
      </w:r>
      <w:r w:rsidRPr="009601F2">
        <w:rPr>
          <w:lang w:val="en-GB" w:bidi="en-US"/>
        </w:rPr>
        <w:fldChar w:fldCharType="begin" w:fldLock="1"/>
      </w:r>
      <w:r w:rsidR="00BF2F60">
        <w:rPr>
          <w:lang w:val="en-GB" w:bidi="en-US"/>
        </w:rPr>
        <w:instrText>ADDIN CSL_CITATION {"citationItems":[{"id":"ITEM-1","itemData":{"DOI":"10.1177/0734242X16628981","ISBN":"0734-242X","ISSN":"10963669","PMID":"26917561","abstract":"Earth’s natural resources are finite. To be environmentally sustainable, it may not only be necessary to use them ‘efficiently’ but also ‘effectively’. While we consider ‘repair’, ‘recondition’, ‘refurbish’ and ‘remanufacture’ to be ‘reuse’ options, not all researchers agree. Also, there is lack of clarity between the different options that are likely to be challenging for both; the policy makers who formulate policies aimed to encourage ‘reuse’ of ‘waste’ products and for decision makers to initiate appropriate action for recovering ‘reusable resources’ from ‘waste streams’. This dichotomy could result into more ‘waste’ to landfill. A systematic analysis of peer reviewed literature is conducted to understand inconsistencies and/or lack of clarity that exist between the definitions or descriptions of identified `reuse’ options. This article proposes a ‘hierarchy of reuse options’ that plots the relative positions of identified ‘reuse’ options vis-à-vis five variables, namely work content, energy requireme...","author":[{"dropping-particle":"","family":"Gharfalkar","given":"Mangesh","non-dropping-particle":"","parse-names":false,"suffix":""},{"dropping-particle":"","family":"Ali","given":"Zulfiqur","non-dropping-particle":"","parse-names":false,"suffix":""},{"dropping-particle":"","family":"Hillier","given":"Graham","non-dropping-particle":"","parse-names":false,"suffix":""}],"container-title":"Waste Management &amp; Research","id":"ITEM-1","issue":"10","issued":{"date-parts":[["2016"]]},"page":"995-1005","title":"Clarifying the disagreements on various reuse options: Repair, recondition, refurbish and remanufacture","type":"article-journal","volume":"34"},"uris":["http://www.mendeley.com/documents/?uuid=f168eb74-899e-4b8f-a970-b9175684823a","http://www.mendeley.com/documents/?uuid=b79af146-a83e-48e7-b530-f6e9753d061e"]}],"mendeley":{"formattedCitation":"(Gharfalkar et al., 2016)","manualFormatting":"Gharfalkar et al. (2016)","plainTextFormattedCitation":"(Gharfalkar et al., 2016)","previouslyFormattedCitation":"(Gharfalkar et al., 2016)"},"properties":{"noteIndex":0},"schema":"https://github.com/citation-style-language/schema/raw/master/csl-citation.json"}</w:instrText>
      </w:r>
      <w:r w:rsidRPr="009601F2">
        <w:rPr>
          <w:lang w:val="en-GB" w:bidi="en-US"/>
        </w:rPr>
        <w:fldChar w:fldCharType="separate"/>
      </w:r>
      <w:r w:rsidRPr="00402AEC">
        <w:rPr>
          <w:noProof/>
          <w:lang w:val="en-GB" w:bidi="en-US"/>
        </w:rPr>
        <w:t xml:space="preserve">Gharfalkar et al. </w:t>
      </w:r>
      <w:r w:rsidR="00A60A35" w:rsidRPr="00402AEC">
        <w:rPr>
          <w:noProof/>
          <w:lang w:val="en-GB" w:bidi="en-US"/>
        </w:rPr>
        <w:t>(</w:t>
      </w:r>
      <w:r w:rsidRPr="00402AEC">
        <w:rPr>
          <w:noProof/>
          <w:lang w:val="en-GB" w:bidi="en-US"/>
        </w:rPr>
        <w:t>2016)</w:t>
      </w:r>
      <w:r w:rsidRPr="009601F2">
        <w:rPr>
          <w:lang w:val="en-GB" w:bidi="en-US"/>
        </w:rPr>
        <w:fldChar w:fldCharType="end"/>
      </w:r>
      <w:r w:rsidRPr="00402AEC">
        <w:rPr>
          <w:lang w:val="en-GB" w:bidi="en-US"/>
        </w:rPr>
        <w:t xml:space="preserve"> tr</w:t>
      </w:r>
      <w:r w:rsidR="00154904">
        <w:rPr>
          <w:lang w:val="en-GB" w:bidi="en-US"/>
        </w:rPr>
        <w:t>ied</w:t>
      </w:r>
      <w:r w:rsidRPr="00402AEC">
        <w:rPr>
          <w:lang w:val="en-GB" w:bidi="en-US"/>
        </w:rPr>
        <w:t xml:space="preserve"> to understand inconsistencies and/or lack of clarity </w:t>
      </w:r>
      <w:r w:rsidR="00154904">
        <w:rPr>
          <w:lang w:val="en-GB" w:bidi="en-US"/>
        </w:rPr>
        <w:t>existing</w:t>
      </w:r>
      <w:r w:rsidRPr="00402AEC">
        <w:rPr>
          <w:lang w:val="en-GB" w:bidi="en-US"/>
        </w:rPr>
        <w:t xml:space="preserve"> </w:t>
      </w:r>
      <w:r w:rsidR="00154904">
        <w:rPr>
          <w:lang w:val="en-GB" w:bidi="en-US"/>
        </w:rPr>
        <w:t>in</w:t>
      </w:r>
      <w:r w:rsidRPr="00402AEC">
        <w:rPr>
          <w:lang w:val="en-GB" w:bidi="en-US"/>
        </w:rPr>
        <w:t xml:space="preserve"> definitions or descriptions of reuse options</w:t>
      </w:r>
      <w:r w:rsidR="00154904">
        <w:rPr>
          <w:lang w:val="en-GB" w:bidi="en-US"/>
        </w:rPr>
        <w:t>,</w:t>
      </w:r>
      <w:r w:rsidRPr="00402AEC">
        <w:rPr>
          <w:lang w:val="en-GB" w:bidi="en-US"/>
        </w:rPr>
        <w:t xml:space="preserve"> </w:t>
      </w:r>
      <w:r w:rsidR="00154904">
        <w:rPr>
          <w:lang w:val="en-GB" w:bidi="en-US"/>
        </w:rPr>
        <w:t>by</w:t>
      </w:r>
      <w:r w:rsidRPr="00402AEC">
        <w:rPr>
          <w:lang w:val="en-GB" w:bidi="en-US"/>
        </w:rPr>
        <w:t xml:space="preserve"> propos</w:t>
      </w:r>
      <w:r w:rsidR="00154904">
        <w:rPr>
          <w:lang w:val="en-GB" w:bidi="en-US"/>
        </w:rPr>
        <w:t>ing</w:t>
      </w:r>
      <w:r w:rsidRPr="00402AEC">
        <w:rPr>
          <w:lang w:val="en-GB" w:bidi="en-US"/>
        </w:rPr>
        <w:t xml:space="preserve"> different reuse-based BMs. </w:t>
      </w:r>
      <w:r w:rsidRPr="009601F2">
        <w:rPr>
          <w:lang w:val="en-GB" w:bidi="en-US"/>
        </w:rPr>
        <w:fldChar w:fldCharType="begin" w:fldLock="1"/>
      </w:r>
      <w:r w:rsidR="00BF2F60">
        <w:rPr>
          <w:lang w:val="en-GB" w:bidi="en-US"/>
        </w:rPr>
        <w:instrText>ADDIN CSL_CITATION {"citationItems":[{"id":"ITEM-1","itemData":{"DOI":"10.1016/j.procir.2016.11.169","ISSN":"22128271","abstract":"Electronics plays an essential role in many products and this leads to a larger production of e-wastes, currently recovered through impactful recycling processes. This paper proposes a web-based platform to implement reuse scenarios for electronic components. The objective is to create a structured portal where all the stakeholders can collaborate to extend the components lifespan and implement new circular business models. The final goal is to \"close the gap\" between the beginning and the end of life. The case study (industrial application) shows relevant benefits for the involved electronics manufacturer both in terms of environmental impact and economic savings.","author":[{"dropping-particle":"","family":"Marconi","given":"Marco","non-dropping-particle":"","parse-names":false,"suffix":""},{"dropping-particle":"","family":"Favi","given":"Claudio","non-dropping-particle":"","parse-names":false,"suffix":""},{"dropping-particle":"","family":"Germani","given":"Michele","non-dropping-particle":"","parse-names":false,"suffix":""},{"dropping-particle":"","family":"Mandolini","given":"Marco","non-dropping-particle":"","parse-names":false,"suffix":""},{"dropping-particle":"","family":"Mengarelli","given":"Marco","non-dropping-particle":"","parse-names":false,"suffix":""}],"container-title":"Procedia CIRP","id":"ITEM-1","issued":{"date-parts":[["2017"]]},"page":"166-171","publisher":"The Author(s)","title":"A Collaborative End of Life platform to Favour the Reuse of Electronic Components","type":"article-journal","volume":"61"},"uris":["http://www.mendeley.com/documents/?uuid=8f078081-dd83-4e00-be07-430a621d2df5","http://www.mendeley.com/documents/?uuid=fc0cd286-1b08-4508-be82-66387c51b6d4"]}],"mendeley":{"formattedCitation":"(Marconi et al., 2017)","manualFormatting":"Marconi et al. (2017)","plainTextFormattedCitation":"(Marconi et al., 2017)","previouslyFormattedCitation":"(Marconi et al., 2017)"},"properties":{"noteIndex":0},"schema":"https://github.com/citation-style-language/schema/raw/master/csl-citation.json"}</w:instrText>
      </w:r>
      <w:r w:rsidRPr="009601F2">
        <w:rPr>
          <w:lang w:val="en-GB" w:bidi="en-US"/>
        </w:rPr>
        <w:fldChar w:fldCharType="separate"/>
      </w:r>
      <w:r w:rsidRPr="00402AEC">
        <w:rPr>
          <w:noProof/>
          <w:lang w:val="en-GB" w:bidi="en-US"/>
        </w:rPr>
        <w:t xml:space="preserve">Marconi et al. </w:t>
      </w:r>
      <w:r w:rsidR="00A60A35" w:rsidRPr="00402AEC">
        <w:rPr>
          <w:noProof/>
          <w:lang w:val="en-GB" w:bidi="en-US"/>
        </w:rPr>
        <w:t>(</w:t>
      </w:r>
      <w:r w:rsidRPr="00402AEC">
        <w:rPr>
          <w:noProof/>
          <w:lang w:val="en-GB" w:bidi="en-US"/>
        </w:rPr>
        <w:t>2017)</w:t>
      </w:r>
      <w:r w:rsidRPr="009601F2">
        <w:rPr>
          <w:lang w:val="en-GB" w:bidi="en-US"/>
        </w:rPr>
        <w:fldChar w:fldCharType="end"/>
      </w:r>
      <w:r w:rsidRPr="00402AEC">
        <w:rPr>
          <w:lang w:val="en-GB" w:bidi="en-US"/>
        </w:rPr>
        <w:t xml:space="preserve"> propose</w:t>
      </w:r>
      <w:r w:rsidR="00154904">
        <w:rPr>
          <w:lang w:val="en-GB" w:bidi="en-US"/>
        </w:rPr>
        <w:t>d</w:t>
      </w:r>
      <w:r w:rsidRPr="00402AEC">
        <w:rPr>
          <w:lang w:val="en-GB" w:bidi="en-US"/>
        </w:rPr>
        <w:t xml:space="preserve"> a web-based platform </w:t>
      </w:r>
      <w:r w:rsidR="00154904">
        <w:rPr>
          <w:lang w:val="en-GB" w:bidi="en-US"/>
        </w:rPr>
        <w:t>for</w:t>
      </w:r>
      <w:r w:rsidR="00154904" w:rsidRPr="00402AEC">
        <w:rPr>
          <w:lang w:val="en-GB" w:bidi="en-US"/>
        </w:rPr>
        <w:t xml:space="preserve"> </w:t>
      </w:r>
      <w:r w:rsidRPr="00402AEC">
        <w:rPr>
          <w:lang w:val="en-GB" w:bidi="en-US"/>
        </w:rPr>
        <w:t>implement</w:t>
      </w:r>
      <w:r w:rsidR="00154904">
        <w:rPr>
          <w:lang w:val="en-GB" w:bidi="en-US"/>
        </w:rPr>
        <w:t>ing</w:t>
      </w:r>
      <w:r w:rsidRPr="00402AEC">
        <w:rPr>
          <w:lang w:val="en-GB" w:bidi="en-US"/>
        </w:rPr>
        <w:t xml:space="preserve"> reuse scenarios for electronic components.</w:t>
      </w:r>
    </w:p>
    <w:p w14:paraId="67C51C8D" w14:textId="057F88C5" w:rsidR="000476AB" w:rsidRPr="00402AEC" w:rsidRDefault="00A0757E" w:rsidP="00216241">
      <w:pPr>
        <w:spacing w:after="240" w:line="360" w:lineRule="auto"/>
        <w:jc w:val="both"/>
        <w:rPr>
          <w:lang w:val="en-GB" w:bidi="en-US"/>
        </w:rPr>
      </w:pPr>
      <w:r>
        <w:rPr>
          <w:lang w:val="en-GB" w:bidi="en-US"/>
        </w:rPr>
        <w:t>Finally, o</w:t>
      </w:r>
      <w:r w:rsidR="000476AB" w:rsidRPr="00402AEC">
        <w:rPr>
          <w:lang w:val="en-GB" w:bidi="en-US"/>
        </w:rPr>
        <w:t>ther</w:t>
      </w:r>
      <w:r>
        <w:rPr>
          <w:lang w:val="en-GB" w:bidi="en-US"/>
        </w:rPr>
        <w:t xml:space="preserve"> authors</w:t>
      </w:r>
      <w:r w:rsidR="000476AB" w:rsidRPr="00402AEC">
        <w:rPr>
          <w:lang w:val="en-GB" w:bidi="en-US"/>
        </w:rPr>
        <w:t xml:space="preserve"> compar</w:t>
      </w:r>
      <w:r w:rsidR="008420D2">
        <w:rPr>
          <w:lang w:val="en-GB" w:bidi="en-US"/>
        </w:rPr>
        <w:t>e</w:t>
      </w:r>
      <w:r w:rsidR="000476AB" w:rsidRPr="00402AEC">
        <w:rPr>
          <w:lang w:val="en-GB" w:bidi="en-US"/>
        </w:rPr>
        <w:t xml:space="preserve"> CE-related behaviours/tools and linear ones. </w:t>
      </w:r>
      <w:r w:rsidR="008420D2">
        <w:rPr>
          <w:lang w:val="en-GB" w:bidi="en-US"/>
        </w:rPr>
        <w:t xml:space="preserve">For example, </w:t>
      </w:r>
      <w:r w:rsidR="000476AB" w:rsidRPr="009601F2">
        <w:rPr>
          <w:lang w:val="en-GB" w:bidi="en-US"/>
        </w:rPr>
        <w:fldChar w:fldCharType="begin" w:fldLock="1"/>
      </w:r>
      <w:r w:rsidR="00BF2F60">
        <w:rPr>
          <w:lang w:val="en-GB" w:bidi="en-US"/>
        </w:rPr>
        <w:instrText>ADDIN CSL_CITATION {"citationItems":[{"id":"ITEM-1","itemData":{"DOI":"10.1016/j.procir.2017.03.034","ISBN":"22128271 (ISSN)","ISSN":"22128271","abstract":"Circular Economy (CE) is an alternative to achieve more sustainability and to improve the current economic system through the transformation of the linear and semi-circular flows to circulate ones, keeping products at a higher level of utility and for a longer period of time. Ellen McArthur Foundation (EMF) and IDEO developed a Circular Design Guide (CE toolkit) intended to support companies to apply the circular principles on their own organizations. In this context, some authors noted that the development of a product-service system (PSS) initiative can help in the transition to a CE. The aim of this paper is to evaluate the objectives of the CE Toolkit joint with a PSS methodology already existent in literature. A matrix was applied to analyse the CE toolkit versus the PSS methodology, and a Likert scale was applied to characterize the relation between each stage of the methodology and each objective of the toolkit. The most important findings are related to the absence of CE concepts and its connection to PSS in previously existent methodology, which lacks methods to support the application of it, and lacks the incentive to use recovery techniques as recycling, remanufacturing and reuse of parts on PSS. At the same time, the toolkit lacks some practical aspects of the transition to PSS, such as identifying the competitors and the definition of a very detailed list of equipment and infrastructure required for the business.","author":[{"dropping-particle":"","family":"Reigado Rodrigues","given":"Carolina","non-dropping-particle":"","parse-names":false,"suffix":""},{"dropping-particle":"","family":"Costa Fernandes","given":"Sânia","non-dropping-particle":"da","parse-names":false,"suffix":""},{"dropping-particle":"","family":"Barrera Saavedra","given":"Yovana Maria","non-dropping-particle":"","parse-names":false,"suffix":""},{"dropping-particle":"","family":"Ometto","given":"Aldo Roberto","non-dropping-particle":"","parse-names":false,"suffix":""},{"dropping-particle":"","family":"Hornos da Costa","given":"Janaina Mascarenhas","non-dropping-particle":"","parse-names":false,"suffix":""}],"container-title":"Procedia CIRP","id":"ITEM-1","issued":{"date-parts":[["2017"]]},"page":"37-42","publisher":"The Author(s)","title":"A Circular Economy Toolkit as an Alternative to Improve the Application of PSS Methodologies","type":"article-journal","volume":"64"},"uris":["http://www.mendeley.com/documents/?uuid=b7349228-1915-4353-b953-983dfcc26bbd","http://www.mendeley.com/documents/?uuid=5ca45c3c-d3b8-4b85-9246-06e5151b3e33"]}],"mendeley":{"formattedCitation":"(Reigado Rodrigues et al., 2017)","manualFormatting":"Reigado et al. (2017)","plainTextFormattedCitation":"(Reigado Rodrigues et al., 2017)","previouslyFormattedCitation":"(Reigado Rodrigues et al., 2017)"},"properties":{"noteIndex":0},"schema":"https://github.com/citation-style-language/schema/raw/master/csl-citation.json"}</w:instrText>
      </w:r>
      <w:r w:rsidR="000476AB" w:rsidRPr="009601F2">
        <w:rPr>
          <w:lang w:val="en-GB" w:bidi="en-US"/>
        </w:rPr>
        <w:fldChar w:fldCharType="separate"/>
      </w:r>
      <w:r w:rsidR="00EC217C" w:rsidRPr="00402AEC">
        <w:rPr>
          <w:noProof/>
          <w:lang w:val="en-GB" w:bidi="en-US"/>
        </w:rPr>
        <w:t xml:space="preserve">Reigado et al. </w:t>
      </w:r>
      <w:r w:rsidR="00A60A35" w:rsidRPr="00402AEC">
        <w:rPr>
          <w:noProof/>
          <w:lang w:val="en-GB" w:bidi="en-US"/>
        </w:rPr>
        <w:t>(</w:t>
      </w:r>
      <w:r w:rsidR="00EC217C" w:rsidRPr="00402AEC">
        <w:rPr>
          <w:noProof/>
          <w:lang w:val="en-GB" w:bidi="en-US"/>
        </w:rPr>
        <w:t>2017)</w:t>
      </w:r>
      <w:r w:rsidR="000476AB" w:rsidRPr="009601F2">
        <w:rPr>
          <w:lang w:val="en-GB" w:bidi="en-US"/>
        </w:rPr>
        <w:fldChar w:fldCharType="end"/>
      </w:r>
      <w:r w:rsidR="000476AB" w:rsidRPr="00402AEC">
        <w:rPr>
          <w:lang w:val="en-GB" w:bidi="en-US"/>
        </w:rPr>
        <w:t xml:space="preserve"> analyse</w:t>
      </w:r>
      <w:r w:rsidR="008420D2">
        <w:rPr>
          <w:lang w:val="en-GB" w:bidi="en-US"/>
        </w:rPr>
        <w:t>d</w:t>
      </w:r>
      <w:r w:rsidR="000476AB" w:rsidRPr="00402AEC">
        <w:rPr>
          <w:lang w:val="en-GB" w:bidi="en-US"/>
        </w:rPr>
        <w:t xml:space="preserve"> existing CE toolkits </w:t>
      </w:r>
      <w:r w:rsidR="00FD2B39">
        <w:rPr>
          <w:lang w:val="en-GB" w:bidi="en-US"/>
        </w:rPr>
        <w:t>and</w:t>
      </w:r>
      <w:r w:rsidR="000476AB" w:rsidRPr="00402AEC">
        <w:rPr>
          <w:lang w:val="en-GB" w:bidi="en-US"/>
        </w:rPr>
        <w:t xml:space="preserve"> PSS</w:t>
      </w:r>
      <w:r w:rsidR="00FD2B39">
        <w:rPr>
          <w:lang w:val="en-GB" w:bidi="en-US"/>
        </w:rPr>
        <w:t>s</w:t>
      </w:r>
      <w:r w:rsidR="000476AB" w:rsidRPr="00402AEC">
        <w:rPr>
          <w:lang w:val="en-GB" w:bidi="en-US"/>
        </w:rPr>
        <w:t xml:space="preserve">, trying to characterize </w:t>
      </w:r>
      <w:r w:rsidR="006309DF">
        <w:rPr>
          <w:lang w:val="en-GB" w:bidi="en-US"/>
        </w:rPr>
        <w:t>existing</w:t>
      </w:r>
      <w:r w:rsidR="000476AB" w:rsidRPr="00402AEC">
        <w:rPr>
          <w:lang w:val="en-GB" w:bidi="en-US"/>
        </w:rPr>
        <w:t xml:space="preserve"> relation</w:t>
      </w:r>
      <w:r w:rsidR="006309DF">
        <w:rPr>
          <w:lang w:val="en-GB" w:bidi="en-US"/>
        </w:rPr>
        <w:t>s</w:t>
      </w:r>
      <w:r w:rsidR="000476AB" w:rsidRPr="00402AEC">
        <w:rPr>
          <w:lang w:val="en-GB" w:bidi="en-US"/>
        </w:rPr>
        <w:t xml:space="preserve">. </w:t>
      </w:r>
      <w:r w:rsidR="000476AB" w:rsidRPr="009601F2">
        <w:rPr>
          <w:lang w:val="en-GB" w:bidi="en-US"/>
        </w:rPr>
        <w:fldChar w:fldCharType="begin" w:fldLock="1"/>
      </w:r>
      <w:r w:rsidR="00BF2F60">
        <w:rPr>
          <w:lang w:val="en-GB" w:bidi="en-US"/>
        </w:rPr>
        <w:instrText>ADDIN CSL_CITATION {"citationItems":[{"id":"ITEM-1","itemData":{"DOI":"10.1080/00207543.2017.1398429","ISBN":"00207543 (ISSN)","ISSN":"1366588X","abstract":"This paper explores the role of the second-hand market when transitioning to a closed-loop system where products are leased multiple times. The total cost of ownership for consumers and profitability for manufacturers are compared in circular and linear business cases. We find that while second-hand markets were beneficial for manufacturers of durable goods in a linear system, since they increased the consumers? willingness-to-pay for new products, the same second-hand markets might restrict the profitability of a closed-loop business model. A high resale value results in a relatively low cost of ownership in the sales system and additional activities in the closed-loop model (such as managing the lease contracts and refurbishment) add significant costs to the supply chain. Consequently, the economic (and environmental) benefits of leasing products already traded on second-hand markets in the linear system are often limited. Our simple analytical model allows a quick and dirty analysis of multiple scenarios with a minimum of inputs. We argue that manufacturers lack these kinds of models to guide them in navigating circular economy business models.","author":[{"dropping-particle":"","family":"Loon","given":"Patricia","non-dropping-particle":"van","parse-names":false,"suffix":""},{"dropping-particle":"","family":"Delagarde","given":"Charles","non-dropping-particle":"","parse-names":false,"suffix":""},{"dropping-particle":"","family":"Wassenhove","given":"Luk N.","non-dropping-particle":"Van","parse-names":false,"suffix":""}],"container-title":"International Journal of Production Research","id":"ITEM-1","issued":{"date-parts":[["2017"]]},"page":"1-14","publisher":"Taylor &amp; Francis","title":"The role of second-hand markets in circular business: a simple model for leasing versus selling consumer products","type":"article-journal","volume":"7543"},"uris":["http://www.mendeley.com/documents/?uuid=f410270c-4557-4803-9842-e1b0adf49d9b","http://www.mendeley.com/documents/?uuid=b312481a-f29b-4001-a037-512f917d5e27"]}],"mendeley":{"formattedCitation":"(van Loon et al., 2017)","manualFormatting":"van Loon et al. (2017)","plainTextFormattedCitation":"(van Loon et al., 2017)","previouslyFormattedCitation":"(van Loon et al., 2017)"},"properties":{"noteIndex":0},"schema":"https://github.com/citation-style-language/schema/raw/master/csl-citation.json"}</w:instrText>
      </w:r>
      <w:r w:rsidR="000476AB" w:rsidRPr="009601F2">
        <w:rPr>
          <w:lang w:val="en-GB" w:bidi="en-US"/>
        </w:rPr>
        <w:fldChar w:fldCharType="separate"/>
      </w:r>
      <w:r w:rsidR="000476AB" w:rsidRPr="00402AEC">
        <w:rPr>
          <w:noProof/>
          <w:lang w:val="en-GB" w:bidi="en-US"/>
        </w:rPr>
        <w:t xml:space="preserve">van Loon et al. </w:t>
      </w:r>
      <w:r w:rsidR="00A60A35" w:rsidRPr="00402AEC">
        <w:rPr>
          <w:noProof/>
          <w:lang w:val="en-GB" w:bidi="en-US"/>
        </w:rPr>
        <w:t>(</w:t>
      </w:r>
      <w:r w:rsidR="000476AB" w:rsidRPr="00402AEC">
        <w:rPr>
          <w:noProof/>
          <w:lang w:val="en-GB" w:bidi="en-US"/>
        </w:rPr>
        <w:t>2017)</w:t>
      </w:r>
      <w:r w:rsidR="000476AB" w:rsidRPr="009601F2">
        <w:rPr>
          <w:lang w:val="en-GB" w:bidi="en-US"/>
        </w:rPr>
        <w:fldChar w:fldCharType="end"/>
      </w:r>
      <w:r w:rsidR="000476AB" w:rsidRPr="00402AEC">
        <w:rPr>
          <w:lang w:val="en-GB" w:bidi="en-US"/>
        </w:rPr>
        <w:t xml:space="preserve"> explore</w:t>
      </w:r>
      <w:r w:rsidR="006309DF">
        <w:rPr>
          <w:lang w:val="en-GB" w:bidi="en-US"/>
        </w:rPr>
        <w:t>d</w:t>
      </w:r>
      <w:r w:rsidR="000476AB" w:rsidRPr="00402AEC">
        <w:rPr>
          <w:lang w:val="en-GB" w:bidi="en-US"/>
        </w:rPr>
        <w:t xml:space="preserve"> the role of the second-hand market</w:t>
      </w:r>
      <w:r w:rsidR="008F72CA">
        <w:rPr>
          <w:lang w:val="en-GB" w:bidi="en-US"/>
        </w:rPr>
        <w:t>s, by comparing</w:t>
      </w:r>
      <w:r w:rsidR="000476AB" w:rsidRPr="00402AEC">
        <w:rPr>
          <w:lang w:val="en-GB" w:bidi="en-US"/>
        </w:rPr>
        <w:t xml:space="preserve"> </w:t>
      </w:r>
      <w:r w:rsidR="008F72CA">
        <w:rPr>
          <w:lang w:val="en-GB" w:bidi="en-US"/>
        </w:rPr>
        <w:t>t</w:t>
      </w:r>
      <w:r w:rsidR="000476AB" w:rsidRPr="00402AEC">
        <w:rPr>
          <w:lang w:val="en-GB" w:bidi="en-US"/>
        </w:rPr>
        <w:t xml:space="preserve">he total cost of ownership for consumers and profitability for manufacturers in circular and linear business cases. </w:t>
      </w:r>
      <w:r w:rsidR="00037A25">
        <w:rPr>
          <w:lang w:val="en-GB" w:bidi="en-US"/>
        </w:rPr>
        <w:t xml:space="preserve">Subsequently, </w:t>
      </w:r>
      <w:r w:rsidR="000476AB" w:rsidRPr="009601F2">
        <w:rPr>
          <w:lang w:val="en-GB" w:bidi="en-US"/>
        </w:rPr>
        <w:fldChar w:fldCharType="begin" w:fldLock="1"/>
      </w:r>
      <w:r w:rsidR="00BF2F60">
        <w:rPr>
          <w:lang w:val="en-GB" w:bidi="en-US"/>
        </w:rPr>
        <w:instrText>ADDIN CSL_CITATION {"citationItems":[{"id":"ITEM-1","itemData":{"DOI":"10.1080/00207543.2017.1367107","ISBN":"00207543 (ISSN)","ISSN":"1366588X","author":[{"dropping-particle":"","family":"Loon","given":"Patricia","non-dropping-particle":"van","parse-names":false,"suffix":""},{"dropping-particle":"","family":"Wassenhove","given":"Luk N.","non-dropping-particle":"Van","parse-names":false,"suffix":""}],"container-title":"International Journal of Production Research","id":"ITEM-1","issue":"September","issued":{"date-parts":[["2017"]]},"page":"1-13","publisher":"Taylor &amp; Francis","title":"Assessing the economic and environmental impact of remanufacturing: a decision support tool for OEM suppliers","type":"article-journal","volume":"7543"},"uris":["http://www.mendeley.com/documents/?uuid=2c942c08-fe59-4a93-bf64-a8ad18ddd7c6","http://www.mendeley.com/documents/?uuid=22d675ff-6256-4fc7-a9c6-75b762a1266f"]}],"mendeley":{"formattedCitation":"(van Loon and Van Wassenhove, 2017)","manualFormatting":"van Loon and Van Wassenhove (2017)","plainTextFormattedCitation":"(van Loon and Van Wassenhove, 2017)","previouslyFormattedCitation":"(van Loon and Van Wassenhove, 2017)"},"properties":{"noteIndex":0},"schema":"https://github.com/citation-style-language/schema/raw/master/csl-citation.json"}</w:instrText>
      </w:r>
      <w:r w:rsidR="000476AB" w:rsidRPr="009601F2">
        <w:rPr>
          <w:lang w:val="en-GB" w:bidi="en-US"/>
        </w:rPr>
        <w:fldChar w:fldCharType="separate"/>
      </w:r>
      <w:r w:rsidR="000476AB" w:rsidRPr="00402AEC">
        <w:rPr>
          <w:noProof/>
          <w:lang w:val="en-GB" w:bidi="en-US"/>
        </w:rPr>
        <w:t xml:space="preserve">van Loon and Van Wassenhove </w:t>
      </w:r>
      <w:r w:rsidR="00A60A35" w:rsidRPr="00402AEC">
        <w:rPr>
          <w:noProof/>
          <w:lang w:val="en-GB" w:bidi="en-US"/>
        </w:rPr>
        <w:t>(</w:t>
      </w:r>
      <w:r w:rsidR="000476AB" w:rsidRPr="00402AEC">
        <w:rPr>
          <w:noProof/>
          <w:lang w:val="en-GB" w:bidi="en-US"/>
        </w:rPr>
        <w:t>2017)</w:t>
      </w:r>
      <w:r w:rsidR="000476AB" w:rsidRPr="009601F2">
        <w:rPr>
          <w:lang w:val="en-GB" w:bidi="en-US"/>
        </w:rPr>
        <w:fldChar w:fldCharType="end"/>
      </w:r>
      <w:r w:rsidR="000476AB" w:rsidRPr="00402AEC">
        <w:rPr>
          <w:lang w:val="en-GB" w:bidi="en-US"/>
        </w:rPr>
        <w:t xml:space="preserve"> develop</w:t>
      </w:r>
      <w:r w:rsidR="008F72CA">
        <w:rPr>
          <w:lang w:val="en-GB" w:bidi="en-US"/>
        </w:rPr>
        <w:t>ed</w:t>
      </w:r>
      <w:r w:rsidR="000476AB" w:rsidRPr="00402AEC">
        <w:rPr>
          <w:lang w:val="en-GB" w:bidi="en-US"/>
        </w:rPr>
        <w:t xml:space="preserve"> a simple tool </w:t>
      </w:r>
      <w:r w:rsidR="00B05F3E">
        <w:rPr>
          <w:lang w:val="en-GB" w:bidi="en-US"/>
        </w:rPr>
        <w:t>for</w:t>
      </w:r>
      <w:r w:rsidR="000476AB" w:rsidRPr="00402AEC">
        <w:rPr>
          <w:lang w:val="en-GB" w:bidi="en-US"/>
        </w:rPr>
        <w:t xml:space="preserve"> </w:t>
      </w:r>
      <w:r w:rsidR="002C3FB4">
        <w:rPr>
          <w:lang w:val="en-GB" w:bidi="en-US"/>
        </w:rPr>
        <w:t>comparing</w:t>
      </w:r>
      <w:r w:rsidR="000476AB" w:rsidRPr="00402AEC">
        <w:rPr>
          <w:lang w:val="en-GB" w:bidi="en-US"/>
        </w:rPr>
        <w:t xml:space="preserve"> remanufacturing </w:t>
      </w:r>
      <w:r w:rsidR="00143FA9">
        <w:rPr>
          <w:lang w:val="en-GB" w:bidi="en-US"/>
        </w:rPr>
        <w:t>and</w:t>
      </w:r>
      <w:r w:rsidR="002C3FB4">
        <w:rPr>
          <w:lang w:val="en-GB" w:bidi="en-US"/>
        </w:rPr>
        <w:t xml:space="preserve"> </w:t>
      </w:r>
      <w:r w:rsidR="00CC3D9E">
        <w:rPr>
          <w:lang w:val="en-GB" w:bidi="en-US"/>
        </w:rPr>
        <w:t>production</w:t>
      </w:r>
      <w:r w:rsidR="000476AB" w:rsidRPr="00402AEC">
        <w:rPr>
          <w:lang w:val="en-GB" w:bidi="en-US"/>
        </w:rPr>
        <w:t xml:space="preserve"> </w:t>
      </w:r>
      <w:r w:rsidR="00143FA9">
        <w:rPr>
          <w:lang w:val="en-GB" w:bidi="en-US"/>
        </w:rPr>
        <w:t xml:space="preserve">in terms of </w:t>
      </w:r>
      <w:r w:rsidR="000476AB" w:rsidRPr="00402AEC">
        <w:rPr>
          <w:lang w:val="en-GB" w:bidi="en-US"/>
        </w:rPr>
        <w:t>economic and environmental attractive</w:t>
      </w:r>
      <w:r w:rsidR="00CC3D9E">
        <w:rPr>
          <w:lang w:val="en-GB" w:bidi="en-US"/>
        </w:rPr>
        <w:t>ness.</w:t>
      </w:r>
    </w:p>
    <w:p w14:paraId="742F1F76" w14:textId="26543F46" w:rsidR="00105A44" w:rsidRPr="00402AEC" w:rsidRDefault="00105A44" w:rsidP="00105A44">
      <w:pPr>
        <w:pStyle w:val="Didascalia"/>
        <w:spacing w:after="240" w:line="360" w:lineRule="auto"/>
        <w:jc w:val="center"/>
        <w:rPr>
          <w:b w:val="0"/>
          <w:sz w:val="24"/>
          <w:lang w:val="en-GB"/>
        </w:rPr>
      </w:pPr>
      <w:r w:rsidRPr="00402AEC">
        <w:rPr>
          <w:caps w:val="0"/>
          <w:sz w:val="24"/>
          <w:lang w:val="en-GB"/>
        </w:rPr>
        <w:t xml:space="preserve">Table </w:t>
      </w:r>
      <w:r w:rsidRPr="009601F2">
        <w:rPr>
          <w:sz w:val="24"/>
          <w:lang w:val="en-GB"/>
        </w:rPr>
        <w:fldChar w:fldCharType="begin"/>
      </w:r>
      <w:r w:rsidRPr="0024288F">
        <w:rPr>
          <w:sz w:val="24"/>
          <w:lang w:val="en-GB"/>
        </w:rPr>
        <w:instrText xml:space="preserve"> SEQ Table \* ARABIC </w:instrText>
      </w:r>
      <w:r w:rsidRPr="009601F2">
        <w:rPr>
          <w:sz w:val="24"/>
          <w:lang w:val="en-GB"/>
        </w:rPr>
        <w:fldChar w:fldCharType="separate"/>
      </w:r>
      <w:r w:rsidR="008F7F15">
        <w:rPr>
          <w:noProof/>
          <w:sz w:val="24"/>
          <w:lang w:val="en-GB"/>
        </w:rPr>
        <w:t>5</w:t>
      </w:r>
      <w:r w:rsidRPr="009601F2">
        <w:rPr>
          <w:sz w:val="24"/>
          <w:lang w:val="en-GB"/>
        </w:rPr>
        <w:fldChar w:fldCharType="end"/>
      </w:r>
      <w:r w:rsidRPr="00402AEC">
        <w:rPr>
          <w:caps w:val="0"/>
          <w:sz w:val="24"/>
          <w:lang w:val="en-GB"/>
        </w:rPr>
        <w:t>.</w:t>
      </w:r>
      <w:r w:rsidRPr="00402AEC">
        <w:rPr>
          <w:b w:val="0"/>
          <w:caps w:val="0"/>
          <w:sz w:val="24"/>
          <w:lang w:val="en-GB"/>
        </w:rPr>
        <w:t xml:space="preserve"> CBM decision-support tools</w:t>
      </w:r>
      <w:r w:rsidR="00DA3B22">
        <w:rPr>
          <w:b w:val="0"/>
          <w:caps w:val="0"/>
          <w:sz w:val="24"/>
          <w:lang w:val="en-GB"/>
        </w:rPr>
        <w:t xml:space="preserve"> classification</w:t>
      </w:r>
    </w:p>
    <w:tbl>
      <w:tblPr>
        <w:tblStyle w:val="Grigliatabella"/>
        <w:tblW w:w="5000" w:type="pct"/>
        <w:tblLook w:val="01E0" w:firstRow="1" w:lastRow="1" w:firstColumn="1" w:lastColumn="1" w:noHBand="0" w:noVBand="0"/>
      </w:tblPr>
      <w:tblGrid>
        <w:gridCol w:w="3346"/>
        <w:gridCol w:w="1630"/>
        <w:gridCol w:w="1427"/>
        <w:gridCol w:w="1430"/>
        <w:gridCol w:w="1789"/>
      </w:tblGrid>
      <w:tr w:rsidR="00F60387" w:rsidRPr="0037718C" w14:paraId="3868EB4E" w14:textId="77777777" w:rsidTr="008D1FC6">
        <w:tc>
          <w:tcPr>
            <w:tcW w:w="1739" w:type="pct"/>
            <w:vMerge w:val="restart"/>
          </w:tcPr>
          <w:p w14:paraId="6C14363A" w14:textId="77777777" w:rsidR="00E46A7F" w:rsidRPr="00402AEC" w:rsidRDefault="00E46A7F" w:rsidP="00D62E44">
            <w:pPr>
              <w:rPr>
                <w:b/>
                <w:lang w:val="en-GB"/>
              </w:rPr>
            </w:pPr>
            <w:r w:rsidRPr="00402AEC">
              <w:rPr>
                <w:b/>
                <w:lang w:val="en-GB"/>
              </w:rPr>
              <w:t>Author</w:t>
            </w:r>
          </w:p>
        </w:tc>
        <w:tc>
          <w:tcPr>
            <w:tcW w:w="3261" w:type="pct"/>
            <w:gridSpan w:val="4"/>
          </w:tcPr>
          <w:p w14:paraId="5E713772" w14:textId="460EF1A3" w:rsidR="00E46A7F" w:rsidRPr="00402AEC" w:rsidRDefault="00E46A7F" w:rsidP="00D62E44">
            <w:pPr>
              <w:jc w:val="center"/>
              <w:rPr>
                <w:b/>
                <w:lang w:val="en-GB"/>
              </w:rPr>
            </w:pPr>
            <w:r w:rsidRPr="00402AEC">
              <w:rPr>
                <w:b/>
                <w:lang w:val="en-GB"/>
              </w:rPr>
              <w:t>CBM decision-support tools</w:t>
            </w:r>
            <w:r w:rsidR="00DA3B22">
              <w:rPr>
                <w:b/>
                <w:lang w:val="en-GB"/>
              </w:rPr>
              <w:t xml:space="preserve"> classification</w:t>
            </w:r>
          </w:p>
        </w:tc>
      </w:tr>
      <w:tr w:rsidR="00F60387" w:rsidRPr="00402AEC" w14:paraId="274E3AC2" w14:textId="77777777" w:rsidTr="008D1FC6">
        <w:tc>
          <w:tcPr>
            <w:tcW w:w="1739" w:type="pct"/>
            <w:vMerge/>
          </w:tcPr>
          <w:p w14:paraId="2C17CF7A" w14:textId="77777777" w:rsidR="00E46A7F" w:rsidRPr="00402AEC" w:rsidRDefault="00E46A7F" w:rsidP="00D62E44">
            <w:pPr>
              <w:rPr>
                <w:b/>
                <w:lang w:val="en-GB"/>
              </w:rPr>
            </w:pPr>
          </w:p>
        </w:tc>
        <w:tc>
          <w:tcPr>
            <w:tcW w:w="847" w:type="pct"/>
          </w:tcPr>
          <w:p w14:paraId="287F4161" w14:textId="48782B11" w:rsidR="00E46A7F" w:rsidRPr="00402AEC" w:rsidRDefault="00D478EA" w:rsidP="00D62E44">
            <w:pPr>
              <w:jc w:val="center"/>
              <w:rPr>
                <w:b/>
                <w:lang w:val="en-GB"/>
              </w:rPr>
            </w:pPr>
            <w:r w:rsidRPr="00402AEC">
              <w:rPr>
                <w:b/>
                <w:lang w:val="en-GB"/>
              </w:rPr>
              <w:t xml:space="preserve">Sustainability </w:t>
            </w:r>
            <w:r w:rsidR="00535D7E" w:rsidRPr="00402AEC">
              <w:rPr>
                <w:b/>
                <w:lang w:val="en-GB"/>
              </w:rPr>
              <w:t>check</w:t>
            </w:r>
          </w:p>
        </w:tc>
        <w:tc>
          <w:tcPr>
            <w:tcW w:w="742" w:type="pct"/>
          </w:tcPr>
          <w:p w14:paraId="34FBF9B6" w14:textId="625D7C03" w:rsidR="00E46A7F" w:rsidRPr="00402AEC" w:rsidRDefault="00714CAB" w:rsidP="00D62E44">
            <w:pPr>
              <w:jc w:val="center"/>
              <w:rPr>
                <w:b/>
                <w:lang w:val="en-GB"/>
              </w:rPr>
            </w:pPr>
            <w:r w:rsidRPr="00402AEC">
              <w:rPr>
                <w:b/>
                <w:lang w:val="en-GB"/>
              </w:rPr>
              <w:t>Problem-solving</w:t>
            </w:r>
          </w:p>
        </w:tc>
        <w:tc>
          <w:tcPr>
            <w:tcW w:w="743" w:type="pct"/>
          </w:tcPr>
          <w:p w14:paraId="41A77BEE" w14:textId="17F38CA6" w:rsidR="00E46A7F" w:rsidRPr="00402AEC" w:rsidRDefault="003555FE" w:rsidP="00D62E44">
            <w:pPr>
              <w:jc w:val="center"/>
              <w:rPr>
                <w:b/>
                <w:lang w:val="en-GB"/>
              </w:rPr>
            </w:pPr>
            <w:r>
              <w:rPr>
                <w:b/>
                <w:lang w:val="en-GB"/>
              </w:rPr>
              <w:t>Scenario analysis</w:t>
            </w:r>
          </w:p>
        </w:tc>
        <w:tc>
          <w:tcPr>
            <w:tcW w:w="930" w:type="pct"/>
          </w:tcPr>
          <w:p w14:paraId="514A37DF" w14:textId="297DB43D" w:rsidR="00E46A7F" w:rsidRPr="00402AEC" w:rsidRDefault="008774A8" w:rsidP="00D62E44">
            <w:pPr>
              <w:jc w:val="center"/>
              <w:rPr>
                <w:b/>
                <w:lang w:val="en-GB"/>
              </w:rPr>
            </w:pPr>
            <w:r w:rsidRPr="00402AEC">
              <w:rPr>
                <w:b/>
                <w:lang w:val="en-GB"/>
              </w:rPr>
              <w:t>Linear/circular</w:t>
            </w:r>
            <w:r w:rsidR="00F60387" w:rsidRPr="00402AEC">
              <w:rPr>
                <w:b/>
                <w:lang w:val="en-GB"/>
              </w:rPr>
              <w:t xml:space="preserve"> c</w:t>
            </w:r>
            <w:r w:rsidR="006E5B7F" w:rsidRPr="00402AEC">
              <w:rPr>
                <w:b/>
                <w:lang w:val="en-GB"/>
              </w:rPr>
              <w:t>ompar</w:t>
            </w:r>
            <w:r w:rsidR="00F60387" w:rsidRPr="00402AEC">
              <w:rPr>
                <w:b/>
                <w:lang w:val="en-GB"/>
              </w:rPr>
              <w:t>ison</w:t>
            </w:r>
          </w:p>
        </w:tc>
      </w:tr>
      <w:tr w:rsidR="00F60387" w:rsidRPr="00402AEC" w14:paraId="4C63AA3C" w14:textId="77777777" w:rsidTr="008D1FC6">
        <w:tc>
          <w:tcPr>
            <w:tcW w:w="1739" w:type="pct"/>
          </w:tcPr>
          <w:p w14:paraId="7F30E8A8" w14:textId="1420A887" w:rsidR="00E46A7F" w:rsidRPr="00C03A6B" w:rsidRDefault="00CE301C" w:rsidP="00D62E44">
            <w:pPr>
              <w:rPr>
                <w:sz w:val="20"/>
                <w:szCs w:val="20"/>
                <w:highlight w:val="yellow"/>
                <w:lang w:val="en-GB"/>
              </w:rPr>
            </w:pPr>
            <w:r w:rsidRPr="00252DF0">
              <w:rPr>
                <w:sz w:val="20"/>
                <w:szCs w:val="20"/>
                <w:lang w:val="en-GB" w:bidi="en-US"/>
              </w:rPr>
              <w:t>(</w:t>
            </w:r>
            <w:r w:rsidR="00535D7E" w:rsidRPr="00746DB3">
              <w:rPr>
                <w:sz w:val="20"/>
                <w:szCs w:val="20"/>
                <w:lang w:val="en-GB" w:bidi="en-US"/>
              </w:rPr>
              <w:fldChar w:fldCharType="begin" w:fldLock="1"/>
            </w:r>
            <w:r w:rsidR="00BF2F60">
              <w:rPr>
                <w:sz w:val="20"/>
                <w:szCs w:val="20"/>
                <w:lang w:val="en-GB" w:bidi="en-US"/>
              </w:rPr>
              <w:instrText>ADDIN CSL_CITATION {"citationItems":[{"id":"ITEM-1","itemData":{"DOI":"10.1108/CG-06-2013-0078","ISBN":"14720701","ISSN":"1472-0701","PMID":"1439476457","abstract":"Purpose: Although business models that deliver sustainability are increasingly popular in the literature, few tools that assist in sustainable business modelling have been identified. This paper investigates how businesses might create balanced social, environmental and economic value through integrating sustainability more fully into the core of their business. A value mapping tool is developed to help firms create value propositions better suited for sustainability. Design/Methodology: In addition to a literature review, six sustainable companies were interviewed to understand their approaches to business modelling, using a case study approach. Building on the literature and practice, a tool was developed which was pilot tested through use in a workshop. The resulting improved tool and process was subsequently refined through use in 13 workshops. Findings: A novel value mapping tool was developed to support sustainable business modelling, which introduces three forms of value (value captured; missed/ destroyed or wasted; and opportunity) and four major stakeholder groups (environment, society, customer, and network actors). Practical implications: This tool intends to support business modelling for sustainability by assisting firms in better understanding their overall value proposition, both positive and negative, for all relevant stakeholders in the value network. Originality/ value: The tool adopts a multiple stakeholder view of value, a network rather than firm centric perspective, and introduces a novel way of conceptualising value that specifically introduces value destroyed or wasted/ missed, in addition to the current value proposition and new opportunities for value creation.","author":[{"dropping-particle":"","family":"Bocken","given":"Nancy M.P.","non-dropping-particle":"","parse-names":false,"suffix":""},{"dropping-particle":"","family":"Short","given":"Samuel W.","non-dropping-particle":"","parse-names":false,"suffix":""},{"dropping-particle":"","family":"Rana","given":"Padmakshi","non-dropping-particle":"","parse-names":false,"suffix":""},{"dropping-particle":"","family":"Evans","given":"Steve","non-dropping-particle":"","parse-names":false,"suffix":""}],"container-title":"Corporate Governance","id":"ITEM-1","issue":"5","issued":{"date-parts":[["2013"]]},"page":"482-497","title":"A value mapping tool for sustainable business modelling","type":"article-journal","volume":"13"},"uris":["http://www.mendeley.com/documents/?uuid=1fa09b70-d4a1-42d4-8d50-04c07c9fd4bb","http://www.mendeley.com/documents/?uuid=aa185ed9-eaed-4682-aa7c-88217f8c730f"]}],"mendeley":{"formattedCitation":"(Bocken et al., 2013)","manualFormatting":"Bocken et al. 2013)","plainTextFormattedCitation":"(Bocken et al., 2013)","previouslyFormattedCitation":"(Bocken et al., 2013)"},"properties":{"noteIndex":0},"schema":"https://github.com/citation-style-language/schema/raw/master/csl-citation.json"}</w:instrText>
            </w:r>
            <w:r w:rsidR="00535D7E" w:rsidRPr="00746DB3">
              <w:rPr>
                <w:sz w:val="20"/>
                <w:szCs w:val="20"/>
                <w:lang w:val="en-GB" w:bidi="en-US"/>
              </w:rPr>
              <w:fldChar w:fldCharType="separate"/>
            </w:r>
            <w:r w:rsidR="00535D7E" w:rsidRPr="00746DB3">
              <w:rPr>
                <w:noProof/>
                <w:sz w:val="20"/>
                <w:szCs w:val="20"/>
                <w:lang w:val="en-GB" w:bidi="en-US"/>
              </w:rPr>
              <w:t>Bocken et al. 2013)</w:t>
            </w:r>
            <w:r w:rsidR="00535D7E" w:rsidRPr="00746DB3">
              <w:rPr>
                <w:sz w:val="20"/>
                <w:szCs w:val="20"/>
                <w:lang w:val="en-GB" w:bidi="en-US"/>
              </w:rPr>
              <w:fldChar w:fldCharType="end"/>
            </w:r>
          </w:p>
        </w:tc>
        <w:tc>
          <w:tcPr>
            <w:tcW w:w="847" w:type="pct"/>
          </w:tcPr>
          <w:p w14:paraId="125A807A" w14:textId="376B6897" w:rsidR="00E46A7F" w:rsidRPr="00746DB3" w:rsidRDefault="00714CAB" w:rsidP="00D62E44">
            <w:pPr>
              <w:jc w:val="center"/>
              <w:rPr>
                <w:sz w:val="20"/>
                <w:szCs w:val="20"/>
                <w:lang w:val="en-GB"/>
              </w:rPr>
            </w:pPr>
            <w:r w:rsidRPr="00746DB3">
              <w:rPr>
                <w:sz w:val="20"/>
                <w:szCs w:val="20"/>
                <w:lang w:val="en-GB"/>
              </w:rPr>
              <w:t>x</w:t>
            </w:r>
          </w:p>
        </w:tc>
        <w:tc>
          <w:tcPr>
            <w:tcW w:w="742" w:type="pct"/>
          </w:tcPr>
          <w:p w14:paraId="34FF7D25" w14:textId="77777777" w:rsidR="00E46A7F" w:rsidRPr="00746DB3" w:rsidRDefault="00E46A7F" w:rsidP="00D62E44">
            <w:pPr>
              <w:jc w:val="center"/>
              <w:rPr>
                <w:sz w:val="20"/>
                <w:szCs w:val="20"/>
                <w:lang w:val="en-GB"/>
              </w:rPr>
            </w:pPr>
          </w:p>
        </w:tc>
        <w:tc>
          <w:tcPr>
            <w:tcW w:w="743" w:type="pct"/>
          </w:tcPr>
          <w:p w14:paraId="4870D074" w14:textId="77777777" w:rsidR="00E46A7F" w:rsidRPr="00746DB3" w:rsidRDefault="00E46A7F" w:rsidP="00D62E44">
            <w:pPr>
              <w:jc w:val="center"/>
              <w:rPr>
                <w:sz w:val="20"/>
                <w:szCs w:val="20"/>
                <w:lang w:val="en-GB"/>
              </w:rPr>
            </w:pPr>
          </w:p>
        </w:tc>
        <w:tc>
          <w:tcPr>
            <w:tcW w:w="930" w:type="pct"/>
          </w:tcPr>
          <w:p w14:paraId="2AF9CE14" w14:textId="20121A55" w:rsidR="00E46A7F" w:rsidRPr="00746DB3" w:rsidRDefault="00E46A7F" w:rsidP="00D62E44">
            <w:pPr>
              <w:jc w:val="center"/>
              <w:rPr>
                <w:sz w:val="20"/>
                <w:szCs w:val="20"/>
                <w:lang w:val="en-GB"/>
              </w:rPr>
            </w:pPr>
          </w:p>
        </w:tc>
      </w:tr>
      <w:tr w:rsidR="00CE301C" w:rsidRPr="00402AEC" w14:paraId="5C9D0795" w14:textId="77777777" w:rsidTr="008D1FC6">
        <w:tc>
          <w:tcPr>
            <w:tcW w:w="1739" w:type="pct"/>
          </w:tcPr>
          <w:p w14:paraId="268698E3" w14:textId="248FD90B" w:rsidR="00E46A7F" w:rsidRPr="00C03A6B" w:rsidRDefault="00CE301C" w:rsidP="00D62E44">
            <w:pPr>
              <w:rPr>
                <w:sz w:val="20"/>
                <w:szCs w:val="20"/>
                <w:highlight w:val="yellow"/>
                <w:lang w:val="en-GB"/>
              </w:rPr>
            </w:pPr>
            <w:r w:rsidRPr="00252DF0">
              <w:rPr>
                <w:sz w:val="20"/>
                <w:szCs w:val="20"/>
                <w:lang w:val="en-GB" w:bidi="en-US"/>
              </w:rPr>
              <w:t>(</w:t>
            </w:r>
            <w:r w:rsidR="00381B36" w:rsidRPr="00746DB3">
              <w:rPr>
                <w:sz w:val="20"/>
                <w:szCs w:val="20"/>
                <w:lang w:val="en-GB" w:bidi="en-US"/>
              </w:rPr>
              <w:fldChar w:fldCharType="begin" w:fldLock="1"/>
            </w:r>
            <w:r w:rsidR="003445CC">
              <w:rPr>
                <w:sz w:val="20"/>
                <w:szCs w:val="20"/>
                <w:lang w:val="en-GB" w:bidi="en-US"/>
              </w:rPr>
              <w:instrText>ADDIN CSL_CITATION {"citationItems":[{"id":"ITEM-1","itemData":{"DOI":"10.1016/j.jclepro.2015.10.121","ISSN":"09596526","abstract":"The purpose of this paper is to give a comprehensive and cohesive description of the most recent version of the Framework for Strategic Sustainable Development (FSSD), and also to describe and discuss the overall method for developing the FSSD, elaborate on the general rational for and general benefits of a framework of this type, and validate benefits of the FSSD through examples of its application. The purpose is also to point to pertinent future work. In preparation of this paper, we have reviewed previous publications and other documents related to the FSSD and reflected on the 25-year learning process between scientists and practitioners. We conclude that the FSSD has proven to aid organizations in thoroughly understanding and putting themselves in context of the global sustainability challenge, and to move themselves strategically towards sustainability, i.e., to stepwise reduce their negative impacts on ecological and social systems at large while strengthening the own organization through capturing of innovation opportunities, including new business models, exploration of new markets and winning of new market shares, and through reduced risks and operation costs. Specifically, we conclude that the FSSD aids more effective management of system boundaries and trade-offs, makes it possible to model and assess sustainable potentials for various materials and practices before investments are made, and offers the possibility for more effective collaboration across disciplines and sectors, regions, value-chains and stakeholder groups. We also conclude that the FSSD makes it possible to prevent damages, even from yet unknown problems, and not the least, to guide selection, development and combination of supplementary methods, tools, and other forms of support, which makes it possible to increase their utility for strategic sustainable development. Finally, we have shown that the FSSD is useful for structuring transdisciplinary academic education and research. Several examples of ongoing FSSD related research, as well as ideas for future work, are given.","author":[{"dropping-particle":"","family":"Broman","given":"Göran Ingvar","non-dropping-particle":"","parse-names":false,"suffix":""},{"dropping-particle":"","family":"Robèrt","given":"Karl Henrik","non-dropping-particle":"","parse-names":false,"suffix":""}],"container-title":"Journal of Cleaner Production","id":"ITEM-1","issued":{"date-parts":[["2017"]]},"page":"17-31","title":"A framework for strategic sustainable development","type":"article-journal","volume":"140"},"uris":["http://www.mendeley.com/documents/?uuid=94a20f74-7732-4bca-94c1-86b4315a8915"]}],"mendeley":{"formattedCitation":"(Broman and Robèrt, 2017)","manualFormatting":"Broman and Robèrt 2017)","plainTextFormattedCitation":"(Broman and Robèrt, 2017)","previouslyFormattedCitation":"(Broman and Robèrt, 2017)"},"properties":{"noteIndex":0},"schema":"https://github.com/citation-style-language/schema/raw/master/csl-citation.json"}</w:instrText>
            </w:r>
            <w:r w:rsidR="00381B36" w:rsidRPr="00746DB3">
              <w:rPr>
                <w:sz w:val="20"/>
                <w:szCs w:val="20"/>
                <w:lang w:val="en-GB" w:bidi="en-US"/>
              </w:rPr>
              <w:fldChar w:fldCharType="separate"/>
            </w:r>
            <w:r w:rsidR="00381B36" w:rsidRPr="00746DB3">
              <w:rPr>
                <w:noProof/>
                <w:sz w:val="20"/>
                <w:szCs w:val="20"/>
                <w:lang w:val="en-GB" w:bidi="en-US"/>
              </w:rPr>
              <w:t>Broman and Robèrt 2017)</w:t>
            </w:r>
            <w:r w:rsidR="00381B36" w:rsidRPr="00746DB3">
              <w:rPr>
                <w:sz w:val="20"/>
                <w:szCs w:val="20"/>
                <w:lang w:val="en-GB" w:bidi="en-US"/>
              </w:rPr>
              <w:fldChar w:fldCharType="end"/>
            </w:r>
          </w:p>
        </w:tc>
        <w:tc>
          <w:tcPr>
            <w:tcW w:w="847" w:type="pct"/>
          </w:tcPr>
          <w:p w14:paraId="14A4152F" w14:textId="2E98391B" w:rsidR="00E46A7F" w:rsidRPr="00746DB3" w:rsidRDefault="00714CAB" w:rsidP="00D62E44">
            <w:pPr>
              <w:jc w:val="center"/>
              <w:rPr>
                <w:sz w:val="20"/>
                <w:szCs w:val="20"/>
                <w:lang w:val="en-GB"/>
              </w:rPr>
            </w:pPr>
            <w:r w:rsidRPr="00746DB3">
              <w:rPr>
                <w:sz w:val="20"/>
                <w:szCs w:val="20"/>
                <w:lang w:val="en-GB"/>
              </w:rPr>
              <w:t>x</w:t>
            </w:r>
          </w:p>
        </w:tc>
        <w:tc>
          <w:tcPr>
            <w:tcW w:w="742" w:type="pct"/>
          </w:tcPr>
          <w:p w14:paraId="75CD61F2" w14:textId="77777777" w:rsidR="00E46A7F" w:rsidRPr="00746DB3" w:rsidRDefault="00E46A7F" w:rsidP="00D62E44">
            <w:pPr>
              <w:jc w:val="center"/>
              <w:rPr>
                <w:sz w:val="20"/>
                <w:szCs w:val="20"/>
                <w:lang w:val="en-GB"/>
              </w:rPr>
            </w:pPr>
          </w:p>
        </w:tc>
        <w:tc>
          <w:tcPr>
            <w:tcW w:w="743" w:type="pct"/>
          </w:tcPr>
          <w:p w14:paraId="633371C1" w14:textId="77777777" w:rsidR="00E46A7F" w:rsidRPr="00746DB3" w:rsidRDefault="00E46A7F" w:rsidP="00D62E44">
            <w:pPr>
              <w:jc w:val="center"/>
              <w:rPr>
                <w:sz w:val="20"/>
                <w:szCs w:val="20"/>
                <w:lang w:val="en-GB"/>
              </w:rPr>
            </w:pPr>
          </w:p>
        </w:tc>
        <w:tc>
          <w:tcPr>
            <w:tcW w:w="930" w:type="pct"/>
          </w:tcPr>
          <w:p w14:paraId="479FE83B" w14:textId="599169AB" w:rsidR="00E46A7F" w:rsidRPr="00746DB3" w:rsidRDefault="00E46A7F" w:rsidP="00D62E44">
            <w:pPr>
              <w:jc w:val="center"/>
              <w:rPr>
                <w:sz w:val="20"/>
                <w:szCs w:val="20"/>
                <w:lang w:val="en-GB"/>
              </w:rPr>
            </w:pPr>
          </w:p>
        </w:tc>
      </w:tr>
      <w:tr w:rsidR="00CE301C" w:rsidRPr="00402AEC" w14:paraId="5F8F5D53" w14:textId="77777777" w:rsidTr="008D1FC6">
        <w:tc>
          <w:tcPr>
            <w:tcW w:w="1739" w:type="pct"/>
          </w:tcPr>
          <w:p w14:paraId="0F38CB67" w14:textId="2EEA5185" w:rsidR="00E46A7F" w:rsidRPr="00C03A6B" w:rsidRDefault="00CE301C" w:rsidP="00D62E44">
            <w:pPr>
              <w:rPr>
                <w:sz w:val="20"/>
                <w:szCs w:val="20"/>
                <w:highlight w:val="yellow"/>
                <w:lang w:val="en-GB"/>
              </w:rPr>
            </w:pPr>
            <w:r w:rsidRPr="00252DF0">
              <w:rPr>
                <w:sz w:val="20"/>
                <w:szCs w:val="20"/>
                <w:lang w:val="en-GB" w:bidi="en-US"/>
              </w:rPr>
              <w:t>(</w:t>
            </w:r>
            <w:r w:rsidR="00095977" w:rsidRPr="00746DB3">
              <w:rPr>
                <w:sz w:val="20"/>
                <w:szCs w:val="20"/>
                <w:lang w:val="en-GB" w:bidi="en-US"/>
              </w:rPr>
              <w:fldChar w:fldCharType="begin" w:fldLock="1"/>
            </w:r>
            <w:r w:rsidR="003445CC">
              <w:rPr>
                <w:sz w:val="20"/>
                <w:szCs w:val="20"/>
                <w:lang w:val="en-GB" w:bidi="en-US"/>
              </w:rPr>
              <w:instrText>ADDIN CSL_CITATION {"citationItems":[{"id":"ITEM-1","itemData":{"DOI":"10.1016/j.jclepro.2017.02.115","ISBN":"09596526 (ISSN)","ISSN":"09596526","abstract":"Traditional linear production mode “take-make-dispose” has brought about increasing resource scarcity, great environmental cost and endangered human health. To address the problem, the concept of circular economy has been introduced and accepted as a solution. In a circular economy, end-of-life (EOL) products can be introduced into multiple life cycles, which maximize the utility and value of components and materials. The economic viability of value recovery from an EOL product is greatly affected by the plan and technologies used for dismantling that product. This paper presents an approach to find a profitable EOL strategy, which includes a method for generating a dismantling transition matrix and making decisions on the best dismantling sequence, level, and EOL options for components/parts. A preservative disassembly transition matrix is a description of possible ways to disassemble a product into individual parts without any damage. A guideline is created to include destructive and automated operations in order to expand a preservative disassembly matrix into a dismantling transition matrix, because dismantling EOL products might produce more profit than pure preservative disassembly. Based on the dismantling transition matrix, binary integer programming is used to formulate EOL product value recovery while considering possible options for components/subassemblies as well as the transition cost between dismantling operations, tools costs, and recycling regulations or goals. A hard disk drive (HDD) is used as a case study to demonstrate the approach.","author":[{"dropping-particle":"","family":"Cong","given":"Liang","non-dropping-particle":"","parse-names":false,"suffix":""},{"dropping-particle":"","family":"Zhao","given":"Fu","non-dropping-particle":"","parse-names":false,"suffix":""},{"dropping-particle":"","family":"Sutherland","given":"John W.","non-dropping-particle":"","parse-names":false,"suffix":""}],"container-title":"Journal of Cleaner Production","id":"ITEM-1","issued":{"date-parts":[["2017"]]},"page":"378-386","publisher":"Elsevier Ltd","title":"Integration of dismantling operations into a value recovery plan for circular economy","type":"article-journal","volume":"149"},"uris":["http://www.mendeley.com/documents/?uuid=9f97235f-ddd1-4cb5-9674-7006ea656c69"]}],"mendeley":{"formattedCitation":"(Cong et al., 2017)","manualFormatting":"Cong et al. 2017)","plainTextFormattedCitation":"(Cong et al., 2017)","previouslyFormattedCitation":"(Cong et al., 2017)"},"properties":{"noteIndex":0},"schema":"https://github.com/citation-style-language/schema/raw/master/csl-citation.json"}</w:instrText>
            </w:r>
            <w:r w:rsidR="00095977" w:rsidRPr="00746DB3">
              <w:rPr>
                <w:sz w:val="20"/>
                <w:szCs w:val="20"/>
                <w:lang w:val="en-GB" w:bidi="en-US"/>
              </w:rPr>
              <w:fldChar w:fldCharType="separate"/>
            </w:r>
            <w:r w:rsidR="00095977" w:rsidRPr="00746DB3">
              <w:rPr>
                <w:noProof/>
                <w:sz w:val="20"/>
                <w:szCs w:val="20"/>
                <w:lang w:val="en-GB" w:bidi="en-US"/>
              </w:rPr>
              <w:t>Cong et al. 2017)</w:t>
            </w:r>
            <w:r w:rsidR="00095977" w:rsidRPr="00746DB3">
              <w:rPr>
                <w:sz w:val="20"/>
                <w:szCs w:val="20"/>
                <w:lang w:val="en-GB" w:bidi="en-US"/>
              </w:rPr>
              <w:fldChar w:fldCharType="end"/>
            </w:r>
          </w:p>
        </w:tc>
        <w:tc>
          <w:tcPr>
            <w:tcW w:w="847" w:type="pct"/>
          </w:tcPr>
          <w:p w14:paraId="10DFF3F4" w14:textId="20D388E4" w:rsidR="00E46A7F" w:rsidRPr="00746DB3" w:rsidRDefault="00714CAB" w:rsidP="00D62E44">
            <w:pPr>
              <w:jc w:val="center"/>
              <w:rPr>
                <w:sz w:val="20"/>
                <w:szCs w:val="20"/>
                <w:lang w:val="en-GB"/>
              </w:rPr>
            </w:pPr>
            <w:r w:rsidRPr="00746DB3">
              <w:rPr>
                <w:sz w:val="20"/>
                <w:szCs w:val="20"/>
                <w:lang w:val="en-GB"/>
              </w:rPr>
              <w:t>x</w:t>
            </w:r>
          </w:p>
        </w:tc>
        <w:tc>
          <w:tcPr>
            <w:tcW w:w="742" w:type="pct"/>
          </w:tcPr>
          <w:p w14:paraId="7A9EA0B1" w14:textId="77777777" w:rsidR="00E46A7F" w:rsidRPr="00746DB3" w:rsidRDefault="00E46A7F" w:rsidP="00D62E44">
            <w:pPr>
              <w:jc w:val="center"/>
              <w:rPr>
                <w:sz w:val="20"/>
                <w:szCs w:val="20"/>
                <w:lang w:val="en-GB"/>
              </w:rPr>
            </w:pPr>
          </w:p>
        </w:tc>
        <w:tc>
          <w:tcPr>
            <w:tcW w:w="743" w:type="pct"/>
          </w:tcPr>
          <w:p w14:paraId="3287AA53" w14:textId="77777777" w:rsidR="00E46A7F" w:rsidRPr="00746DB3" w:rsidRDefault="00E46A7F" w:rsidP="00D62E44">
            <w:pPr>
              <w:jc w:val="center"/>
              <w:rPr>
                <w:sz w:val="20"/>
                <w:szCs w:val="20"/>
                <w:lang w:val="en-GB"/>
              </w:rPr>
            </w:pPr>
          </w:p>
        </w:tc>
        <w:tc>
          <w:tcPr>
            <w:tcW w:w="930" w:type="pct"/>
          </w:tcPr>
          <w:p w14:paraId="199E0E18" w14:textId="4020A2B4" w:rsidR="00E46A7F" w:rsidRPr="00746DB3" w:rsidRDefault="00E46A7F" w:rsidP="00D62E44">
            <w:pPr>
              <w:jc w:val="center"/>
              <w:rPr>
                <w:sz w:val="20"/>
                <w:szCs w:val="20"/>
                <w:lang w:val="en-GB"/>
              </w:rPr>
            </w:pPr>
          </w:p>
        </w:tc>
      </w:tr>
      <w:tr w:rsidR="00CE301C" w:rsidRPr="00402AEC" w14:paraId="0A97DEFC" w14:textId="77777777" w:rsidTr="008D1FC6">
        <w:tc>
          <w:tcPr>
            <w:tcW w:w="1739" w:type="pct"/>
          </w:tcPr>
          <w:p w14:paraId="19FC123F" w14:textId="01C4F898" w:rsidR="00E46A7F" w:rsidRPr="00C03A6B" w:rsidRDefault="00CE301C" w:rsidP="00D62E44">
            <w:pPr>
              <w:rPr>
                <w:sz w:val="20"/>
                <w:szCs w:val="20"/>
                <w:highlight w:val="yellow"/>
                <w:lang w:val="en-GB"/>
              </w:rPr>
            </w:pPr>
            <w:r w:rsidRPr="00252DF0">
              <w:rPr>
                <w:sz w:val="20"/>
                <w:szCs w:val="20"/>
                <w:lang w:val="en-GB" w:bidi="en-US"/>
              </w:rPr>
              <w:t>(</w:t>
            </w:r>
            <w:r w:rsidR="00095977" w:rsidRPr="00746DB3">
              <w:rPr>
                <w:sz w:val="20"/>
                <w:szCs w:val="20"/>
                <w:lang w:val="en-GB" w:bidi="en-US"/>
              </w:rPr>
              <w:fldChar w:fldCharType="begin" w:fldLock="1"/>
            </w:r>
            <w:r w:rsidR="003445CC">
              <w:rPr>
                <w:sz w:val="20"/>
                <w:szCs w:val="20"/>
                <w:lang w:val="en-GB" w:bidi="en-US"/>
              </w:rPr>
              <w:instrText>ADDIN CSL_CITATION {"citationItems":[{"id":"ITEM-1","itemData":{"DOI":"10.1515/cks-2015-0009","ISSN":"1338-5283","abstract":"&lt;p&gt;is to partially describe underpinning economics for the circular economy. A circular economy (closed-loop system) is an advancement from the linear economy (open-loop system) which behaves according to the hierarchy of 6R, preferring reuse, remanufacture or recycle solutions insead of disposal (known also as a „linear dead-end“).&lt;/p&gt;","author":[{"dropping-particle":"","family":"Dolinsky","given":"Martin","non-dropping-particle":"","parse-names":false,"suffix":""},{"dropping-particle":"","family":"Maier","given":"Stephan","non-dropping-particle":"","parse-names":false,"suffix":""}],"container-title":"Creative and Knowledge Society","id":"ITEM-1","issue":"2","issued":{"date-parts":[["2015"]]},"page":"1-10","title":"Market-based Approach in Shift from Linear Economy Towards Circular Economy Supported by Game Theory Analysis","type":"article-journal","volume":"5"},"uris":["http://www.mendeley.com/documents/?uuid=cebf0799-a036-48b2-8f59-ad91b3e85544"]}],"mendeley":{"formattedCitation":"(Dolinsky and Maier, 2015)","manualFormatting":"Dolinsky and Maier 2015)","plainTextFormattedCitation":"(Dolinsky and Maier, 2015)","previouslyFormattedCitation":"(Dolinsky and Maier, 2015)"},"properties":{"noteIndex":0},"schema":"https://github.com/citation-style-language/schema/raw/master/csl-citation.json"}</w:instrText>
            </w:r>
            <w:r w:rsidR="00095977" w:rsidRPr="00746DB3">
              <w:rPr>
                <w:sz w:val="20"/>
                <w:szCs w:val="20"/>
                <w:lang w:val="en-GB" w:bidi="en-US"/>
              </w:rPr>
              <w:fldChar w:fldCharType="separate"/>
            </w:r>
            <w:r w:rsidR="00095977" w:rsidRPr="00746DB3">
              <w:rPr>
                <w:noProof/>
                <w:sz w:val="20"/>
                <w:szCs w:val="20"/>
                <w:lang w:val="en-GB" w:bidi="en-US"/>
              </w:rPr>
              <w:t>Dolinsky and Maier 2015)</w:t>
            </w:r>
            <w:r w:rsidR="00095977" w:rsidRPr="00746DB3">
              <w:rPr>
                <w:sz w:val="20"/>
                <w:szCs w:val="20"/>
                <w:lang w:val="en-GB" w:bidi="en-US"/>
              </w:rPr>
              <w:fldChar w:fldCharType="end"/>
            </w:r>
          </w:p>
        </w:tc>
        <w:tc>
          <w:tcPr>
            <w:tcW w:w="847" w:type="pct"/>
          </w:tcPr>
          <w:p w14:paraId="7654AD3C" w14:textId="6E3762A0" w:rsidR="00E46A7F" w:rsidRPr="00746DB3" w:rsidRDefault="00714CAB" w:rsidP="00D62E44">
            <w:pPr>
              <w:jc w:val="center"/>
              <w:rPr>
                <w:sz w:val="20"/>
                <w:szCs w:val="20"/>
                <w:lang w:val="en-GB"/>
              </w:rPr>
            </w:pPr>
            <w:r w:rsidRPr="00746DB3">
              <w:rPr>
                <w:sz w:val="20"/>
                <w:szCs w:val="20"/>
                <w:lang w:val="en-GB"/>
              </w:rPr>
              <w:t>x</w:t>
            </w:r>
          </w:p>
        </w:tc>
        <w:tc>
          <w:tcPr>
            <w:tcW w:w="742" w:type="pct"/>
          </w:tcPr>
          <w:p w14:paraId="2986D966" w14:textId="77777777" w:rsidR="00E46A7F" w:rsidRPr="00746DB3" w:rsidRDefault="00E46A7F" w:rsidP="00D62E44">
            <w:pPr>
              <w:jc w:val="center"/>
              <w:rPr>
                <w:sz w:val="20"/>
                <w:szCs w:val="20"/>
                <w:lang w:val="en-GB"/>
              </w:rPr>
            </w:pPr>
          </w:p>
        </w:tc>
        <w:tc>
          <w:tcPr>
            <w:tcW w:w="743" w:type="pct"/>
          </w:tcPr>
          <w:p w14:paraId="354EE89C" w14:textId="77777777" w:rsidR="00E46A7F" w:rsidRPr="00746DB3" w:rsidRDefault="00E46A7F" w:rsidP="00D62E44">
            <w:pPr>
              <w:jc w:val="center"/>
              <w:rPr>
                <w:sz w:val="20"/>
                <w:szCs w:val="20"/>
                <w:lang w:val="en-GB"/>
              </w:rPr>
            </w:pPr>
          </w:p>
        </w:tc>
        <w:tc>
          <w:tcPr>
            <w:tcW w:w="930" w:type="pct"/>
          </w:tcPr>
          <w:p w14:paraId="2F3E783F" w14:textId="3427BD81" w:rsidR="00E46A7F" w:rsidRPr="00746DB3" w:rsidRDefault="00E46A7F" w:rsidP="00D62E44">
            <w:pPr>
              <w:jc w:val="center"/>
              <w:rPr>
                <w:sz w:val="20"/>
                <w:szCs w:val="20"/>
                <w:lang w:val="en-GB"/>
              </w:rPr>
            </w:pPr>
          </w:p>
        </w:tc>
      </w:tr>
      <w:tr w:rsidR="008D1FC6" w:rsidRPr="00402AEC" w14:paraId="581479DC" w14:textId="77777777" w:rsidTr="008D1FC6">
        <w:tc>
          <w:tcPr>
            <w:tcW w:w="1739" w:type="pct"/>
          </w:tcPr>
          <w:p w14:paraId="483094A9" w14:textId="11F0340D" w:rsidR="008D1FC6" w:rsidRPr="00C03A6B" w:rsidRDefault="008D1FC6" w:rsidP="008D1FC6">
            <w:pPr>
              <w:rPr>
                <w:sz w:val="20"/>
                <w:szCs w:val="20"/>
                <w:lang w:val="en-GB" w:bidi="en-US"/>
              </w:rPr>
            </w:pPr>
            <w:r w:rsidRPr="00A23F25">
              <w:rPr>
                <w:sz w:val="20"/>
                <w:szCs w:val="20"/>
                <w:lang w:val="en-GB" w:bidi="en-US"/>
              </w:rPr>
              <w:t>(</w:t>
            </w:r>
            <w:r w:rsidRPr="00A23F25">
              <w:rPr>
                <w:sz w:val="20"/>
                <w:szCs w:val="20"/>
                <w:lang w:val="en-GB" w:bidi="en-US"/>
              </w:rPr>
              <w:fldChar w:fldCharType="begin" w:fldLock="1"/>
            </w:r>
            <w:r w:rsidR="003445CC">
              <w:rPr>
                <w:sz w:val="20"/>
                <w:szCs w:val="20"/>
                <w:lang w:val="en-GB" w:bidi="en-US"/>
              </w:rPr>
              <w:instrText>ADDIN CSL_CITATION {"citationItems":[{"id":"ITEM-1","itemData":{"DOI":"10.1177/0734242X16628981","ISBN":"0734-242X","ISSN":"10963669","PMID":"26917561","abstract":"Earth’s natural resources are finite. To be environmentally sustainable, it may not only be necessary to use them ‘efficiently’ but also ‘effectively’. While we consider ‘repair’, ‘recondition’, ‘refurbish’ and ‘remanufacture’ to be ‘reuse’ options, not all researchers agree. Also, there is lack of clarity between the different options that are likely to be challenging for both; the policy makers who formulate policies aimed to encourage ‘reuse’ of ‘waste’ products and for decision makers to initiate appropriate action for recovering ‘reusable resources’ from ‘waste streams’. This dichotomy could result into more ‘waste’ to landfill. A systematic analysis of peer reviewed literature is conducted to understand inconsistencies and/or lack of clarity that exist between the definitions or descriptions of identified `reuse’ options. This article proposes a ‘hierarchy of reuse options’ that plots the relative positions of identified ‘reuse’ options vis-à-vis five variables, namely work content, energy requireme...","author":[{"dropping-particle":"","family":"Gharfalkar","given":"Mangesh","non-dropping-particle":"","parse-names":false,"suffix":""},{"dropping-particle":"","family":"Ali","given":"Zulfiqur","non-dropping-particle":"","parse-names":false,"suffix":""},{"dropping-particle":"","family":"Hillier","given":"Graham","non-dropping-particle":"","parse-names":false,"suffix":""}],"container-title":"Waste Management &amp; Research","id":"ITEM-1","issue":"10","issued":{"date-parts":[["2016"]]},"page":"995-1005","title":"Clarifying the disagreements on various reuse options: Repair, recondition, refurbish and remanufacture","type":"article-journal","volume":"34"},"uris":["http://www.mendeley.com/documents/?uuid=f168eb74-899e-4b8f-a970-b9175684823a"]}],"mendeley":{"formattedCitation":"(Gharfalkar et al., 2016)","manualFormatting":"Gharfalkar et al. 2016)","plainTextFormattedCitation":"(Gharfalkar et al., 2016)","previouslyFormattedCitation":"(Gharfalkar et al., 2016)"},"properties":{"noteIndex":0},"schema":"https://github.com/citation-style-language/schema/raw/master/csl-citation.json"}</w:instrText>
            </w:r>
            <w:r w:rsidRPr="00A23F25">
              <w:rPr>
                <w:sz w:val="20"/>
                <w:szCs w:val="20"/>
                <w:lang w:val="en-GB" w:bidi="en-US"/>
              </w:rPr>
              <w:fldChar w:fldCharType="separate"/>
            </w:r>
            <w:r w:rsidRPr="00A23F25">
              <w:rPr>
                <w:noProof/>
                <w:sz w:val="20"/>
                <w:szCs w:val="20"/>
                <w:lang w:val="en-GB" w:bidi="en-US"/>
              </w:rPr>
              <w:t>Gharfalkar et al. 2016)</w:t>
            </w:r>
            <w:r w:rsidRPr="00A23F25">
              <w:rPr>
                <w:sz w:val="20"/>
                <w:szCs w:val="20"/>
                <w:lang w:val="en-GB" w:bidi="en-US"/>
              </w:rPr>
              <w:fldChar w:fldCharType="end"/>
            </w:r>
          </w:p>
        </w:tc>
        <w:tc>
          <w:tcPr>
            <w:tcW w:w="847" w:type="pct"/>
          </w:tcPr>
          <w:p w14:paraId="0AC401B9" w14:textId="77777777" w:rsidR="008D1FC6" w:rsidRPr="00C03A6B" w:rsidRDefault="008D1FC6" w:rsidP="008D1FC6">
            <w:pPr>
              <w:jc w:val="center"/>
              <w:rPr>
                <w:sz w:val="20"/>
                <w:szCs w:val="20"/>
                <w:lang w:val="en-GB"/>
              </w:rPr>
            </w:pPr>
          </w:p>
        </w:tc>
        <w:tc>
          <w:tcPr>
            <w:tcW w:w="742" w:type="pct"/>
          </w:tcPr>
          <w:p w14:paraId="1C82C005" w14:textId="77777777" w:rsidR="008D1FC6" w:rsidRPr="00C03A6B" w:rsidRDefault="008D1FC6" w:rsidP="008D1FC6">
            <w:pPr>
              <w:jc w:val="center"/>
              <w:rPr>
                <w:sz w:val="20"/>
                <w:szCs w:val="20"/>
                <w:lang w:val="en-GB"/>
              </w:rPr>
            </w:pPr>
          </w:p>
        </w:tc>
        <w:tc>
          <w:tcPr>
            <w:tcW w:w="743" w:type="pct"/>
          </w:tcPr>
          <w:p w14:paraId="5F0D40ED" w14:textId="513310F5" w:rsidR="008D1FC6" w:rsidRPr="00C03A6B" w:rsidRDefault="008D1FC6" w:rsidP="008D1FC6">
            <w:pPr>
              <w:jc w:val="center"/>
              <w:rPr>
                <w:sz w:val="20"/>
                <w:szCs w:val="20"/>
                <w:lang w:val="en-GB"/>
              </w:rPr>
            </w:pPr>
            <w:r w:rsidRPr="00A23F25">
              <w:rPr>
                <w:sz w:val="20"/>
                <w:szCs w:val="20"/>
                <w:lang w:val="en-GB"/>
              </w:rPr>
              <w:t>x</w:t>
            </w:r>
          </w:p>
        </w:tc>
        <w:tc>
          <w:tcPr>
            <w:tcW w:w="930" w:type="pct"/>
          </w:tcPr>
          <w:p w14:paraId="1A80BE62" w14:textId="77777777" w:rsidR="008D1FC6" w:rsidRPr="00C03A6B" w:rsidRDefault="008D1FC6" w:rsidP="008D1FC6">
            <w:pPr>
              <w:jc w:val="center"/>
              <w:rPr>
                <w:sz w:val="20"/>
                <w:szCs w:val="20"/>
                <w:lang w:val="en-GB"/>
              </w:rPr>
            </w:pPr>
          </w:p>
        </w:tc>
      </w:tr>
      <w:tr w:rsidR="008D1FC6" w:rsidRPr="00402AEC" w14:paraId="18C014E4" w14:textId="77777777" w:rsidTr="008D1FC6">
        <w:tc>
          <w:tcPr>
            <w:tcW w:w="1739" w:type="pct"/>
          </w:tcPr>
          <w:p w14:paraId="7F5211B4" w14:textId="3C490F2A" w:rsidR="008D1FC6" w:rsidRPr="00C03A6B" w:rsidRDefault="008D1FC6" w:rsidP="008D1FC6">
            <w:pPr>
              <w:rPr>
                <w:sz w:val="20"/>
                <w:szCs w:val="20"/>
                <w:highlight w:val="yellow"/>
                <w:lang w:val="en-GB"/>
              </w:rPr>
            </w:pPr>
            <w:r w:rsidRPr="00252DF0">
              <w:rPr>
                <w:sz w:val="20"/>
                <w:szCs w:val="20"/>
                <w:lang w:val="en-GB" w:bidi="en-US"/>
              </w:rPr>
              <w:t>(</w:t>
            </w:r>
            <w:r w:rsidRPr="00746DB3">
              <w:rPr>
                <w:sz w:val="20"/>
                <w:szCs w:val="20"/>
                <w:lang w:val="en-GB" w:bidi="en-US"/>
              </w:rPr>
              <w:fldChar w:fldCharType="begin" w:fldLock="1"/>
            </w:r>
            <w:r w:rsidR="003445CC">
              <w:rPr>
                <w:sz w:val="20"/>
                <w:szCs w:val="20"/>
                <w:lang w:val="en-GB" w:bidi="en-US"/>
              </w:rPr>
              <w:instrText>ADDIN CSL_CITATION {"citationItems":[{"id":"ITEM-1","itemData":{"DOI":"10.1080/13662716.2017.1310034","ISBN":"1366-2716 1469-8390","ISSN":"14698390","abstract":"The purpose of this paper is to examine the organisational processes of business model innovation for sustainability (BMIS). Building on dynamic capabilities literature, BMIS is conceptualised to evolutionary and radical approaches, and disaggregated into different sensing, seizing and reconfiguring capabilities. Based on this conceptual framework, we examine a qualitative multiple case study of eight companies in the Spanish Basque region, and provide a detailed analysis of how organisational and managerial capabilities for sustainability are utilised in business model innovation and transformation. These insights provide novel theoretical and practical insights into the business model, innovation and sustainability literatures.","author":[{"dropping-particle":"","family":"Inigo","given":"Edurne A.","non-dropping-particle":"","parse-names":false,"suffix":""},{"dropping-particle":"","family":"Albareda","given":"Laura","non-dropping-particle":"","parse-names":false,"suffix":""},{"dropping-particle":"","family":"Ritala","given":"Paavo","non-dropping-particle":"","parse-names":false,"suffix":""}],"container-title":"Industry and Innovation","id":"ITEM-1","issue":"5","issued":{"date-parts":[["2017"]]},"page":"515-542","publisher":"Routledge","title":"Business model innovation for sustainability: exploring evolutionary and radical approaches through dynamic capabilities","type":"article-journal","volume":"24"},"uris":["http://www.mendeley.com/documents/?uuid=38bbaec4-562d-4a12-8895-4baed8ee0843"]}],"mendeley":{"formattedCitation":"(Inigo et al., 2017)","manualFormatting":"Inigo et al. 2017)","plainTextFormattedCitation":"(Inigo et al., 2017)","previouslyFormattedCitation":"(Inigo et al., 2017)"},"properties":{"noteIndex":0},"schema":"https://github.com/citation-style-language/schema/raw/master/csl-citation.json"}</w:instrText>
            </w:r>
            <w:r w:rsidRPr="00746DB3">
              <w:rPr>
                <w:sz w:val="20"/>
                <w:szCs w:val="20"/>
                <w:lang w:val="en-GB" w:bidi="en-US"/>
              </w:rPr>
              <w:fldChar w:fldCharType="separate"/>
            </w:r>
            <w:r w:rsidRPr="00746DB3">
              <w:rPr>
                <w:noProof/>
                <w:sz w:val="20"/>
                <w:szCs w:val="20"/>
                <w:lang w:val="en-GB" w:bidi="en-US"/>
              </w:rPr>
              <w:t>Inigo et al. 2017)</w:t>
            </w:r>
            <w:r w:rsidRPr="00746DB3">
              <w:rPr>
                <w:sz w:val="20"/>
                <w:szCs w:val="20"/>
                <w:lang w:val="en-GB" w:bidi="en-US"/>
              </w:rPr>
              <w:fldChar w:fldCharType="end"/>
            </w:r>
          </w:p>
        </w:tc>
        <w:tc>
          <w:tcPr>
            <w:tcW w:w="847" w:type="pct"/>
          </w:tcPr>
          <w:p w14:paraId="0A7E3462" w14:textId="5DCF7F1F" w:rsidR="008D1FC6" w:rsidRPr="00746DB3" w:rsidRDefault="008D1FC6" w:rsidP="008D1FC6">
            <w:pPr>
              <w:jc w:val="center"/>
              <w:rPr>
                <w:sz w:val="20"/>
                <w:szCs w:val="20"/>
                <w:lang w:val="en-GB"/>
              </w:rPr>
            </w:pPr>
            <w:r w:rsidRPr="00746DB3">
              <w:rPr>
                <w:sz w:val="20"/>
                <w:szCs w:val="20"/>
                <w:lang w:val="en-GB"/>
              </w:rPr>
              <w:t>x</w:t>
            </w:r>
          </w:p>
        </w:tc>
        <w:tc>
          <w:tcPr>
            <w:tcW w:w="742" w:type="pct"/>
          </w:tcPr>
          <w:p w14:paraId="26AC4F2C" w14:textId="77777777" w:rsidR="008D1FC6" w:rsidRPr="00746DB3" w:rsidRDefault="008D1FC6" w:rsidP="008D1FC6">
            <w:pPr>
              <w:jc w:val="center"/>
              <w:rPr>
                <w:sz w:val="20"/>
                <w:szCs w:val="20"/>
                <w:lang w:val="en-GB"/>
              </w:rPr>
            </w:pPr>
          </w:p>
        </w:tc>
        <w:tc>
          <w:tcPr>
            <w:tcW w:w="743" w:type="pct"/>
          </w:tcPr>
          <w:p w14:paraId="3B660DF9" w14:textId="77777777" w:rsidR="008D1FC6" w:rsidRPr="00746DB3" w:rsidRDefault="008D1FC6" w:rsidP="008D1FC6">
            <w:pPr>
              <w:jc w:val="center"/>
              <w:rPr>
                <w:sz w:val="20"/>
                <w:szCs w:val="20"/>
                <w:lang w:val="en-GB"/>
              </w:rPr>
            </w:pPr>
          </w:p>
        </w:tc>
        <w:tc>
          <w:tcPr>
            <w:tcW w:w="930" w:type="pct"/>
          </w:tcPr>
          <w:p w14:paraId="5532CBC5" w14:textId="0CC657CA" w:rsidR="008D1FC6" w:rsidRPr="00746DB3" w:rsidRDefault="008D1FC6" w:rsidP="008D1FC6">
            <w:pPr>
              <w:jc w:val="center"/>
              <w:rPr>
                <w:sz w:val="20"/>
                <w:szCs w:val="20"/>
                <w:lang w:val="en-GB"/>
              </w:rPr>
            </w:pPr>
          </w:p>
        </w:tc>
      </w:tr>
      <w:tr w:rsidR="008D1FC6" w:rsidRPr="00402AEC" w14:paraId="223228AC" w14:textId="77777777" w:rsidTr="008D1FC6">
        <w:tc>
          <w:tcPr>
            <w:tcW w:w="1739" w:type="pct"/>
          </w:tcPr>
          <w:p w14:paraId="59D89DE2" w14:textId="3831F923" w:rsidR="008D1FC6" w:rsidRPr="00C03A6B" w:rsidRDefault="008D1FC6" w:rsidP="008D1FC6">
            <w:pPr>
              <w:rPr>
                <w:sz w:val="20"/>
                <w:szCs w:val="20"/>
                <w:lang w:val="en-GB" w:bidi="en-US"/>
              </w:rPr>
            </w:pPr>
            <w:r w:rsidRPr="006E76E9">
              <w:rPr>
                <w:sz w:val="20"/>
                <w:szCs w:val="20"/>
                <w:lang w:val="en-GB" w:bidi="en-US"/>
              </w:rPr>
              <w:t>(</w:t>
            </w:r>
            <w:r w:rsidRPr="006E76E9">
              <w:rPr>
                <w:sz w:val="20"/>
                <w:szCs w:val="20"/>
                <w:lang w:val="en-GB" w:bidi="en-US"/>
              </w:rPr>
              <w:fldChar w:fldCharType="begin" w:fldLock="1"/>
            </w:r>
            <w:r w:rsidR="003445CC">
              <w:rPr>
                <w:sz w:val="20"/>
                <w:szCs w:val="20"/>
                <w:lang w:val="en-GB" w:bidi="en-US"/>
              </w:rPr>
              <w:instrText>ADDIN CSL_CITATION {"citationItems":[{"id":"ITEM-1","itemData":{"DOI":"10.1016/j.jclepro.2017.12.010","ISSN":"09596526","abstract":"The Circular Economy (CE) gained significant traction in business and academia. While in the building sector issues around energy efficiency are being widely explored, CE is still a relatively new topic. This article reports on three CE pilots in the Dutch building sector and develops a collaboration tool for developing and operating circular buildings and their supply chain collaborations. First, a conceptual framework is developed to study supply chain collaboration in circular buildings, which uses theoretical building blocks for visions, actor learning, network dynamics and business model innovation. Second, a case study is presented where the framework is applied to three cases using semi-structured interviews and document analysis. Third, an empirically-based tool is developed to enhance collaboration for CE in the building sector. The cases include a newly built project, a renovation project and a demolition project. It was found that developing circular buildings requires (i) a new process design where a variety of disciplines in the supply chain is integrated upfront, (ii) the co-creation of an ambitious vision, (iii) extension of responsibilities to actors along the entire building supply chain, and (iv) new business and ownership models.","author":[{"dropping-particle":"","family":"Leising","given":"Eline","non-dropping-particle":"","parse-names":false,"suffix":""},{"dropping-particle":"","family":"Quist","given":"Jaco","non-dropping-particle":"","parse-names":false,"suffix":""},{"dropping-particle":"","family":"Bocken","given":"Nancy M.P.","non-dropping-particle":"","parse-names":false,"suffix":""}],"container-title":"Journal of Cleaner Production","id":"ITEM-1","issued":{"date-parts":[["2018"]]},"page":"976-989","publisher":"Elsevier Ltd","title":"Circular Economy in the building sector: Three cases and a collaboration tool","type":"article-journal","volume":"176"},"uris":["http://www.mendeley.com/documents/?uuid=0ff0c90c-389f-4e1b-8970-0b46020559b9"]}],"mendeley":{"formattedCitation":"(Leising et al., 2018)","manualFormatting":"Leising et al. 2018)","plainTextFormattedCitation":"(Leising et al., 2018)","previouslyFormattedCitation":"(Leising et al., 2018)"},"properties":{"noteIndex":0},"schema":"https://github.com/citation-style-language/schema/raw/master/csl-citation.json"}</w:instrText>
            </w:r>
            <w:r w:rsidRPr="006E76E9">
              <w:rPr>
                <w:sz w:val="20"/>
                <w:szCs w:val="20"/>
                <w:lang w:val="en-GB" w:bidi="en-US"/>
              </w:rPr>
              <w:fldChar w:fldCharType="separate"/>
            </w:r>
            <w:r w:rsidRPr="006E76E9">
              <w:rPr>
                <w:noProof/>
                <w:sz w:val="20"/>
                <w:szCs w:val="20"/>
                <w:lang w:val="en-GB" w:bidi="en-US"/>
              </w:rPr>
              <w:t>Leising et al. 2018)</w:t>
            </w:r>
            <w:r w:rsidRPr="006E76E9">
              <w:rPr>
                <w:sz w:val="20"/>
                <w:szCs w:val="20"/>
                <w:lang w:val="en-GB" w:bidi="en-US"/>
              </w:rPr>
              <w:fldChar w:fldCharType="end"/>
            </w:r>
          </w:p>
        </w:tc>
        <w:tc>
          <w:tcPr>
            <w:tcW w:w="847" w:type="pct"/>
          </w:tcPr>
          <w:p w14:paraId="662DCF66" w14:textId="77777777" w:rsidR="008D1FC6" w:rsidRPr="00C03A6B" w:rsidRDefault="008D1FC6" w:rsidP="008D1FC6">
            <w:pPr>
              <w:jc w:val="center"/>
              <w:rPr>
                <w:sz w:val="20"/>
                <w:szCs w:val="20"/>
                <w:lang w:val="en-GB"/>
              </w:rPr>
            </w:pPr>
          </w:p>
        </w:tc>
        <w:tc>
          <w:tcPr>
            <w:tcW w:w="742" w:type="pct"/>
          </w:tcPr>
          <w:p w14:paraId="067A7644" w14:textId="0659B452" w:rsidR="008D1FC6" w:rsidRPr="00C03A6B" w:rsidRDefault="008D1FC6" w:rsidP="008D1FC6">
            <w:pPr>
              <w:jc w:val="center"/>
              <w:rPr>
                <w:sz w:val="20"/>
                <w:szCs w:val="20"/>
                <w:lang w:val="en-GB"/>
              </w:rPr>
            </w:pPr>
            <w:r w:rsidRPr="006E76E9">
              <w:rPr>
                <w:sz w:val="20"/>
                <w:szCs w:val="20"/>
                <w:lang w:val="en-GB"/>
              </w:rPr>
              <w:t>x</w:t>
            </w:r>
          </w:p>
        </w:tc>
        <w:tc>
          <w:tcPr>
            <w:tcW w:w="743" w:type="pct"/>
          </w:tcPr>
          <w:p w14:paraId="2317CBFF" w14:textId="77777777" w:rsidR="008D1FC6" w:rsidRPr="00C03A6B" w:rsidRDefault="008D1FC6" w:rsidP="008D1FC6">
            <w:pPr>
              <w:jc w:val="center"/>
              <w:rPr>
                <w:sz w:val="20"/>
                <w:szCs w:val="20"/>
                <w:lang w:val="en-GB"/>
              </w:rPr>
            </w:pPr>
          </w:p>
        </w:tc>
        <w:tc>
          <w:tcPr>
            <w:tcW w:w="930" w:type="pct"/>
          </w:tcPr>
          <w:p w14:paraId="62F9BF70" w14:textId="77777777" w:rsidR="008D1FC6" w:rsidRPr="00C03A6B" w:rsidRDefault="008D1FC6" w:rsidP="008D1FC6">
            <w:pPr>
              <w:jc w:val="center"/>
              <w:rPr>
                <w:sz w:val="20"/>
                <w:szCs w:val="20"/>
                <w:lang w:val="en-GB"/>
              </w:rPr>
            </w:pPr>
          </w:p>
        </w:tc>
      </w:tr>
      <w:tr w:rsidR="008D1FC6" w:rsidRPr="00402AEC" w14:paraId="2BA83B6A" w14:textId="77777777" w:rsidTr="008D1FC6">
        <w:tc>
          <w:tcPr>
            <w:tcW w:w="1739" w:type="pct"/>
          </w:tcPr>
          <w:p w14:paraId="73D3ADFD" w14:textId="595EC2CD" w:rsidR="008D1FC6" w:rsidRPr="00C03A6B" w:rsidRDefault="008D1FC6" w:rsidP="008D1FC6">
            <w:pPr>
              <w:rPr>
                <w:sz w:val="20"/>
                <w:szCs w:val="20"/>
                <w:lang w:val="en-GB" w:bidi="en-US"/>
              </w:rPr>
            </w:pPr>
            <w:r w:rsidRPr="006E76E9">
              <w:rPr>
                <w:sz w:val="20"/>
                <w:szCs w:val="20"/>
                <w:lang w:val="en-GB" w:bidi="en-US"/>
              </w:rPr>
              <w:t>(</w:t>
            </w:r>
            <w:r w:rsidRPr="006E76E9">
              <w:rPr>
                <w:sz w:val="20"/>
                <w:szCs w:val="20"/>
                <w:lang w:val="en-GB" w:bidi="en-US"/>
              </w:rPr>
              <w:fldChar w:fldCharType="begin" w:fldLock="1"/>
            </w:r>
            <w:r w:rsidR="003445CC">
              <w:rPr>
                <w:sz w:val="20"/>
                <w:szCs w:val="20"/>
                <w:lang w:val="en-GB" w:bidi="en-US"/>
              </w:rPr>
              <w:instrText>ADDIN CSL_CITATION {"citationItems":[{"id":"ITEM-1","itemData":{"DOI":"10.1007/s00170-017-0610-9","ISBN":"0017001706","ISSN":"14333015","abstract":"The recent circular economy movement has raised awareness and interest about untapped environmental and economic potential in the manufacturing industry. One of the crucial aspects in the implementation of circular or closed-loop manufacturing approach is the design of circular products. While it is obvious that three post-use strategies, i.e., reuse, remanufacturing, and recycling, are highly relevant to achieve loop closure, it is enormously challenging to choose “the right” strategy (if at all) during the early design stage and especially at the single component level. One reason is that economic and environmental impacts of adapting these strategies are not explicit as they vary depending on the chosen business model and associated supply chains. In this scenario, decision support is essential to motivate adaptation of regenerative design strategies. The main purpose of this paper is to provide reliable decision support at the intersection of multiple lifecycle design and business models in the circular economy context to identify effects on cost and CO2 emissions. The development of this work consists of a systematic method to quantify design effort for different circular design options through a multi-method simulation approach. The simulation model combines an agent-based product architecture and a discrete event closed-loop supply chain model. Feasibility of the model is tested using a case of a washing machine provided by Gorenje d.d. Firstly, design efforts for reuse, remanufacturing, and recycling are quantified. Secondly, cost and emissions of different design options are explored with different business model configurations. Finally, an optimization experiment is run to identify the most cost-effective combination of reused, remanufactured, and recycled components for a business model chosen on the basis of the explorative study results. © 2017 The Author(s)","author":[{"dropping-particle":"","family":"Lieder","given":"Michael","non-dropping-particle":"","parse-names":false,"suffix":""},{"dropping-particle":"","family":"Asif","given":"Farazee M.A.","non-dropping-particle":"","parse-names":false,"suffix":""},{"dropping-particle":"","family":"Rashid","given":"Amir","non-dropping-particle":"","parse-names":false,"suffix":""},{"dropping-particle":"","family":"Mihelič","given":"Aleš","non-dropping-particle":"","parse-names":false,"suffix":""},{"dropping-particle":"","family":"Kotnik","given":"Simon","non-dropping-particle":"","parse-names":false,"suffix":""}],"container-title":"International Journal of Advanced Manufacturing Technology","id":"ITEM-1","issue":"5-8","issued":{"date-parts":[["2017"]]},"page":"1953-1970","title":"Towards circular economy implementation in manufacturing systems using a multi-method simulation approach to link design and business strategy","type":"article-journal","volume":"93"},"uris":["http://www.mendeley.com/documents/?uuid=1c6b055f-f5f4-462b-aed9-8e35091db7ab"]}],"mendeley":{"formattedCitation":"(Lieder et al., 2017b)","manualFormatting":"Lieder et al. 2017b)","plainTextFormattedCitation":"(Lieder et al., 2017b)","previouslyFormattedCitation":"(Lieder et al., 2017b)"},"properties":{"noteIndex":0},"schema":"https://github.com/citation-style-language/schema/raw/master/csl-citation.json"}</w:instrText>
            </w:r>
            <w:r w:rsidRPr="006E76E9">
              <w:rPr>
                <w:sz w:val="20"/>
                <w:szCs w:val="20"/>
                <w:lang w:val="en-GB" w:bidi="en-US"/>
              </w:rPr>
              <w:fldChar w:fldCharType="separate"/>
            </w:r>
            <w:r w:rsidRPr="006E76E9">
              <w:rPr>
                <w:noProof/>
                <w:sz w:val="20"/>
                <w:szCs w:val="20"/>
                <w:lang w:val="en-GB" w:bidi="en-US"/>
              </w:rPr>
              <w:t>Lieder et al. 2017b)</w:t>
            </w:r>
            <w:r w:rsidRPr="006E76E9">
              <w:rPr>
                <w:sz w:val="20"/>
                <w:szCs w:val="20"/>
                <w:lang w:val="en-GB" w:bidi="en-US"/>
              </w:rPr>
              <w:fldChar w:fldCharType="end"/>
            </w:r>
          </w:p>
        </w:tc>
        <w:tc>
          <w:tcPr>
            <w:tcW w:w="847" w:type="pct"/>
          </w:tcPr>
          <w:p w14:paraId="1AC6C61D" w14:textId="77777777" w:rsidR="008D1FC6" w:rsidRPr="00C03A6B" w:rsidRDefault="008D1FC6" w:rsidP="008D1FC6">
            <w:pPr>
              <w:jc w:val="center"/>
              <w:rPr>
                <w:sz w:val="20"/>
                <w:szCs w:val="20"/>
                <w:lang w:val="en-GB"/>
              </w:rPr>
            </w:pPr>
          </w:p>
        </w:tc>
        <w:tc>
          <w:tcPr>
            <w:tcW w:w="742" w:type="pct"/>
          </w:tcPr>
          <w:p w14:paraId="56AAFC1C" w14:textId="298A10B5" w:rsidR="008D1FC6" w:rsidRPr="00C03A6B" w:rsidRDefault="008D1FC6" w:rsidP="008D1FC6">
            <w:pPr>
              <w:jc w:val="center"/>
              <w:rPr>
                <w:sz w:val="20"/>
                <w:szCs w:val="20"/>
                <w:lang w:val="en-GB"/>
              </w:rPr>
            </w:pPr>
            <w:r w:rsidRPr="006E76E9">
              <w:rPr>
                <w:sz w:val="20"/>
                <w:szCs w:val="20"/>
                <w:lang w:val="en-GB"/>
              </w:rPr>
              <w:t>x</w:t>
            </w:r>
          </w:p>
        </w:tc>
        <w:tc>
          <w:tcPr>
            <w:tcW w:w="743" w:type="pct"/>
          </w:tcPr>
          <w:p w14:paraId="78969323" w14:textId="77777777" w:rsidR="008D1FC6" w:rsidRPr="00C03A6B" w:rsidRDefault="008D1FC6" w:rsidP="008D1FC6">
            <w:pPr>
              <w:jc w:val="center"/>
              <w:rPr>
                <w:sz w:val="20"/>
                <w:szCs w:val="20"/>
                <w:lang w:val="en-GB"/>
              </w:rPr>
            </w:pPr>
          </w:p>
        </w:tc>
        <w:tc>
          <w:tcPr>
            <w:tcW w:w="930" w:type="pct"/>
          </w:tcPr>
          <w:p w14:paraId="4397A52B" w14:textId="77777777" w:rsidR="008D1FC6" w:rsidRPr="00C03A6B" w:rsidRDefault="008D1FC6" w:rsidP="008D1FC6">
            <w:pPr>
              <w:jc w:val="center"/>
              <w:rPr>
                <w:sz w:val="20"/>
                <w:szCs w:val="20"/>
                <w:lang w:val="en-GB"/>
              </w:rPr>
            </w:pPr>
          </w:p>
        </w:tc>
      </w:tr>
      <w:tr w:rsidR="005A3D8B" w:rsidRPr="00402AEC" w14:paraId="4D67E413" w14:textId="77777777" w:rsidTr="008D1FC6">
        <w:tc>
          <w:tcPr>
            <w:tcW w:w="1739" w:type="pct"/>
          </w:tcPr>
          <w:p w14:paraId="1FF658AD" w14:textId="691D1F82" w:rsidR="005A3D8B" w:rsidRPr="006E76E9" w:rsidRDefault="005A3D8B" w:rsidP="005A3D8B">
            <w:pPr>
              <w:rPr>
                <w:sz w:val="20"/>
                <w:szCs w:val="20"/>
                <w:lang w:val="en-GB" w:bidi="en-US"/>
              </w:rPr>
            </w:pPr>
            <w:r w:rsidRPr="00F273F7">
              <w:rPr>
                <w:sz w:val="20"/>
                <w:szCs w:val="20"/>
                <w:lang w:val="en-GB" w:bidi="en-US"/>
              </w:rPr>
              <w:t>(</w:t>
            </w:r>
            <w:r w:rsidRPr="00F273F7">
              <w:rPr>
                <w:sz w:val="20"/>
                <w:szCs w:val="20"/>
                <w:lang w:val="en-GB" w:bidi="en-US"/>
              </w:rPr>
              <w:fldChar w:fldCharType="begin" w:fldLock="1"/>
            </w:r>
            <w:r w:rsidR="003445CC">
              <w:rPr>
                <w:sz w:val="20"/>
                <w:szCs w:val="20"/>
                <w:lang w:val="en-GB" w:bidi="en-US"/>
              </w:rPr>
              <w:instrText>ADDIN CSL_CITATION {"citationItems":[{"id":"ITEM-1","itemData":{"DOI":"10.1016/j.procir.2016.11.169","ISSN":"22128271","abstract":"Electronics plays an essential role in many products and this leads to a larger production of e-wastes, currently recovered through impactful recycling processes. This paper proposes a web-based platform to implement reuse scenarios for electronic components. The objective is to create a structured portal where all the stakeholders can collaborate to extend the components lifespan and implement new circular business models. The final goal is to \"close the gap\" between the beginning and the end of life. The case study (industrial application) shows relevant benefits for the involved electronics manufacturer both in terms of environmental impact and economic savings.","author":[{"dropping-particle":"","family":"Marconi","given":"Marco","non-dropping-particle":"","parse-names":false,"suffix":""},{"dropping-particle":"","family":"Favi","given":"Claudio","non-dropping-particle":"","parse-names":false,"suffix":""},{"dropping-particle":"","family":"Germani","given":"Michele","non-dropping-particle":"","parse-names":false,"suffix":""},{"dropping-particle":"","family":"Mandolini","given":"Marco","non-dropping-particle":"","parse-names":false,"suffix":""},{"dropping-particle":"","family":"Mengarelli","given":"Marco","non-dropping-particle":"","parse-names":false,"suffix":""}],"container-title":"Procedia CIRP","id":"ITEM-1","issued":{"date-parts":[["2017"]]},"page":"166-171","publisher":"The Author(s)","title":"A Collaborative End of Life platform to Favour the Reuse of Electronic Components","type":"article-journal","volume":"61"},"uris":["http://www.mendeley.com/documents/?uuid=8f078081-dd83-4e00-be07-430a621d2df5"]}],"mendeley":{"formattedCitation":"(Marconi et al., 2017)","manualFormatting":"Marconi et al. 2017)","plainTextFormattedCitation":"(Marconi et al., 2017)","previouslyFormattedCitation":"(Marconi et al., 2017)"},"properties":{"noteIndex":0},"schema":"https://github.com/citation-style-language/schema/raw/master/csl-citation.json"}</w:instrText>
            </w:r>
            <w:r w:rsidRPr="00F273F7">
              <w:rPr>
                <w:sz w:val="20"/>
                <w:szCs w:val="20"/>
                <w:lang w:val="en-GB" w:bidi="en-US"/>
              </w:rPr>
              <w:fldChar w:fldCharType="separate"/>
            </w:r>
            <w:r w:rsidRPr="00F273F7">
              <w:rPr>
                <w:noProof/>
                <w:sz w:val="20"/>
                <w:szCs w:val="20"/>
                <w:lang w:val="en-GB" w:bidi="en-US"/>
              </w:rPr>
              <w:t>Marconi et al. 2017)</w:t>
            </w:r>
            <w:r w:rsidRPr="00F273F7">
              <w:rPr>
                <w:sz w:val="20"/>
                <w:szCs w:val="20"/>
                <w:lang w:val="en-GB" w:bidi="en-US"/>
              </w:rPr>
              <w:fldChar w:fldCharType="end"/>
            </w:r>
          </w:p>
        </w:tc>
        <w:tc>
          <w:tcPr>
            <w:tcW w:w="847" w:type="pct"/>
          </w:tcPr>
          <w:p w14:paraId="48B4B16D" w14:textId="77777777" w:rsidR="005A3D8B" w:rsidRPr="00C03A6B" w:rsidRDefault="005A3D8B" w:rsidP="005A3D8B">
            <w:pPr>
              <w:jc w:val="center"/>
              <w:rPr>
                <w:sz w:val="20"/>
                <w:szCs w:val="20"/>
                <w:lang w:val="en-GB"/>
              </w:rPr>
            </w:pPr>
          </w:p>
        </w:tc>
        <w:tc>
          <w:tcPr>
            <w:tcW w:w="742" w:type="pct"/>
          </w:tcPr>
          <w:p w14:paraId="57076E80" w14:textId="77777777" w:rsidR="005A3D8B" w:rsidRPr="006E76E9" w:rsidRDefault="005A3D8B" w:rsidP="005A3D8B">
            <w:pPr>
              <w:jc w:val="center"/>
              <w:rPr>
                <w:sz w:val="20"/>
                <w:szCs w:val="20"/>
                <w:lang w:val="en-GB"/>
              </w:rPr>
            </w:pPr>
          </w:p>
        </w:tc>
        <w:tc>
          <w:tcPr>
            <w:tcW w:w="743" w:type="pct"/>
          </w:tcPr>
          <w:p w14:paraId="5326FE6A" w14:textId="59164FC8" w:rsidR="005A3D8B" w:rsidRPr="00C03A6B" w:rsidRDefault="005A3D8B" w:rsidP="005A3D8B">
            <w:pPr>
              <w:jc w:val="center"/>
              <w:rPr>
                <w:sz w:val="20"/>
                <w:szCs w:val="20"/>
                <w:lang w:val="en-GB"/>
              </w:rPr>
            </w:pPr>
            <w:r w:rsidRPr="00F273F7">
              <w:rPr>
                <w:sz w:val="20"/>
                <w:szCs w:val="20"/>
                <w:lang w:val="en-GB"/>
              </w:rPr>
              <w:t>x</w:t>
            </w:r>
          </w:p>
        </w:tc>
        <w:tc>
          <w:tcPr>
            <w:tcW w:w="930" w:type="pct"/>
          </w:tcPr>
          <w:p w14:paraId="19FB0127" w14:textId="77777777" w:rsidR="005A3D8B" w:rsidRPr="00C03A6B" w:rsidRDefault="005A3D8B" w:rsidP="005A3D8B">
            <w:pPr>
              <w:jc w:val="center"/>
              <w:rPr>
                <w:sz w:val="20"/>
                <w:szCs w:val="20"/>
                <w:lang w:val="en-GB"/>
              </w:rPr>
            </w:pPr>
          </w:p>
        </w:tc>
      </w:tr>
      <w:tr w:rsidR="005A3D8B" w:rsidRPr="00402AEC" w14:paraId="395C3899" w14:textId="77777777" w:rsidTr="008D1FC6">
        <w:tc>
          <w:tcPr>
            <w:tcW w:w="1739" w:type="pct"/>
          </w:tcPr>
          <w:p w14:paraId="458C4292" w14:textId="6BD78FDB" w:rsidR="005A3D8B" w:rsidRPr="006E76E9" w:rsidRDefault="005A3D8B" w:rsidP="005A3D8B">
            <w:pPr>
              <w:rPr>
                <w:sz w:val="20"/>
                <w:szCs w:val="20"/>
                <w:lang w:val="en-GB" w:bidi="en-US"/>
              </w:rPr>
            </w:pPr>
            <w:r w:rsidRPr="006B3585">
              <w:rPr>
                <w:sz w:val="20"/>
                <w:szCs w:val="20"/>
                <w:lang w:val="en-GB" w:bidi="en-US"/>
              </w:rPr>
              <w:t>(</w:t>
            </w:r>
            <w:r w:rsidRPr="006B3585">
              <w:rPr>
                <w:sz w:val="20"/>
                <w:szCs w:val="20"/>
                <w:lang w:val="en-GB" w:bidi="en-US"/>
              </w:rPr>
              <w:fldChar w:fldCharType="begin" w:fldLock="1"/>
            </w:r>
            <w:r w:rsidR="003445CC">
              <w:rPr>
                <w:sz w:val="20"/>
                <w:szCs w:val="20"/>
                <w:lang w:val="en-GB" w:bidi="en-US"/>
              </w:rPr>
              <w:instrText>ADDIN CSL_CITATION {"citationItems":[{"id":"ITEM-1","itemData":{"DOI":"10.1016/j.procir.2017.03.026","ISBN":"22128271 (ISSN)","ISSN":"22128271","abstract":"Due to ever increasing challenges faced by our global society, circular design and the idea of product-service systems (PSS) is gaining traction within businesses. However, 'predicting' the value of a future PSS solution in the early design phases is difficult, since it requires the ability to balance long term potential with short term decisions. Modelling and simulation is believed to be able to support this challenging task. A simulation framework for circular design of PSS is presented. The simulation process enables the comparison between functional and non-functional performances and their life cycle contributions depending on a defined PSS-like business model strategy. Such integrated simulation framework is intended to exploit engineering models outside their specific discipline, enabling cross-functional collaboration and help decision makers understand how a design can contribute in satisfying customer and stakeholders needs during the lifecycle of a PSS.","author":[{"dropping-particle":"","family":"Panarotto","given":"Massimo","non-dropping-particle":"","parse-names":false,"suffix":""},{"dropping-particle":"","family":"Wall","given":"Johan","non-dropping-particle":"","parse-names":false,"suffix":""},{"dropping-particle":"","family":"Larsson","given":"Tobias C.","non-dropping-particle":"","parse-names":false,"suffix":""}],"container-title":"Procedia CIRP","id":"ITEM-1","issued":{"date-parts":[["2017"]]},"page":"25-30","publisher":"The Author(s)","title":"Simulation-driven Design for Assessing Strategic Decisions in the Conceptual Design of Circular PSS Business Models","type":"article-journal","volume":"64"},"uris":["http://www.mendeley.com/documents/?uuid=a974dc47-9661-4992-b707-be9b569222db"]}],"mendeley":{"formattedCitation":"(Panarotto et al., 2017)","manualFormatting":"Panarotto et al. 2017)","plainTextFormattedCitation":"(Panarotto et al., 2017)","previouslyFormattedCitation":"(Panarotto et al., 2017)"},"properties":{"noteIndex":0},"schema":"https://github.com/citation-style-language/schema/raw/master/csl-citation.json"}</w:instrText>
            </w:r>
            <w:r w:rsidRPr="006B3585">
              <w:rPr>
                <w:sz w:val="20"/>
                <w:szCs w:val="20"/>
                <w:lang w:val="en-GB" w:bidi="en-US"/>
              </w:rPr>
              <w:fldChar w:fldCharType="separate"/>
            </w:r>
            <w:r w:rsidRPr="006B3585">
              <w:rPr>
                <w:noProof/>
                <w:sz w:val="20"/>
                <w:szCs w:val="20"/>
                <w:lang w:val="en-GB" w:bidi="en-US"/>
              </w:rPr>
              <w:t>Panarotto et al. 2017)</w:t>
            </w:r>
            <w:r w:rsidRPr="006B3585">
              <w:rPr>
                <w:sz w:val="20"/>
                <w:szCs w:val="20"/>
                <w:lang w:val="en-GB" w:bidi="en-US"/>
              </w:rPr>
              <w:fldChar w:fldCharType="end"/>
            </w:r>
          </w:p>
        </w:tc>
        <w:tc>
          <w:tcPr>
            <w:tcW w:w="847" w:type="pct"/>
          </w:tcPr>
          <w:p w14:paraId="30E2BB9F" w14:textId="77777777" w:rsidR="005A3D8B" w:rsidRPr="00C03A6B" w:rsidRDefault="005A3D8B" w:rsidP="005A3D8B">
            <w:pPr>
              <w:jc w:val="center"/>
              <w:rPr>
                <w:sz w:val="20"/>
                <w:szCs w:val="20"/>
                <w:lang w:val="en-GB"/>
              </w:rPr>
            </w:pPr>
          </w:p>
        </w:tc>
        <w:tc>
          <w:tcPr>
            <w:tcW w:w="742" w:type="pct"/>
          </w:tcPr>
          <w:p w14:paraId="0544A1C6" w14:textId="06AA6F02" w:rsidR="005A3D8B" w:rsidRPr="006E76E9" w:rsidRDefault="005A3D8B" w:rsidP="005A3D8B">
            <w:pPr>
              <w:jc w:val="center"/>
              <w:rPr>
                <w:sz w:val="20"/>
                <w:szCs w:val="20"/>
                <w:lang w:val="en-GB"/>
              </w:rPr>
            </w:pPr>
            <w:r w:rsidRPr="006B3585">
              <w:rPr>
                <w:sz w:val="20"/>
                <w:szCs w:val="20"/>
                <w:lang w:val="en-GB"/>
              </w:rPr>
              <w:t>x</w:t>
            </w:r>
          </w:p>
        </w:tc>
        <w:tc>
          <w:tcPr>
            <w:tcW w:w="743" w:type="pct"/>
          </w:tcPr>
          <w:p w14:paraId="34FEE8B2" w14:textId="77777777" w:rsidR="005A3D8B" w:rsidRPr="00C03A6B" w:rsidRDefault="005A3D8B" w:rsidP="005A3D8B">
            <w:pPr>
              <w:jc w:val="center"/>
              <w:rPr>
                <w:sz w:val="20"/>
                <w:szCs w:val="20"/>
                <w:lang w:val="en-GB"/>
              </w:rPr>
            </w:pPr>
          </w:p>
        </w:tc>
        <w:tc>
          <w:tcPr>
            <w:tcW w:w="930" w:type="pct"/>
          </w:tcPr>
          <w:p w14:paraId="3231BE3F" w14:textId="77777777" w:rsidR="005A3D8B" w:rsidRPr="00C03A6B" w:rsidRDefault="005A3D8B" w:rsidP="005A3D8B">
            <w:pPr>
              <w:jc w:val="center"/>
              <w:rPr>
                <w:sz w:val="20"/>
                <w:szCs w:val="20"/>
                <w:lang w:val="en-GB"/>
              </w:rPr>
            </w:pPr>
          </w:p>
        </w:tc>
      </w:tr>
      <w:tr w:rsidR="005A3D8B" w:rsidRPr="00402AEC" w14:paraId="5B3A57B5" w14:textId="77777777" w:rsidTr="008D1FC6">
        <w:tc>
          <w:tcPr>
            <w:tcW w:w="1739" w:type="pct"/>
          </w:tcPr>
          <w:p w14:paraId="0A2BD36E" w14:textId="430D28E7" w:rsidR="005A3D8B" w:rsidRPr="006E76E9" w:rsidRDefault="005A3D8B" w:rsidP="005A3D8B">
            <w:pPr>
              <w:rPr>
                <w:sz w:val="20"/>
                <w:szCs w:val="20"/>
                <w:lang w:val="en-GB" w:bidi="en-US"/>
              </w:rPr>
            </w:pPr>
            <w:r w:rsidRPr="00071CA2">
              <w:rPr>
                <w:sz w:val="20"/>
                <w:szCs w:val="20"/>
                <w:lang w:val="en-GB" w:bidi="en-US"/>
              </w:rPr>
              <w:t>(</w:t>
            </w:r>
            <w:r w:rsidRPr="00071CA2">
              <w:rPr>
                <w:sz w:val="20"/>
                <w:szCs w:val="20"/>
                <w:lang w:val="en-GB" w:bidi="en-US"/>
              </w:rPr>
              <w:fldChar w:fldCharType="begin" w:fldLock="1"/>
            </w:r>
            <w:r w:rsidR="003445CC">
              <w:rPr>
                <w:sz w:val="20"/>
                <w:szCs w:val="20"/>
                <w:lang w:val="en-GB" w:bidi="en-US"/>
              </w:rPr>
              <w:instrText>ADDIN CSL_CITATION {"citationItems":[{"id":"ITEM-1","itemData":{"DOI":"10.1016/j.procir.2017.03.034","ISBN":"22128271 (ISSN)","ISSN":"22128271","abstract":"Circular Economy (CE) is an alternative to achieve more sustainability and to improve the current economic system through the transformation of the linear and semi-circular flows to circulate ones, keeping products at a higher level of utility and for a longer period of time. Ellen McArthur Foundation (EMF) and IDEO developed a Circular Design Guide (CE toolkit) intended to support companies to apply the circular principles on their own organizations. In this context, some authors noted that the development of a product-service system (PSS) initiative can help in the transition to a CE. The aim of this paper is to evaluate the objectives of the CE Toolkit joint with a PSS methodology already existent in literature. A matrix was applied to analyse the CE toolkit versus the PSS methodology, and a Likert scale was applied to characterize the relation between each stage of the methodology and each objective of the toolkit. The most important findings are related to the absence of CE concepts and its connection to PSS in previously existent methodology, which lacks methods to support the application of it, and lacks the incentive to use recovery techniques as recycling, remanufacturing and reuse of parts on PSS. At the same time, the toolkit lacks some practical aspects of the transition to PSS, such as identifying the competitors and the definition of a very detailed list of equipment and infrastructure required for the business.","author":[{"dropping-particle":"","family":"Reigado Rodrigues","given":"Carolina","non-dropping-particle":"","parse-names":false,"suffix":""},{"dropping-particle":"","family":"Costa Fernandes","given":"Sânia","non-dropping-particle":"da","parse-names":false,"suffix":""},{"dropping-particle":"","family":"Barrera Saavedra","given":"Yovana Maria","non-dropping-particle":"","parse-names":false,"suffix":""},{"dropping-particle":"","family":"Ometto","given":"Aldo Roberto","non-dropping-particle":"","parse-names":false,"suffix":""},{"dropping-particle":"","family":"Hornos da Costa","given":"Janaina Mascarenhas","non-dropping-particle":"","parse-names":false,"suffix":""}],"container-title":"Procedia CIRP","id":"ITEM-1","issued":{"date-parts":[["2017"]]},"page":"37-42","publisher":"The Author(s)","title":"A Circular Economy Toolkit as an Alternative to Improve the Application of PSS Methodologies","type":"article-journal","volume":"64"},"uris":["http://www.mendeley.com/documents/?uuid=b7349228-1915-4353-b953-983dfcc26bbd"]}],"mendeley":{"formattedCitation":"(Reigado Rodrigues et al., 2017)","manualFormatting":"Reigado et al. 2017)","plainTextFormattedCitation":"(Reigado Rodrigues et al., 2017)","previouslyFormattedCitation":"(Reigado Rodrigues et al., 2017)"},"properties":{"noteIndex":0},"schema":"https://github.com/citation-style-language/schema/raw/master/csl-citation.json"}</w:instrText>
            </w:r>
            <w:r w:rsidRPr="00071CA2">
              <w:rPr>
                <w:sz w:val="20"/>
                <w:szCs w:val="20"/>
                <w:lang w:val="en-GB" w:bidi="en-US"/>
              </w:rPr>
              <w:fldChar w:fldCharType="separate"/>
            </w:r>
            <w:r w:rsidRPr="00071CA2">
              <w:rPr>
                <w:noProof/>
                <w:sz w:val="20"/>
                <w:szCs w:val="20"/>
                <w:lang w:val="en-GB" w:bidi="en-US"/>
              </w:rPr>
              <w:t>Reigado et al. 2017)</w:t>
            </w:r>
            <w:r w:rsidRPr="00071CA2">
              <w:rPr>
                <w:sz w:val="20"/>
                <w:szCs w:val="20"/>
                <w:lang w:val="en-GB" w:bidi="en-US"/>
              </w:rPr>
              <w:fldChar w:fldCharType="end"/>
            </w:r>
          </w:p>
        </w:tc>
        <w:tc>
          <w:tcPr>
            <w:tcW w:w="847" w:type="pct"/>
          </w:tcPr>
          <w:p w14:paraId="4E5AD589" w14:textId="77777777" w:rsidR="005A3D8B" w:rsidRPr="00C03A6B" w:rsidRDefault="005A3D8B" w:rsidP="005A3D8B">
            <w:pPr>
              <w:jc w:val="center"/>
              <w:rPr>
                <w:sz w:val="20"/>
                <w:szCs w:val="20"/>
                <w:lang w:val="en-GB"/>
              </w:rPr>
            </w:pPr>
          </w:p>
        </w:tc>
        <w:tc>
          <w:tcPr>
            <w:tcW w:w="742" w:type="pct"/>
          </w:tcPr>
          <w:p w14:paraId="0DBED9EA" w14:textId="77777777" w:rsidR="005A3D8B" w:rsidRPr="006E76E9" w:rsidRDefault="005A3D8B" w:rsidP="005A3D8B">
            <w:pPr>
              <w:jc w:val="center"/>
              <w:rPr>
                <w:sz w:val="20"/>
                <w:szCs w:val="20"/>
                <w:lang w:val="en-GB"/>
              </w:rPr>
            </w:pPr>
          </w:p>
        </w:tc>
        <w:tc>
          <w:tcPr>
            <w:tcW w:w="743" w:type="pct"/>
          </w:tcPr>
          <w:p w14:paraId="6DBAA41F" w14:textId="77777777" w:rsidR="005A3D8B" w:rsidRPr="00C03A6B" w:rsidRDefault="005A3D8B" w:rsidP="005A3D8B">
            <w:pPr>
              <w:jc w:val="center"/>
              <w:rPr>
                <w:sz w:val="20"/>
                <w:szCs w:val="20"/>
                <w:lang w:val="en-GB"/>
              </w:rPr>
            </w:pPr>
          </w:p>
        </w:tc>
        <w:tc>
          <w:tcPr>
            <w:tcW w:w="930" w:type="pct"/>
          </w:tcPr>
          <w:p w14:paraId="2C37295B" w14:textId="502146BA" w:rsidR="005A3D8B" w:rsidRPr="00C03A6B" w:rsidRDefault="005A3D8B" w:rsidP="005A3D8B">
            <w:pPr>
              <w:jc w:val="center"/>
              <w:rPr>
                <w:sz w:val="20"/>
                <w:szCs w:val="20"/>
                <w:lang w:val="en-GB"/>
              </w:rPr>
            </w:pPr>
            <w:r w:rsidRPr="00071CA2">
              <w:rPr>
                <w:sz w:val="20"/>
                <w:szCs w:val="20"/>
                <w:lang w:val="en-GB"/>
              </w:rPr>
              <w:t>x</w:t>
            </w:r>
          </w:p>
        </w:tc>
      </w:tr>
      <w:tr w:rsidR="005A3D8B" w:rsidRPr="00402AEC" w14:paraId="4C072CC9" w14:textId="77777777" w:rsidTr="008D1FC6">
        <w:tc>
          <w:tcPr>
            <w:tcW w:w="1739" w:type="pct"/>
          </w:tcPr>
          <w:p w14:paraId="1BEE3DE1" w14:textId="1823415F" w:rsidR="005A3D8B" w:rsidRPr="00C03A6B" w:rsidRDefault="005A3D8B" w:rsidP="005A3D8B">
            <w:pPr>
              <w:rPr>
                <w:sz w:val="20"/>
                <w:szCs w:val="20"/>
                <w:highlight w:val="yellow"/>
                <w:lang w:val="en-GB"/>
              </w:rPr>
            </w:pPr>
            <w:r w:rsidRPr="004E15F0">
              <w:rPr>
                <w:sz w:val="20"/>
                <w:szCs w:val="20"/>
                <w:lang w:val="en-GB" w:bidi="en-US"/>
              </w:rPr>
              <w:t>(</w:t>
            </w:r>
            <w:r w:rsidRPr="004E15F0">
              <w:rPr>
                <w:sz w:val="20"/>
                <w:szCs w:val="20"/>
                <w:lang w:val="en-GB" w:bidi="en-US"/>
              </w:rPr>
              <w:fldChar w:fldCharType="begin" w:fldLock="1"/>
            </w:r>
            <w:r w:rsidR="003445CC">
              <w:rPr>
                <w:sz w:val="20"/>
                <w:szCs w:val="20"/>
                <w:lang w:val="en-GB" w:bidi="en-US"/>
              </w:rPr>
              <w:instrText>ADDIN CSL_CITATION {"citationItems":[{"id":"ITEM-1","itemData":{"DOI":"10.1080/00207543.2017.1398429","ISBN":"00207543 (ISSN)","ISSN":"1366588X","abstract":"This paper explores the role of the second-hand market when transitioning to a closed-loop system where products are leased multiple times. The total cost of ownership for consumers and profitability for manufacturers are compared in circular and linear business cases. We find that while second-hand markets were beneficial for manufacturers of durable goods in a linear system, since they increased the consumers? willingness-to-pay for new products, the same second-hand markets might restrict the profitability of a closed-loop business model. A high resale value results in a relatively low cost of ownership in the sales system and additional activities in the closed-loop model (such as managing the lease contracts and refurbishment) add significant costs to the supply chain. Consequently, the economic (and environmental) benefits of leasing products already traded on second-hand markets in the linear system are often limited. Our simple analytical model allows a quick and dirty analysis of multiple scenarios with a minimum of inputs. We argue that manufacturers lack these kinds of models to guide them in navigating circular economy business models.","author":[{"dropping-particle":"","family":"Loon","given":"Patricia","non-dropping-particle":"van","parse-names":false,"suffix":""},{"dropping-particle":"","family":"Delagarde","given":"Charles","non-dropping-particle":"","parse-names":false,"suffix":""},{"dropping-particle":"","family":"Wassenhove","given":"Luk N.","non-dropping-particle":"Van","parse-names":false,"suffix":""}],"container-title":"International Journal of Production Research","id":"ITEM-1","issued":{"date-parts":[["2017"]]},"page":"1-14","publisher":"Taylor &amp; Francis","title":"The role of second-hand markets in circular business: a simple model for leasing versus selling consumer products","type":"article-journal","volume":"7543"},"uris":["http://www.mendeley.com/documents/?uuid=f410270c-4557-4803-9842-e1b0adf49d9b"]}],"mendeley":{"formattedCitation":"(van Loon et al., 2017)","manualFormatting":"van Loon et al. 2017)","plainTextFormattedCitation":"(van Loon et al., 2017)","previouslyFormattedCitation":"(van Loon et al., 2017)"},"properties":{"noteIndex":0},"schema":"https://github.com/citation-style-language/schema/raw/master/csl-citation.json"}</w:instrText>
            </w:r>
            <w:r w:rsidRPr="004E15F0">
              <w:rPr>
                <w:sz w:val="20"/>
                <w:szCs w:val="20"/>
                <w:lang w:val="en-GB" w:bidi="en-US"/>
              </w:rPr>
              <w:fldChar w:fldCharType="separate"/>
            </w:r>
            <w:r w:rsidRPr="004E15F0">
              <w:rPr>
                <w:noProof/>
                <w:sz w:val="20"/>
                <w:szCs w:val="20"/>
                <w:lang w:val="en-GB" w:bidi="en-US"/>
              </w:rPr>
              <w:t>van Loon et al. 2017)</w:t>
            </w:r>
            <w:r w:rsidRPr="004E15F0">
              <w:rPr>
                <w:sz w:val="20"/>
                <w:szCs w:val="20"/>
                <w:lang w:val="en-GB" w:bidi="en-US"/>
              </w:rPr>
              <w:fldChar w:fldCharType="end"/>
            </w:r>
          </w:p>
        </w:tc>
        <w:tc>
          <w:tcPr>
            <w:tcW w:w="847" w:type="pct"/>
          </w:tcPr>
          <w:p w14:paraId="1DC8AC6B" w14:textId="738367B0" w:rsidR="005A3D8B" w:rsidRPr="00746DB3" w:rsidRDefault="005A3D8B" w:rsidP="005A3D8B">
            <w:pPr>
              <w:jc w:val="center"/>
              <w:rPr>
                <w:sz w:val="20"/>
                <w:szCs w:val="20"/>
                <w:lang w:val="en-GB"/>
              </w:rPr>
            </w:pPr>
          </w:p>
        </w:tc>
        <w:tc>
          <w:tcPr>
            <w:tcW w:w="742" w:type="pct"/>
          </w:tcPr>
          <w:p w14:paraId="368B49E2" w14:textId="77777777" w:rsidR="005A3D8B" w:rsidRPr="00746DB3" w:rsidRDefault="005A3D8B" w:rsidP="005A3D8B">
            <w:pPr>
              <w:jc w:val="center"/>
              <w:rPr>
                <w:sz w:val="20"/>
                <w:szCs w:val="20"/>
                <w:lang w:val="en-GB"/>
              </w:rPr>
            </w:pPr>
          </w:p>
        </w:tc>
        <w:tc>
          <w:tcPr>
            <w:tcW w:w="743" w:type="pct"/>
          </w:tcPr>
          <w:p w14:paraId="189E21BF" w14:textId="77777777" w:rsidR="005A3D8B" w:rsidRPr="00746DB3" w:rsidRDefault="005A3D8B" w:rsidP="005A3D8B">
            <w:pPr>
              <w:jc w:val="center"/>
              <w:rPr>
                <w:sz w:val="20"/>
                <w:szCs w:val="20"/>
                <w:lang w:val="en-GB"/>
              </w:rPr>
            </w:pPr>
          </w:p>
        </w:tc>
        <w:tc>
          <w:tcPr>
            <w:tcW w:w="930" w:type="pct"/>
          </w:tcPr>
          <w:p w14:paraId="05814A2C" w14:textId="6806CAAB" w:rsidR="005A3D8B" w:rsidRPr="00746DB3" w:rsidRDefault="005A3D8B" w:rsidP="005A3D8B">
            <w:pPr>
              <w:jc w:val="center"/>
              <w:rPr>
                <w:sz w:val="20"/>
                <w:szCs w:val="20"/>
                <w:lang w:val="en-GB"/>
              </w:rPr>
            </w:pPr>
            <w:r w:rsidRPr="004E15F0">
              <w:rPr>
                <w:sz w:val="20"/>
                <w:szCs w:val="20"/>
                <w:lang w:val="en-GB"/>
              </w:rPr>
              <w:t>x</w:t>
            </w:r>
          </w:p>
        </w:tc>
      </w:tr>
      <w:tr w:rsidR="005A3D8B" w:rsidRPr="00402AEC" w14:paraId="40099761" w14:textId="77777777" w:rsidTr="008D1FC6">
        <w:tc>
          <w:tcPr>
            <w:tcW w:w="1739" w:type="pct"/>
          </w:tcPr>
          <w:p w14:paraId="4A4DFAB4" w14:textId="285B31E5" w:rsidR="005A3D8B" w:rsidRPr="00C03A6B" w:rsidRDefault="005A3D8B" w:rsidP="005A3D8B">
            <w:pPr>
              <w:rPr>
                <w:sz w:val="20"/>
                <w:szCs w:val="20"/>
                <w:highlight w:val="yellow"/>
                <w:lang w:val="en-GB"/>
              </w:rPr>
            </w:pPr>
            <w:r w:rsidRPr="004E15F0">
              <w:rPr>
                <w:sz w:val="20"/>
                <w:szCs w:val="20"/>
                <w:lang w:val="en-GB" w:bidi="en-US"/>
              </w:rPr>
              <w:t>(</w:t>
            </w:r>
            <w:r w:rsidRPr="004E15F0">
              <w:rPr>
                <w:sz w:val="20"/>
                <w:szCs w:val="20"/>
                <w:lang w:val="en-GB" w:bidi="en-US"/>
              </w:rPr>
              <w:fldChar w:fldCharType="begin" w:fldLock="1"/>
            </w:r>
            <w:r w:rsidR="003445CC">
              <w:rPr>
                <w:sz w:val="20"/>
                <w:szCs w:val="20"/>
                <w:lang w:val="en-GB" w:bidi="en-US"/>
              </w:rPr>
              <w:instrText>ADDIN CSL_CITATION {"citationItems":[{"id":"ITEM-1","itemData":{"DOI":"10.1080/00207543.2017.1367107","ISBN":"00207543 (ISSN)","ISSN":"1366588X","author":[{"dropping-particle":"","family":"Loon","given":"Patricia","non-dropping-particle":"van","parse-names":false,"suffix":""},{"dropping-particle":"","family":"Wassenhove","given":"Luk N.","non-dropping-particle":"Van","parse-names":false,"suffix":""}],"container-title":"International Journal of Production Research","id":"ITEM-1","issue":"September","issued":{"date-parts":[["2017"]]},"page":"1-13","publisher":"Taylor &amp; Francis","title":"Assessing the economic and environmental impact of remanufacturing: a decision support tool for OEM suppliers","type":"article-journal","volume":"7543"},"uris":["http://www.mendeley.com/documents/?uuid=2c942c08-fe59-4a93-bf64-a8ad18ddd7c6"]}],"mendeley":{"formattedCitation":"(van Loon and Van Wassenhove, 2017)","manualFormatting":"van Loon and Van Wassenhove 2017)","plainTextFormattedCitation":"(van Loon and Van Wassenhove, 2017)","previouslyFormattedCitation":"(van Loon and Van Wassenhove, 2017)"},"properties":{"noteIndex":0},"schema":"https://github.com/citation-style-language/schema/raw/master/csl-citation.json"}</w:instrText>
            </w:r>
            <w:r w:rsidRPr="004E15F0">
              <w:rPr>
                <w:sz w:val="20"/>
                <w:szCs w:val="20"/>
                <w:lang w:val="en-GB" w:bidi="en-US"/>
              </w:rPr>
              <w:fldChar w:fldCharType="separate"/>
            </w:r>
            <w:r w:rsidRPr="004E15F0">
              <w:rPr>
                <w:noProof/>
                <w:sz w:val="20"/>
                <w:szCs w:val="20"/>
                <w:lang w:val="en-GB" w:bidi="en-US"/>
              </w:rPr>
              <w:t>van Loon and Van Wassenhove 2017)</w:t>
            </w:r>
            <w:r w:rsidRPr="004E15F0">
              <w:rPr>
                <w:sz w:val="20"/>
                <w:szCs w:val="20"/>
                <w:lang w:val="en-GB" w:bidi="en-US"/>
              </w:rPr>
              <w:fldChar w:fldCharType="end"/>
            </w:r>
          </w:p>
        </w:tc>
        <w:tc>
          <w:tcPr>
            <w:tcW w:w="847" w:type="pct"/>
          </w:tcPr>
          <w:p w14:paraId="2C97A382" w14:textId="5263ACF7" w:rsidR="005A3D8B" w:rsidRPr="00746DB3" w:rsidRDefault="005A3D8B" w:rsidP="005A3D8B">
            <w:pPr>
              <w:jc w:val="center"/>
              <w:rPr>
                <w:sz w:val="20"/>
                <w:szCs w:val="20"/>
                <w:lang w:val="en-GB"/>
              </w:rPr>
            </w:pPr>
          </w:p>
        </w:tc>
        <w:tc>
          <w:tcPr>
            <w:tcW w:w="742" w:type="pct"/>
          </w:tcPr>
          <w:p w14:paraId="50687D14" w14:textId="3B9AAEC4" w:rsidR="005A3D8B" w:rsidRPr="00746DB3" w:rsidRDefault="005A3D8B" w:rsidP="005A3D8B">
            <w:pPr>
              <w:jc w:val="center"/>
              <w:rPr>
                <w:sz w:val="20"/>
                <w:szCs w:val="20"/>
                <w:lang w:val="en-GB"/>
              </w:rPr>
            </w:pPr>
          </w:p>
        </w:tc>
        <w:tc>
          <w:tcPr>
            <w:tcW w:w="743" w:type="pct"/>
          </w:tcPr>
          <w:p w14:paraId="539353B6" w14:textId="77777777" w:rsidR="005A3D8B" w:rsidRPr="00746DB3" w:rsidRDefault="005A3D8B" w:rsidP="005A3D8B">
            <w:pPr>
              <w:jc w:val="center"/>
              <w:rPr>
                <w:sz w:val="20"/>
                <w:szCs w:val="20"/>
                <w:lang w:val="en-GB"/>
              </w:rPr>
            </w:pPr>
          </w:p>
        </w:tc>
        <w:tc>
          <w:tcPr>
            <w:tcW w:w="930" w:type="pct"/>
          </w:tcPr>
          <w:p w14:paraId="55FF5916" w14:textId="1944083E" w:rsidR="005A3D8B" w:rsidRPr="00746DB3" w:rsidRDefault="005A3D8B" w:rsidP="005A3D8B">
            <w:pPr>
              <w:jc w:val="center"/>
              <w:rPr>
                <w:sz w:val="20"/>
                <w:szCs w:val="20"/>
                <w:lang w:val="en-GB"/>
              </w:rPr>
            </w:pPr>
            <w:r w:rsidRPr="004E15F0">
              <w:rPr>
                <w:sz w:val="20"/>
                <w:szCs w:val="20"/>
                <w:lang w:val="en-GB"/>
              </w:rPr>
              <w:t>x</w:t>
            </w:r>
          </w:p>
        </w:tc>
      </w:tr>
      <w:tr w:rsidR="005A3D8B" w:rsidRPr="00402AEC" w14:paraId="5B1811E5" w14:textId="77777777" w:rsidTr="008D1FC6">
        <w:tc>
          <w:tcPr>
            <w:tcW w:w="1739" w:type="pct"/>
          </w:tcPr>
          <w:p w14:paraId="4B013DC7" w14:textId="38F94290" w:rsidR="005A3D8B" w:rsidRPr="00C03A6B" w:rsidRDefault="005A3D8B" w:rsidP="005A3D8B">
            <w:pPr>
              <w:rPr>
                <w:sz w:val="20"/>
                <w:szCs w:val="20"/>
                <w:highlight w:val="yellow"/>
                <w:lang w:val="en-GB"/>
              </w:rPr>
            </w:pPr>
            <w:r w:rsidRPr="00351427">
              <w:rPr>
                <w:sz w:val="20"/>
                <w:szCs w:val="20"/>
                <w:lang w:val="en-GB" w:bidi="en-US"/>
              </w:rPr>
              <w:t>(</w:t>
            </w:r>
            <w:r w:rsidRPr="00351427">
              <w:rPr>
                <w:sz w:val="20"/>
                <w:szCs w:val="20"/>
                <w:lang w:val="en-GB" w:bidi="en-US"/>
              </w:rPr>
              <w:fldChar w:fldCharType="begin" w:fldLock="1"/>
            </w:r>
            <w:r w:rsidR="003445CC">
              <w:rPr>
                <w:sz w:val="20"/>
                <w:szCs w:val="20"/>
                <w:lang w:val="en-GB" w:bidi="en-US"/>
              </w:rPr>
              <w:instrText>ADDIN CSL_CITATION {"citationItems":[{"id":"ITEM-1","itemData":{"DOI":"10.1080/10807030902761361","ISSN":"10807039","abstract":"This article develops a systems dynamics and multi-objective programming\\nmodel (SDMOP) for planning a regional circular economy. Various risk\\nanalyses are conducted using the technique of sensitivity analysis. This\\nSDMOP model includes two modules: the MOP module used to derive\\noptimized parameters as inputs to the systems dynamics model, and the\\nsystems dynamics module used to plan the regional circular economy. We\\ndemonstrate the application of this SDMOP model to a problem of planning\\nthe circular economy of a county in the Sichuan Province of China.","author":[{"dropping-particle":"","family":"Xu","given":"Jiuping","non-dropping-particle":"","parse-names":false,"suffix":""},{"dropping-particle":"","family":"Li","given":"Xiaofei","non-dropping-particle":"","parse-names":false,"suffix":""},{"dropping-particle":"","family":"Wu","given":"Desheng Dash","non-dropping-particle":"","parse-names":false,"suffix":""}],"container-title":"Human and Ecological Risk Assessment: An International journal","id":"ITEM-1","issue":"2","issued":{"date-parts":[["2009"]]},"page":"316-331","title":"Optimizing circular economy planning and risk analysis using system dynamics","type":"article-journal","volume":"15"},"uris":["http://www.mendeley.com/documents/?uuid=04493f51-d89d-4310-a71b-b1473a310709"]}],"mendeley":{"formattedCitation":"(Xu et al., 2009)","manualFormatting":"Xu et al. 2009)","plainTextFormattedCitation":"(Xu et al., 2009)","previouslyFormattedCitation":"(Xu et al., 2009)"},"properties":{"noteIndex":0},"schema":"https://github.com/citation-style-language/schema/raw/master/csl-citation.json"}</w:instrText>
            </w:r>
            <w:r w:rsidRPr="00351427">
              <w:rPr>
                <w:sz w:val="20"/>
                <w:szCs w:val="20"/>
                <w:lang w:val="en-GB" w:bidi="en-US"/>
              </w:rPr>
              <w:fldChar w:fldCharType="separate"/>
            </w:r>
            <w:r w:rsidRPr="00351427">
              <w:rPr>
                <w:noProof/>
                <w:sz w:val="20"/>
                <w:szCs w:val="20"/>
                <w:lang w:val="en-GB" w:bidi="en-US"/>
              </w:rPr>
              <w:t>Xu et al. 2009)</w:t>
            </w:r>
            <w:r w:rsidRPr="00351427">
              <w:rPr>
                <w:sz w:val="20"/>
                <w:szCs w:val="20"/>
                <w:lang w:val="en-GB" w:bidi="en-US"/>
              </w:rPr>
              <w:fldChar w:fldCharType="end"/>
            </w:r>
          </w:p>
        </w:tc>
        <w:tc>
          <w:tcPr>
            <w:tcW w:w="847" w:type="pct"/>
          </w:tcPr>
          <w:p w14:paraId="09ABD775" w14:textId="1E9BBC02" w:rsidR="005A3D8B" w:rsidRPr="00746DB3" w:rsidRDefault="005A3D8B" w:rsidP="005A3D8B">
            <w:pPr>
              <w:jc w:val="center"/>
              <w:rPr>
                <w:sz w:val="20"/>
                <w:szCs w:val="20"/>
                <w:lang w:val="en-GB"/>
              </w:rPr>
            </w:pPr>
            <w:r w:rsidRPr="00351427">
              <w:rPr>
                <w:sz w:val="20"/>
                <w:szCs w:val="20"/>
                <w:lang w:val="en-GB"/>
              </w:rPr>
              <w:t>x</w:t>
            </w:r>
          </w:p>
        </w:tc>
        <w:tc>
          <w:tcPr>
            <w:tcW w:w="742" w:type="pct"/>
          </w:tcPr>
          <w:p w14:paraId="20756704" w14:textId="19EF526A" w:rsidR="005A3D8B" w:rsidRPr="00746DB3" w:rsidRDefault="005A3D8B" w:rsidP="005A3D8B">
            <w:pPr>
              <w:jc w:val="center"/>
              <w:rPr>
                <w:sz w:val="20"/>
                <w:szCs w:val="20"/>
                <w:lang w:val="en-GB"/>
              </w:rPr>
            </w:pPr>
          </w:p>
        </w:tc>
        <w:tc>
          <w:tcPr>
            <w:tcW w:w="743" w:type="pct"/>
          </w:tcPr>
          <w:p w14:paraId="52FDD12E" w14:textId="77777777" w:rsidR="005A3D8B" w:rsidRPr="00746DB3" w:rsidRDefault="005A3D8B" w:rsidP="005A3D8B">
            <w:pPr>
              <w:jc w:val="center"/>
              <w:rPr>
                <w:sz w:val="20"/>
                <w:szCs w:val="20"/>
                <w:lang w:val="en-GB"/>
              </w:rPr>
            </w:pPr>
          </w:p>
        </w:tc>
        <w:tc>
          <w:tcPr>
            <w:tcW w:w="930" w:type="pct"/>
          </w:tcPr>
          <w:p w14:paraId="6E4EAB8C" w14:textId="77777777" w:rsidR="005A3D8B" w:rsidRPr="00746DB3" w:rsidRDefault="005A3D8B" w:rsidP="005A3D8B">
            <w:pPr>
              <w:jc w:val="center"/>
              <w:rPr>
                <w:sz w:val="20"/>
                <w:szCs w:val="20"/>
                <w:lang w:val="en-GB"/>
              </w:rPr>
            </w:pPr>
          </w:p>
        </w:tc>
      </w:tr>
      <w:tr w:rsidR="005A3D8B" w:rsidRPr="00402AEC" w14:paraId="07E7B2AE" w14:textId="77777777" w:rsidTr="008D1FC6">
        <w:tc>
          <w:tcPr>
            <w:tcW w:w="1739" w:type="pct"/>
          </w:tcPr>
          <w:p w14:paraId="457357BB" w14:textId="6E02E3E9" w:rsidR="005A3D8B" w:rsidRPr="00C03A6B" w:rsidRDefault="005A3D8B" w:rsidP="005A3D8B">
            <w:pPr>
              <w:rPr>
                <w:sz w:val="20"/>
                <w:szCs w:val="20"/>
                <w:highlight w:val="yellow"/>
                <w:lang w:val="en-GB"/>
              </w:rPr>
            </w:pPr>
            <w:r w:rsidRPr="00351427">
              <w:rPr>
                <w:sz w:val="20"/>
                <w:szCs w:val="20"/>
                <w:lang w:val="en-GB" w:bidi="en-US"/>
              </w:rPr>
              <w:t>(</w:t>
            </w:r>
            <w:r w:rsidRPr="00351427">
              <w:rPr>
                <w:sz w:val="20"/>
                <w:szCs w:val="20"/>
                <w:lang w:val="en-GB" w:bidi="en-US"/>
              </w:rPr>
              <w:fldChar w:fldCharType="begin" w:fldLock="1"/>
            </w:r>
            <w:r w:rsidR="003445CC">
              <w:rPr>
                <w:sz w:val="20"/>
                <w:szCs w:val="20"/>
                <w:lang w:val="en-GB" w:bidi="en-US"/>
              </w:rPr>
              <w:instrText>ADDIN CSL_CITATION {"citationItems":[{"id":"ITEM-1","itemData":{"DOI":"10.1016/j.jclepro.2016.11.041","ISBN":"09596526","ISSN":"09596526","abstract":"With the increasing conflicts among economic growth, environmental deterioration, and resource shortage, as an effective way to achieve the sustainable development and circular economy, the eco-industrial park gradually becomes a critical research issue in the field of recycling economy. In this paper, a hybrid framework for evaluating the comprehensive benefit of eco-industrial parks from the perspective of circular economy was proposed. Firstly, the evaluation index system for eco-industrial parks was constructed by employing the grey-Delphi method according to the opinions provided by experts from relevant fields, which includes economic benefit criteria, social benefit criteria, environmental benefit criteria, ecology industry construction criteria, and management level criteria, consisting of seventeen quantitative sub-criteria and nine qualitative sub-criteria. Secondly, in order to solve complicated, uncertain and ambiguous problems under the fuzzy background, a hybrid multi-criteria decision making (MCDM) approach was put forward on the basis of superiority linguistic ratings and entropy weight method for weight determination as well as fuzzy-VIKOR for ranking alternatives. Finally, the effectiveness and practicality of the proposed hybrid MCDM approach was demonstrated through a case analysis of six representative eco-industrial parks in China, and the comprehensive benefits of six eco-industrial parks were prioritized effectively. The hybrid MCDM approach in this paper presents a great potential in evaluating and ranking the comprehensive benefits of eco-industrial parks through solving complex and ambiguous problems in a fuzzy environment and varying MCDM tools. The evaluation findings by employing the proposed MCDM approach can provide references for the construction and management of eco-industrial parks and relevant policy formulation.","author":[{"dropping-particle":"","family":"Zhao","given":"Haoran","non-dropping-particle":"","parse-names":false,"suffix":""},{"dropping-particle":"","family":"Zhao","given":"Huiru","non-dropping-particle":"","parse-names":false,"suffix":""},{"dropping-particle":"","family":"Guo","given":"Sen","non-dropping-particle":"","parse-names":false,"suffix":""}],"container-title":"Journal of Cleaner Production","id":"ITEM-1","issued":{"date-parts":[["2017"]]},"page":"2262-2276","publisher":"Elsevier Ltd","title":"Evaluating the comprehensive benefit of eco-industrial parks by employing multi-criteria decision making approach for circular economy","type":"article-journal","volume":"142"},"uris":["http://www.mendeley.com/documents/?uuid=011da03e-e862-4084-b82c-9c36c0210050"]}],"mendeley":{"formattedCitation":"(Zhao et al., 2017)","manualFormatting":"Zhao et al. 2017)","plainTextFormattedCitation":"(Zhao et al., 2017)","previouslyFormattedCitation":"(Zhao et al., 2017)"},"properties":{"noteIndex":0},"schema":"https://github.com/citation-style-language/schema/raw/master/csl-citation.json"}</w:instrText>
            </w:r>
            <w:r w:rsidRPr="00351427">
              <w:rPr>
                <w:sz w:val="20"/>
                <w:szCs w:val="20"/>
                <w:lang w:val="en-GB" w:bidi="en-US"/>
              </w:rPr>
              <w:fldChar w:fldCharType="separate"/>
            </w:r>
            <w:r w:rsidRPr="00351427">
              <w:rPr>
                <w:noProof/>
                <w:sz w:val="20"/>
                <w:szCs w:val="20"/>
                <w:lang w:val="en-GB" w:bidi="en-US"/>
              </w:rPr>
              <w:t>Zhao et al. 2017)</w:t>
            </w:r>
            <w:r w:rsidRPr="00351427">
              <w:rPr>
                <w:sz w:val="20"/>
                <w:szCs w:val="20"/>
                <w:lang w:val="en-GB" w:bidi="en-US"/>
              </w:rPr>
              <w:fldChar w:fldCharType="end"/>
            </w:r>
          </w:p>
        </w:tc>
        <w:tc>
          <w:tcPr>
            <w:tcW w:w="847" w:type="pct"/>
          </w:tcPr>
          <w:p w14:paraId="74F97D18" w14:textId="2439290C" w:rsidR="005A3D8B" w:rsidRPr="00746DB3" w:rsidRDefault="005A3D8B" w:rsidP="005A3D8B">
            <w:pPr>
              <w:jc w:val="center"/>
              <w:rPr>
                <w:sz w:val="20"/>
                <w:szCs w:val="20"/>
                <w:lang w:val="en-GB"/>
              </w:rPr>
            </w:pPr>
            <w:r w:rsidRPr="00351427">
              <w:rPr>
                <w:sz w:val="20"/>
                <w:szCs w:val="20"/>
                <w:lang w:val="en-GB"/>
              </w:rPr>
              <w:t>x</w:t>
            </w:r>
          </w:p>
        </w:tc>
        <w:tc>
          <w:tcPr>
            <w:tcW w:w="742" w:type="pct"/>
          </w:tcPr>
          <w:p w14:paraId="2240EB98" w14:textId="4B412304" w:rsidR="005A3D8B" w:rsidRPr="00746DB3" w:rsidRDefault="005A3D8B" w:rsidP="005A3D8B">
            <w:pPr>
              <w:jc w:val="center"/>
              <w:rPr>
                <w:sz w:val="20"/>
                <w:szCs w:val="20"/>
                <w:lang w:val="en-GB"/>
              </w:rPr>
            </w:pPr>
          </w:p>
        </w:tc>
        <w:tc>
          <w:tcPr>
            <w:tcW w:w="743" w:type="pct"/>
          </w:tcPr>
          <w:p w14:paraId="2F9AF306" w14:textId="77777777" w:rsidR="005A3D8B" w:rsidRPr="00746DB3" w:rsidRDefault="005A3D8B" w:rsidP="005A3D8B">
            <w:pPr>
              <w:jc w:val="center"/>
              <w:rPr>
                <w:sz w:val="20"/>
                <w:szCs w:val="20"/>
                <w:lang w:val="en-GB"/>
              </w:rPr>
            </w:pPr>
          </w:p>
        </w:tc>
        <w:tc>
          <w:tcPr>
            <w:tcW w:w="930" w:type="pct"/>
          </w:tcPr>
          <w:p w14:paraId="6669E79F" w14:textId="77777777" w:rsidR="005A3D8B" w:rsidRPr="00746DB3" w:rsidRDefault="005A3D8B" w:rsidP="005A3D8B">
            <w:pPr>
              <w:jc w:val="center"/>
              <w:rPr>
                <w:sz w:val="20"/>
                <w:szCs w:val="20"/>
                <w:lang w:val="en-GB"/>
              </w:rPr>
            </w:pPr>
          </w:p>
        </w:tc>
      </w:tr>
      <w:tr w:rsidR="009648BE" w:rsidRPr="009648BE" w14:paraId="2464FB02" w14:textId="77777777" w:rsidTr="008D1FC6">
        <w:tc>
          <w:tcPr>
            <w:tcW w:w="1739" w:type="pct"/>
          </w:tcPr>
          <w:p w14:paraId="05230018" w14:textId="0687174D" w:rsidR="009648BE" w:rsidRPr="00351427" w:rsidRDefault="009648BE" w:rsidP="005A3D8B">
            <w:pPr>
              <w:rPr>
                <w:sz w:val="20"/>
                <w:szCs w:val="20"/>
                <w:lang w:val="en-GB" w:bidi="en-US"/>
              </w:rPr>
            </w:pPr>
            <w:r>
              <w:rPr>
                <w:b/>
                <w:sz w:val="20"/>
                <w:szCs w:val="20"/>
                <w:lang w:val="en-GB"/>
              </w:rPr>
              <w:t>Total</w:t>
            </w:r>
          </w:p>
        </w:tc>
        <w:tc>
          <w:tcPr>
            <w:tcW w:w="847" w:type="pct"/>
          </w:tcPr>
          <w:p w14:paraId="2AC74DEB" w14:textId="7292B95F" w:rsidR="009648BE" w:rsidRPr="00746DB3" w:rsidRDefault="009648BE" w:rsidP="005A3D8B">
            <w:pPr>
              <w:jc w:val="center"/>
              <w:rPr>
                <w:b/>
                <w:sz w:val="20"/>
                <w:szCs w:val="20"/>
                <w:lang w:val="en-GB"/>
              </w:rPr>
            </w:pPr>
            <w:r w:rsidRPr="00746DB3">
              <w:rPr>
                <w:b/>
                <w:sz w:val="20"/>
                <w:szCs w:val="20"/>
                <w:lang w:val="en-GB"/>
              </w:rPr>
              <w:t>7</w:t>
            </w:r>
          </w:p>
        </w:tc>
        <w:tc>
          <w:tcPr>
            <w:tcW w:w="742" w:type="pct"/>
          </w:tcPr>
          <w:p w14:paraId="3B0508DD" w14:textId="07326844" w:rsidR="009648BE" w:rsidRPr="00746DB3" w:rsidRDefault="009648BE" w:rsidP="005A3D8B">
            <w:pPr>
              <w:jc w:val="center"/>
              <w:rPr>
                <w:b/>
                <w:sz w:val="20"/>
                <w:szCs w:val="20"/>
                <w:lang w:val="en-GB"/>
              </w:rPr>
            </w:pPr>
            <w:r w:rsidRPr="00746DB3">
              <w:rPr>
                <w:b/>
                <w:sz w:val="20"/>
                <w:szCs w:val="20"/>
                <w:lang w:val="en-GB"/>
              </w:rPr>
              <w:t>3</w:t>
            </w:r>
          </w:p>
        </w:tc>
        <w:tc>
          <w:tcPr>
            <w:tcW w:w="743" w:type="pct"/>
          </w:tcPr>
          <w:p w14:paraId="4B31CD9E" w14:textId="113DB97B" w:rsidR="009648BE" w:rsidRPr="00746DB3" w:rsidRDefault="009648BE" w:rsidP="005A3D8B">
            <w:pPr>
              <w:jc w:val="center"/>
              <w:rPr>
                <w:b/>
                <w:sz w:val="20"/>
                <w:szCs w:val="20"/>
                <w:lang w:val="en-GB"/>
              </w:rPr>
            </w:pPr>
            <w:r w:rsidRPr="00746DB3">
              <w:rPr>
                <w:b/>
                <w:sz w:val="20"/>
                <w:szCs w:val="20"/>
                <w:lang w:val="en-GB"/>
              </w:rPr>
              <w:t>2</w:t>
            </w:r>
          </w:p>
        </w:tc>
        <w:tc>
          <w:tcPr>
            <w:tcW w:w="930" w:type="pct"/>
          </w:tcPr>
          <w:p w14:paraId="50A9FD3D" w14:textId="01B2A8AA" w:rsidR="009648BE" w:rsidRPr="00746DB3" w:rsidRDefault="009648BE" w:rsidP="005A3D8B">
            <w:pPr>
              <w:jc w:val="center"/>
              <w:rPr>
                <w:b/>
                <w:sz w:val="20"/>
                <w:szCs w:val="20"/>
                <w:lang w:val="en-GB"/>
              </w:rPr>
            </w:pPr>
            <w:r w:rsidRPr="00746DB3">
              <w:rPr>
                <w:b/>
                <w:sz w:val="20"/>
                <w:szCs w:val="20"/>
                <w:lang w:val="en-GB"/>
              </w:rPr>
              <w:t>3</w:t>
            </w:r>
          </w:p>
        </w:tc>
      </w:tr>
    </w:tbl>
    <w:p w14:paraId="6D085844" w14:textId="37B3FB76" w:rsidR="00105A44" w:rsidRDefault="00105A44" w:rsidP="00216241">
      <w:pPr>
        <w:spacing w:after="240" w:line="360" w:lineRule="auto"/>
        <w:jc w:val="both"/>
        <w:rPr>
          <w:lang w:val="en-GB" w:bidi="en-US"/>
        </w:rPr>
      </w:pPr>
    </w:p>
    <w:p w14:paraId="0EC2A3DB" w14:textId="36BBF322" w:rsidR="00BC7CE3" w:rsidRPr="00402AEC" w:rsidRDefault="000A0D6C" w:rsidP="00216241">
      <w:pPr>
        <w:spacing w:after="240" w:line="360" w:lineRule="auto"/>
        <w:jc w:val="both"/>
        <w:rPr>
          <w:lang w:val="en-GB" w:bidi="en-US"/>
        </w:rPr>
      </w:pPr>
      <w:r w:rsidRPr="00746DB3">
        <w:rPr>
          <w:lang w:val="en-GB" w:bidi="en-US"/>
        </w:rPr>
        <w:lastRenderedPageBreak/>
        <w:t xml:space="preserve">Thanks to this analysis, four main types of CBM decision-support tools have been detected:  </w:t>
      </w:r>
      <w:r w:rsidR="00BC7CE3" w:rsidRPr="00106E8B">
        <w:rPr>
          <w:lang w:val="en-GB" w:bidi="en-US"/>
        </w:rPr>
        <w:t>Sustainability check, Problem</w:t>
      </w:r>
      <w:r w:rsidRPr="00746DB3">
        <w:rPr>
          <w:lang w:val="en-GB" w:bidi="en-US"/>
        </w:rPr>
        <w:t>-</w:t>
      </w:r>
      <w:r w:rsidR="00BC7CE3" w:rsidRPr="00106E8B">
        <w:rPr>
          <w:lang w:val="en-GB" w:bidi="en-US"/>
        </w:rPr>
        <w:t>solving, scenario analysis, linear/circular comparison</w:t>
      </w:r>
      <w:r w:rsidR="003568A1">
        <w:rPr>
          <w:lang w:val="en-GB" w:bidi="en-US"/>
        </w:rPr>
        <w:t xml:space="preserve"> (Table </w:t>
      </w:r>
      <w:r w:rsidR="00126282">
        <w:rPr>
          <w:lang w:val="en-GB" w:bidi="en-US"/>
        </w:rPr>
        <w:t>5</w:t>
      </w:r>
      <w:r w:rsidR="003568A1">
        <w:rPr>
          <w:lang w:val="en-GB" w:bidi="en-US"/>
        </w:rPr>
        <w:t>)</w:t>
      </w:r>
      <w:r w:rsidRPr="00106E8B">
        <w:rPr>
          <w:lang w:val="en-GB" w:bidi="en-US"/>
        </w:rPr>
        <w:t xml:space="preserve">. </w:t>
      </w:r>
      <w:r w:rsidR="00BE3A74" w:rsidRPr="00106E8B">
        <w:rPr>
          <w:lang w:val="en-GB" w:bidi="en-US"/>
        </w:rPr>
        <w:t xml:space="preserve">The most used tool </w:t>
      </w:r>
      <w:r w:rsidR="008F372F">
        <w:rPr>
          <w:lang w:val="en-GB" w:bidi="en-US"/>
        </w:rPr>
        <w:t>supporting</w:t>
      </w:r>
      <w:r w:rsidR="00EF349B" w:rsidRPr="00106E8B">
        <w:rPr>
          <w:lang w:val="en-GB" w:bidi="en-US"/>
        </w:rPr>
        <w:t xml:space="preserve"> decision</w:t>
      </w:r>
      <w:r w:rsidR="00B50C27">
        <w:rPr>
          <w:lang w:val="en-GB" w:bidi="en-US"/>
        </w:rPr>
        <w:t>-</w:t>
      </w:r>
      <w:r w:rsidR="00EF349B" w:rsidRPr="00106E8B">
        <w:rPr>
          <w:lang w:val="en-GB" w:bidi="en-US"/>
        </w:rPr>
        <w:t xml:space="preserve">making </w:t>
      </w:r>
      <w:r w:rsidR="00B50C27">
        <w:rPr>
          <w:lang w:val="en-GB" w:bidi="en-US"/>
        </w:rPr>
        <w:t xml:space="preserve">processes </w:t>
      </w:r>
      <w:r w:rsidR="00EF349B" w:rsidRPr="00106E8B">
        <w:rPr>
          <w:lang w:val="en-GB" w:bidi="en-US"/>
        </w:rPr>
        <w:t xml:space="preserve">under a circularity perspective </w:t>
      </w:r>
      <w:r w:rsidR="00BE3A74" w:rsidRPr="00106E8B">
        <w:rPr>
          <w:lang w:val="en-GB" w:bidi="en-US"/>
        </w:rPr>
        <w:t>is the sustainability check</w:t>
      </w:r>
      <w:r w:rsidR="00B50C27">
        <w:rPr>
          <w:lang w:val="en-GB" w:bidi="en-US"/>
        </w:rPr>
        <w:t>.</w:t>
      </w:r>
      <w:r w:rsidR="00BE3A74" w:rsidRPr="00106E8B">
        <w:rPr>
          <w:lang w:val="en-GB" w:bidi="en-US"/>
        </w:rPr>
        <w:t xml:space="preserve"> </w:t>
      </w:r>
      <w:r w:rsidR="00B50C27">
        <w:rPr>
          <w:lang w:val="en-GB" w:bidi="en-US"/>
        </w:rPr>
        <w:t>I</w:t>
      </w:r>
      <w:r w:rsidR="00EF349B" w:rsidRPr="00106E8B">
        <w:rPr>
          <w:lang w:val="en-GB" w:bidi="en-US"/>
        </w:rPr>
        <w:t xml:space="preserve">t seems to be a </w:t>
      </w:r>
      <w:r w:rsidR="00BE3A74" w:rsidRPr="00106E8B">
        <w:rPr>
          <w:lang w:val="en-GB" w:bidi="en-US"/>
        </w:rPr>
        <w:t xml:space="preserve">simple mean for companies to verify that circularity is applied </w:t>
      </w:r>
      <w:r w:rsidR="00BB7023">
        <w:rPr>
          <w:lang w:val="en-GB" w:bidi="en-US"/>
        </w:rPr>
        <w:t>in a correct way</w:t>
      </w:r>
      <w:r w:rsidR="00F50C8A">
        <w:rPr>
          <w:lang w:val="en-GB" w:bidi="en-US"/>
        </w:rPr>
        <w:t>,</w:t>
      </w:r>
      <w:r w:rsidR="00EF349B" w:rsidRPr="00106E8B">
        <w:rPr>
          <w:lang w:val="en-GB" w:bidi="en-US"/>
        </w:rPr>
        <w:t xml:space="preserve"> </w:t>
      </w:r>
      <w:r w:rsidR="00F50C8A">
        <w:rPr>
          <w:lang w:val="en-GB" w:bidi="en-US"/>
        </w:rPr>
        <w:t xml:space="preserve">by </w:t>
      </w:r>
      <w:r w:rsidR="00EF349B" w:rsidRPr="00106E8B">
        <w:rPr>
          <w:lang w:val="en-GB" w:bidi="en-US"/>
        </w:rPr>
        <w:t>focus</w:t>
      </w:r>
      <w:r w:rsidR="00106E8B" w:rsidRPr="00106E8B">
        <w:rPr>
          <w:lang w:val="en-GB" w:bidi="en-US"/>
        </w:rPr>
        <w:t>ing</w:t>
      </w:r>
      <w:r w:rsidR="00EF349B" w:rsidRPr="00106E8B">
        <w:rPr>
          <w:lang w:val="en-GB" w:bidi="en-US"/>
        </w:rPr>
        <w:t xml:space="preserve"> on </w:t>
      </w:r>
      <w:r w:rsidR="00106E8B" w:rsidRPr="00106E8B">
        <w:rPr>
          <w:lang w:val="en-GB" w:bidi="en-US"/>
        </w:rPr>
        <w:t xml:space="preserve">different </w:t>
      </w:r>
      <w:r w:rsidR="00EF349B" w:rsidRPr="00106E8B">
        <w:rPr>
          <w:lang w:val="en-GB" w:bidi="en-US"/>
        </w:rPr>
        <w:t>aspects</w:t>
      </w:r>
      <w:r w:rsidR="00BE3A74" w:rsidRPr="00106E8B">
        <w:rPr>
          <w:lang w:val="en-GB" w:bidi="en-US"/>
        </w:rPr>
        <w:t>.</w:t>
      </w:r>
      <w:r w:rsidR="00106E8B" w:rsidRPr="00106E8B">
        <w:rPr>
          <w:lang w:val="en-GB" w:bidi="en-US"/>
        </w:rPr>
        <w:t xml:space="preserve"> Instead, p</w:t>
      </w:r>
      <w:r w:rsidR="00BE3A74" w:rsidRPr="00106E8B">
        <w:rPr>
          <w:lang w:val="en-GB" w:bidi="en-US"/>
        </w:rPr>
        <w:t>roblem solving</w:t>
      </w:r>
      <w:r w:rsidR="00106E8B" w:rsidRPr="00106E8B">
        <w:rPr>
          <w:lang w:val="en-GB" w:bidi="en-US"/>
        </w:rPr>
        <w:t>,</w:t>
      </w:r>
      <w:r w:rsidR="00BE3A74" w:rsidRPr="00106E8B">
        <w:rPr>
          <w:lang w:val="en-GB" w:bidi="en-US"/>
        </w:rPr>
        <w:t xml:space="preserve"> comparison between linear and circular configurations and scenario analysis are </w:t>
      </w:r>
      <w:r w:rsidR="00EF349B" w:rsidRPr="00106E8B">
        <w:rPr>
          <w:lang w:val="en-GB" w:bidi="en-US"/>
        </w:rPr>
        <w:t>still not very popular</w:t>
      </w:r>
      <w:r w:rsidR="00174CFF">
        <w:rPr>
          <w:lang w:val="en-GB" w:bidi="en-US"/>
        </w:rPr>
        <w:t>.</w:t>
      </w:r>
      <w:r w:rsidR="00EF349B" w:rsidRPr="00106E8B">
        <w:rPr>
          <w:lang w:val="en-GB" w:bidi="en-US"/>
        </w:rPr>
        <w:t xml:space="preserve"> </w:t>
      </w:r>
      <w:r w:rsidR="00174CFF">
        <w:rPr>
          <w:lang w:val="en-GB" w:bidi="en-US"/>
        </w:rPr>
        <w:t xml:space="preserve">It </w:t>
      </w:r>
      <w:r w:rsidR="00EF349B" w:rsidRPr="00106E8B">
        <w:rPr>
          <w:lang w:val="en-GB" w:bidi="en-US"/>
        </w:rPr>
        <w:t xml:space="preserve">could be ascribed to the bigger effort required </w:t>
      </w:r>
      <w:r w:rsidR="00BB7023">
        <w:rPr>
          <w:lang w:val="en-GB" w:bidi="en-US"/>
        </w:rPr>
        <w:t xml:space="preserve">by these tools </w:t>
      </w:r>
      <w:r w:rsidR="00EF349B" w:rsidRPr="00106E8B">
        <w:rPr>
          <w:lang w:val="en-GB" w:bidi="en-US"/>
        </w:rPr>
        <w:t xml:space="preserve">to be </w:t>
      </w:r>
      <w:r w:rsidR="003B528D" w:rsidRPr="00106E8B">
        <w:rPr>
          <w:lang w:val="en-GB" w:bidi="en-US"/>
        </w:rPr>
        <w:t>adopted</w:t>
      </w:r>
      <w:r w:rsidR="00106E8B" w:rsidRPr="00106E8B">
        <w:rPr>
          <w:lang w:val="en-GB" w:bidi="en-US"/>
        </w:rPr>
        <w:t xml:space="preserve"> in</w:t>
      </w:r>
      <w:r w:rsidR="0099754C">
        <w:rPr>
          <w:lang w:val="en-GB" w:bidi="en-US"/>
        </w:rPr>
        <w:t>to</w:t>
      </w:r>
      <w:r w:rsidR="00106E8B" w:rsidRPr="00106E8B">
        <w:rPr>
          <w:lang w:val="en-GB" w:bidi="en-US"/>
        </w:rPr>
        <w:t xml:space="preserve"> practice</w:t>
      </w:r>
      <w:r w:rsidR="00EF349B" w:rsidRPr="00106E8B">
        <w:rPr>
          <w:lang w:val="en-GB" w:bidi="en-US"/>
        </w:rPr>
        <w:t>.</w:t>
      </w:r>
    </w:p>
    <w:p w14:paraId="0FE533E1" w14:textId="331E6459" w:rsidR="000476AB" w:rsidRPr="00402AEC" w:rsidRDefault="001067B3" w:rsidP="00026D10">
      <w:pPr>
        <w:spacing w:after="160" w:line="360" w:lineRule="auto"/>
        <w:rPr>
          <w:rFonts w:eastAsia="Times New Roman"/>
          <w:i/>
          <w:iCs/>
          <w:lang w:val="en-GB"/>
        </w:rPr>
      </w:pPr>
      <w:r>
        <w:rPr>
          <w:rFonts w:eastAsia="Times New Roman"/>
          <w:i/>
          <w:lang w:val="en-GB"/>
        </w:rPr>
        <w:t xml:space="preserve">4.5 </w:t>
      </w:r>
      <w:r w:rsidR="000476AB" w:rsidRPr="00402AEC">
        <w:rPr>
          <w:rFonts w:eastAsia="Times New Roman"/>
          <w:i/>
          <w:lang w:val="en-GB"/>
        </w:rPr>
        <w:t xml:space="preserve">Other CBM research areas </w:t>
      </w:r>
    </w:p>
    <w:p w14:paraId="3E0FC510" w14:textId="77777777" w:rsidR="00E65BEF" w:rsidRDefault="000476AB" w:rsidP="00216241">
      <w:pPr>
        <w:spacing w:after="240" w:line="360" w:lineRule="auto"/>
        <w:jc w:val="both"/>
        <w:rPr>
          <w:lang w:val="en-GB" w:bidi="en-US"/>
        </w:rPr>
      </w:pPr>
      <w:r w:rsidRPr="00402AEC">
        <w:rPr>
          <w:lang w:val="en-GB" w:bidi="en-US"/>
        </w:rPr>
        <w:t>Other research areas related with CBMs that can be found in literature are those focused on CBM lifecycle assessment, CBM performance comparison and CBM rapid experimentation. Unfortunately, all these topics are considered by very few authors. This way, it is impossible to have a general picture of these research areas.</w:t>
      </w:r>
      <w:r w:rsidR="00F92100" w:rsidRPr="00402AEC">
        <w:rPr>
          <w:lang w:val="en-GB" w:bidi="en-US"/>
        </w:rPr>
        <w:t xml:space="preserve"> </w:t>
      </w:r>
    </w:p>
    <w:p w14:paraId="450F068D" w14:textId="2D3B9868" w:rsidR="00F4518A" w:rsidRDefault="000476AB" w:rsidP="00216241">
      <w:pPr>
        <w:spacing w:after="240" w:line="360" w:lineRule="auto"/>
        <w:jc w:val="both"/>
        <w:rPr>
          <w:lang w:val="en-GB" w:bidi="en-US"/>
        </w:rPr>
      </w:pPr>
      <w:r w:rsidRPr="00402AEC">
        <w:rPr>
          <w:lang w:val="en-GB" w:bidi="en-US"/>
        </w:rPr>
        <w:t xml:space="preserve">In the first case, CBM lifecycle assessment is proposed by just three authors and in three completely different ways. </w:t>
      </w:r>
      <w:r w:rsidR="000560F6">
        <w:rPr>
          <w:lang w:val="en-GB" w:bidi="en-US"/>
        </w:rPr>
        <w:t xml:space="preserve">For example, </w:t>
      </w:r>
      <w:r w:rsidRPr="009601F2">
        <w:rPr>
          <w:lang w:val="en-GB" w:bidi="en-US"/>
        </w:rPr>
        <w:fldChar w:fldCharType="begin" w:fldLock="1"/>
      </w:r>
      <w:r w:rsidR="003445CC">
        <w:rPr>
          <w:lang w:val="en-GB" w:bidi="en-US"/>
        </w:rPr>
        <w:instrText>ADDIN CSL_CITATION {"citationItems":[{"id":"ITEM-1","itemData":{"author":[{"dropping-particle":"","family":"Bocken","given":"Nancy M.P.","non-dropping-particle":"","parse-names":false,"suffix":""},{"dropping-particle":"","family":"Miller","given":"Karen","non-dropping-particle":"","parse-names":false,"suffix":""},{"dropping-particle":"","family":"Evans","given":"Steve","non-dropping-particle":"","parse-names":false,"suffix":""}],"container-title":"New Business Models - Exploring a changing view on organizing value creation","id":"ITEM-1","issued":{"date-parts":[["2016"]]},"page":"1-15","publisher-place":"Toulouse, France","title":"Assessing the environmental impact of new Circular business models","type":"paper-conference"},"uris":["http://www.mendeley.com/documents/?uuid=0eff4bae-a5fd-422d-8f20-a9b358ac5390"]}],"mendeley":{"formattedCitation":"(Bocken et al., 2016b)","manualFormatting":"Bocken et al. (2016b)","plainTextFormattedCitation":"(Bocken et al., 2016b)","previouslyFormattedCitation":"(Bocken et al., 2016b)"},"properties":{"noteIndex":0},"schema":"https://github.com/citation-style-language/schema/raw/master/csl-citation.json"}</w:instrText>
      </w:r>
      <w:r w:rsidRPr="009601F2">
        <w:rPr>
          <w:lang w:val="en-GB" w:bidi="en-US"/>
        </w:rPr>
        <w:fldChar w:fldCharType="separate"/>
      </w:r>
      <w:r w:rsidRPr="00402AEC">
        <w:rPr>
          <w:noProof/>
          <w:lang w:val="en-GB" w:bidi="en-US"/>
        </w:rPr>
        <w:t xml:space="preserve">Bocken et al. </w:t>
      </w:r>
      <w:r w:rsidR="00A60A35" w:rsidRPr="00402AEC">
        <w:rPr>
          <w:noProof/>
          <w:lang w:val="en-GB" w:bidi="en-US"/>
        </w:rPr>
        <w:t>(</w:t>
      </w:r>
      <w:r w:rsidRPr="00402AEC">
        <w:rPr>
          <w:noProof/>
          <w:lang w:val="en-GB" w:bidi="en-US"/>
        </w:rPr>
        <w:t>2016b)</w:t>
      </w:r>
      <w:r w:rsidRPr="009601F2">
        <w:rPr>
          <w:lang w:val="en-GB" w:bidi="en-US"/>
        </w:rPr>
        <w:fldChar w:fldCharType="end"/>
      </w:r>
      <w:r w:rsidRPr="00402AEC">
        <w:rPr>
          <w:lang w:val="en-GB" w:bidi="en-US"/>
        </w:rPr>
        <w:t xml:space="preserve"> propose</w:t>
      </w:r>
      <w:r w:rsidR="000560F6">
        <w:rPr>
          <w:lang w:val="en-GB" w:bidi="en-US"/>
        </w:rPr>
        <w:t>d</w:t>
      </w:r>
      <w:r w:rsidRPr="00402AEC">
        <w:rPr>
          <w:lang w:val="en-GB" w:bidi="en-US"/>
        </w:rPr>
        <w:t xml:space="preserve"> a list of guiding principles </w:t>
      </w:r>
      <w:r w:rsidR="000560F6">
        <w:rPr>
          <w:lang w:val="en-GB" w:bidi="en-US"/>
        </w:rPr>
        <w:t>for</w:t>
      </w:r>
      <w:r w:rsidRPr="00402AEC">
        <w:rPr>
          <w:lang w:val="en-GB" w:bidi="en-US"/>
        </w:rPr>
        <w:t xml:space="preserve"> assessing the impact of new CBM</w:t>
      </w:r>
      <w:r w:rsidR="003D7E0C">
        <w:rPr>
          <w:lang w:val="en-GB" w:bidi="en-US"/>
        </w:rPr>
        <w:t>s,</w:t>
      </w:r>
      <w:r w:rsidRPr="00402AEC">
        <w:rPr>
          <w:lang w:val="en-GB" w:bidi="en-US"/>
        </w:rPr>
        <w:t xml:space="preserve"> organised according to </w:t>
      </w:r>
      <w:r w:rsidR="003D7E0C">
        <w:rPr>
          <w:lang w:val="en-GB" w:bidi="en-US"/>
        </w:rPr>
        <w:t>different</w:t>
      </w:r>
      <w:r w:rsidRPr="00402AEC">
        <w:rPr>
          <w:lang w:val="en-GB" w:bidi="en-US"/>
        </w:rPr>
        <w:t xml:space="preserve"> high-level strategies. </w:t>
      </w:r>
      <w:r w:rsidRPr="009601F2">
        <w:rPr>
          <w:lang w:val="en-GB" w:bidi="en-US"/>
        </w:rPr>
        <w:fldChar w:fldCharType="begin" w:fldLock="1"/>
      </w:r>
      <w:r w:rsidR="003445CC">
        <w:rPr>
          <w:lang w:val="en-GB" w:bidi="en-US"/>
        </w:rPr>
        <w:instrText>ADDIN CSL_CITATION {"citationItems":[{"id":"ITEM-1","itemData":{"DOI":"10.1016/j.jclepro.2018.02.001","ISSN":"09596526","author":[{"dropping-particle":"","family":"Pal","given":"Rudrajeet","non-dropping-particle":"","parse-names":false,"suffix":""},{"dropping-particle":"","family":"Gander","given":"Jonathan","non-dropping-particle":"","parse-names":false,"suffix":""}],"container-title":"Journal of Cleaner Production","id":"ITEM-1","issued":{"date-parts":[["2018"]]},"page":"251-263","publisher":"Elsevier B.V.","title":"Modelling environmental value: an examination of sustainable business models within the fashion industry","type":"article-journal","volume":"184"},"uris":["http://www.mendeley.com/documents/?uuid=5e99d287-1268-4cf3-9521-3e6439f18a7d"]}],"mendeley":{"formattedCitation":"(Pal and Gander, 2018)","manualFormatting":"Pal and Gander (2018)","plainTextFormattedCitation":"(Pal and Gander, 2018)","previouslyFormattedCitation":"(Pal and Gander, 2018)"},"properties":{"noteIndex":0},"schema":"https://github.com/citation-style-language/schema/raw/master/csl-citation.json"}</w:instrText>
      </w:r>
      <w:r w:rsidRPr="009601F2">
        <w:rPr>
          <w:lang w:val="en-GB" w:bidi="en-US"/>
        </w:rPr>
        <w:fldChar w:fldCharType="separate"/>
      </w:r>
      <w:r w:rsidRPr="00402AEC">
        <w:rPr>
          <w:noProof/>
          <w:lang w:val="en-GB" w:bidi="en-US"/>
        </w:rPr>
        <w:t xml:space="preserve">Pal and Gander </w:t>
      </w:r>
      <w:r w:rsidR="00A60A35" w:rsidRPr="00402AEC">
        <w:rPr>
          <w:noProof/>
          <w:lang w:val="en-GB" w:bidi="en-US"/>
        </w:rPr>
        <w:t>(</w:t>
      </w:r>
      <w:r w:rsidRPr="00402AEC">
        <w:rPr>
          <w:noProof/>
          <w:lang w:val="en-GB" w:bidi="en-US"/>
        </w:rPr>
        <w:t>2018)</w:t>
      </w:r>
      <w:r w:rsidRPr="009601F2">
        <w:rPr>
          <w:lang w:val="en-GB" w:bidi="en-US"/>
        </w:rPr>
        <w:fldChar w:fldCharType="end"/>
      </w:r>
      <w:r w:rsidRPr="00402AEC">
        <w:rPr>
          <w:lang w:val="en-GB" w:bidi="en-US"/>
        </w:rPr>
        <w:t xml:space="preserve"> examine</w:t>
      </w:r>
      <w:r w:rsidR="00251D00">
        <w:rPr>
          <w:lang w:val="en-GB" w:bidi="en-US"/>
        </w:rPr>
        <w:t>d</w:t>
      </w:r>
      <w:r w:rsidRPr="00402AEC">
        <w:rPr>
          <w:lang w:val="en-GB" w:bidi="en-US"/>
        </w:rPr>
        <w:t xml:space="preserve"> and categorize</w:t>
      </w:r>
      <w:r w:rsidR="00251D00">
        <w:rPr>
          <w:lang w:val="en-GB" w:bidi="en-US"/>
        </w:rPr>
        <w:t>d</w:t>
      </w:r>
      <w:r w:rsidRPr="00402AEC">
        <w:rPr>
          <w:lang w:val="en-GB" w:bidi="en-US"/>
        </w:rPr>
        <w:t xml:space="preserve"> different sustainability activities of firms in the fashion industry</w:t>
      </w:r>
      <w:r w:rsidR="003201D6">
        <w:rPr>
          <w:lang w:val="en-GB" w:bidi="en-US"/>
        </w:rPr>
        <w:t xml:space="preserve"> in terms of </w:t>
      </w:r>
      <w:r w:rsidRPr="00402AEC">
        <w:rPr>
          <w:lang w:val="en-GB" w:bidi="en-US"/>
        </w:rPr>
        <w:t>emerging ways of producing and distributing fashion garments</w:t>
      </w:r>
      <w:r w:rsidR="003201D6">
        <w:rPr>
          <w:lang w:val="en-GB" w:bidi="en-US"/>
        </w:rPr>
        <w:t>.</w:t>
      </w:r>
      <w:r w:rsidRPr="00402AEC">
        <w:rPr>
          <w:lang w:val="en-GB" w:bidi="en-US"/>
        </w:rPr>
        <w:t xml:space="preserve"> Finally, </w:t>
      </w:r>
      <w:r w:rsidRPr="009601F2">
        <w:rPr>
          <w:lang w:val="en-GB" w:bidi="en-US"/>
        </w:rPr>
        <w:fldChar w:fldCharType="begin" w:fldLock="1"/>
      </w:r>
      <w:r w:rsidR="003445CC">
        <w:rPr>
          <w:lang w:val="en-GB" w:bidi="en-US"/>
        </w:rPr>
        <w:instrText>ADDIN CSL_CITATION {"citationItems":[{"id":"ITEM-1","itemData":{"DOI":"10.1088/1757-899X/227/1/012098","ISBN":"17578981 (ISSN)","ISSN":"1757899X","abstract":"The overall aim of this paper is to develop a new conceptual framework for business process modeling and analysis using circular economy innovative theory as a source for business knowledge management. The last part of the paper presents an author's proposed basic structure for a new business models applying circular economy innovation theories. For people working on new innovative business models in the field of the circular economy this paper provides new ideas for clustering their concepts. \\copyright{} Published under licence by IOP Publishing Ltd.","author":[{"dropping-particle":"","family":"Popa","given":"V.","non-dropping-particle":"","parse-names":false,"suffix":""},{"dropping-particle":"","family":"Popa","given":"L.","non-dropping-particle":"","parse-names":false,"suffix":""}],"container-title":"IOP Conference Series: Materials Science and Engineering","id":"ITEM-1","issued":{"date-parts":[["2017"]]},"page":"1-9","title":"Applying circular economy innovation theory in business process modeling and analysis","type":"article-journal","volume":"227"},"uris":["http://www.mendeley.com/documents/?uuid=d96bf4f9-6756-4cad-a715-d774e6b03149"]}],"mendeley":{"formattedCitation":"(Popa and Popa, 2017)","manualFormatting":"Popa and Popa (2017)","plainTextFormattedCitation":"(Popa and Popa, 2017)","previouslyFormattedCitation":"(Popa and Popa, 2017)"},"properties":{"noteIndex":0},"schema":"https://github.com/citation-style-language/schema/raw/master/csl-citation.json"}</w:instrText>
      </w:r>
      <w:r w:rsidRPr="009601F2">
        <w:rPr>
          <w:lang w:val="en-GB" w:bidi="en-US"/>
        </w:rPr>
        <w:fldChar w:fldCharType="separate"/>
      </w:r>
      <w:r w:rsidRPr="00402AEC">
        <w:rPr>
          <w:noProof/>
          <w:lang w:val="en-GB" w:bidi="en-US"/>
        </w:rPr>
        <w:t xml:space="preserve">Popa and Popa </w:t>
      </w:r>
      <w:r w:rsidR="00A60A35" w:rsidRPr="00402AEC">
        <w:rPr>
          <w:noProof/>
          <w:lang w:val="en-GB" w:bidi="en-US"/>
        </w:rPr>
        <w:t>(</w:t>
      </w:r>
      <w:r w:rsidRPr="00402AEC">
        <w:rPr>
          <w:noProof/>
          <w:lang w:val="en-GB" w:bidi="en-US"/>
        </w:rPr>
        <w:t>2017)</w:t>
      </w:r>
      <w:r w:rsidRPr="009601F2">
        <w:rPr>
          <w:lang w:val="en-GB" w:bidi="en-US"/>
        </w:rPr>
        <w:fldChar w:fldCharType="end"/>
      </w:r>
      <w:r w:rsidRPr="00402AEC">
        <w:rPr>
          <w:lang w:val="en-GB" w:bidi="en-US"/>
        </w:rPr>
        <w:t xml:space="preserve"> develop</w:t>
      </w:r>
      <w:r w:rsidR="008F6797">
        <w:rPr>
          <w:lang w:val="en-GB" w:bidi="en-US"/>
        </w:rPr>
        <w:t>ed</w:t>
      </w:r>
      <w:r w:rsidRPr="00402AEC">
        <w:rPr>
          <w:lang w:val="en-GB" w:bidi="en-US"/>
        </w:rPr>
        <w:t xml:space="preserve"> a new conceptual framework for business process modelling and analysis using CE innovative theory as a source for business knowledge management.</w:t>
      </w:r>
      <w:r w:rsidR="00F92100" w:rsidRPr="00402AEC">
        <w:rPr>
          <w:lang w:val="en-GB" w:bidi="en-US"/>
        </w:rPr>
        <w:t xml:space="preserve"> </w:t>
      </w:r>
    </w:p>
    <w:p w14:paraId="63FAF819" w14:textId="4CADD862" w:rsidR="001F5E65" w:rsidRDefault="000476AB" w:rsidP="00216241">
      <w:pPr>
        <w:spacing w:after="240" w:line="360" w:lineRule="auto"/>
        <w:jc w:val="both"/>
        <w:rPr>
          <w:lang w:val="en-GB" w:bidi="en-US"/>
        </w:rPr>
      </w:pPr>
      <w:r w:rsidRPr="00402AEC">
        <w:rPr>
          <w:lang w:val="en-GB" w:bidi="en-US"/>
        </w:rPr>
        <w:t xml:space="preserve">The </w:t>
      </w:r>
      <w:r w:rsidR="00463DCB">
        <w:rPr>
          <w:lang w:val="en-GB" w:bidi="en-US"/>
        </w:rPr>
        <w:t>comparison</w:t>
      </w:r>
      <w:r w:rsidRPr="00402AEC">
        <w:rPr>
          <w:lang w:val="en-GB" w:bidi="en-US"/>
        </w:rPr>
        <w:t xml:space="preserve"> </w:t>
      </w:r>
      <w:r w:rsidR="00463DCB">
        <w:rPr>
          <w:lang w:val="en-GB" w:bidi="en-US"/>
        </w:rPr>
        <w:t xml:space="preserve">of </w:t>
      </w:r>
      <w:r w:rsidRPr="00402AEC">
        <w:rPr>
          <w:lang w:val="en-GB" w:bidi="en-US"/>
        </w:rPr>
        <w:t>CBM performance</w:t>
      </w:r>
      <w:r w:rsidR="00463DCB">
        <w:rPr>
          <w:lang w:val="en-GB" w:bidi="en-US"/>
        </w:rPr>
        <w:t>s</w:t>
      </w:r>
      <w:r w:rsidRPr="00402AEC">
        <w:rPr>
          <w:lang w:val="en-GB" w:bidi="en-US"/>
        </w:rPr>
        <w:t xml:space="preserve"> follows </w:t>
      </w:r>
      <w:r w:rsidR="008F6797">
        <w:rPr>
          <w:lang w:val="en-GB" w:bidi="en-US"/>
        </w:rPr>
        <w:t>a</w:t>
      </w:r>
      <w:r w:rsidRPr="00402AEC">
        <w:rPr>
          <w:lang w:val="en-GB" w:bidi="en-US"/>
        </w:rPr>
        <w:t xml:space="preserve"> s</w:t>
      </w:r>
      <w:r w:rsidR="008F6797">
        <w:rPr>
          <w:lang w:val="en-GB" w:bidi="en-US"/>
        </w:rPr>
        <w:t>imilar</w:t>
      </w:r>
      <w:r w:rsidRPr="00402AEC">
        <w:rPr>
          <w:lang w:val="en-GB" w:bidi="en-US"/>
        </w:rPr>
        <w:t xml:space="preserve"> logic. </w:t>
      </w:r>
      <w:r w:rsidRPr="009601F2">
        <w:rPr>
          <w:lang w:val="en-GB" w:bidi="en-US"/>
        </w:rPr>
        <w:fldChar w:fldCharType="begin" w:fldLock="1"/>
      </w:r>
      <w:r w:rsidR="003445CC">
        <w:rPr>
          <w:lang w:val="en-GB" w:bidi="en-US"/>
        </w:rPr>
        <w:instrText>ADDIN CSL_CITATION {"citationItems":[{"id":"ITEM-1","itemData":{"abstract":"The Circular Economy is increasingly seen as a complete or partial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necessary to implement the concept on an organisational level with two case studies - an office furniture remanufacturing operation, and an aluminium sheet manufacturer - from a value-based perspective. We find that both companies feature a CBM and that it helps in realising their sustainability ambitions.","author":[{"dropping-particle":"","family":"Morioka","given":"Sandra Naomi","non-dropping-particle":"","parse-names":false,"suffix":""},{"dropping-particle":"","family":"Geissdoerfer","given":"Martin","non-dropping-particle":"","parse-names":false,"suffix":""},{"dropping-particle":"","family":"Evans","given":"Steve","non-dropping-particle":"","parse-names":false,"suffix":""}],"container-title":"EurOMA 2016 - 23rd European Operations Management Association Conference","id":"ITEM-1","issued":{"date-parts":[["2016"]]},"page":"1-10","publisher-place":"Trondheim","title":"A combined discussion on sustainable development and circular economy business models","type":"paper-conference"},"uris":["http://www.mendeley.com/documents/?uuid=17245906-8898-4c5e-bb7d-1c557ab030ed"]}],"mendeley":{"formattedCitation":"(Morioka et al., 2016)","manualFormatting":"Morioka et al. (2016)","plainTextFormattedCitation":"(Morioka et al., 2016)","previouslyFormattedCitation":"(Morioka et al., 2016)"},"properties":{"noteIndex":0},"schema":"https://github.com/citation-style-language/schema/raw/master/csl-citation.json"}</w:instrText>
      </w:r>
      <w:r w:rsidRPr="009601F2">
        <w:rPr>
          <w:lang w:val="en-GB" w:bidi="en-US"/>
        </w:rPr>
        <w:fldChar w:fldCharType="separate"/>
      </w:r>
      <w:r w:rsidRPr="00402AEC">
        <w:rPr>
          <w:noProof/>
          <w:lang w:val="en-GB" w:bidi="en-US"/>
        </w:rPr>
        <w:t xml:space="preserve">Morioka et al. </w:t>
      </w:r>
      <w:r w:rsidR="00A60A35" w:rsidRPr="00402AEC">
        <w:rPr>
          <w:noProof/>
          <w:lang w:val="en-GB" w:bidi="en-US"/>
        </w:rPr>
        <w:t>(</w:t>
      </w:r>
      <w:r w:rsidRPr="00402AEC">
        <w:rPr>
          <w:noProof/>
          <w:lang w:val="en-GB" w:bidi="en-US"/>
        </w:rPr>
        <w:t>2016)</w:t>
      </w:r>
      <w:r w:rsidRPr="009601F2">
        <w:rPr>
          <w:lang w:val="en-GB" w:bidi="en-US"/>
        </w:rPr>
        <w:fldChar w:fldCharType="end"/>
      </w:r>
      <w:r w:rsidRPr="00402AEC">
        <w:rPr>
          <w:lang w:val="en-GB" w:bidi="en-US"/>
        </w:rPr>
        <w:t xml:space="preserve"> discusse</w:t>
      </w:r>
      <w:r w:rsidR="008F6797">
        <w:rPr>
          <w:lang w:val="en-GB" w:bidi="en-US"/>
        </w:rPr>
        <w:t>d</w:t>
      </w:r>
      <w:r w:rsidRPr="00402AEC">
        <w:rPr>
          <w:lang w:val="en-GB" w:bidi="en-US"/>
        </w:rPr>
        <w:t xml:space="preserve"> the sustainability performance of CBMs </w:t>
      </w:r>
      <w:r w:rsidR="000519FB" w:rsidRPr="00402AEC">
        <w:rPr>
          <w:lang w:val="en-GB" w:bidi="en-US"/>
        </w:rPr>
        <w:t>from a value-based perspective</w:t>
      </w:r>
      <w:r w:rsidR="003A7A50">
        <w:rPr>
          <w:lang w:val="en-GB" w:bidi="en-US"/>
        </w:rPr>
        <w:t>,</w:t>
      </w:r>
      <w:r w:rsidR="000519FB" w:rsidRPr="00402AEC">
        <w:rPr>
          <w:lang w:val="en-GB" w:bidi="en-US"/>
        </w:rPr>
        <w:t xml:space="preserve"> </w:t>
      </w:r>
      <w:r w:rsidRPr="00402AEC">
        <w:rPr>
          <w:lang w:val="en-GB" w:bidi="en-US"/>
        </w:rPr>
        <w:t>ne</w:t>
      </w:r>
      <w:r w:rsidR="000519FB">
        <w:rPr>
          <w:lang w:val="en-GB" w:bidi="en-US"/>
        </w:rPr>
        <w:t>eded</w:t>
      </w:r>
      <w:r w:rsidRPr="00402AEC">
        <w:rPr>
          <w:lang w:val="en-GB" w:bidi="en-US"/>
        </w:rPr>
        <w:t xml:space="preserve"> to implement </w:t>
      </w:r>
      <w:r w:rsidR="000519FB">
        <w:rPr>
          <w:lang w:val="en-GB" w:bidi="en-US"/>
        </w:rPr>
        <w:t>it</w:t>
      </w:r>
      <w:r w:rsidRPr="00402AEC">
        <w:rPr>
          <w:lang w:val="en-GB" w:bidi="en-US"/>
        </w:rPr>
        <w:t xml:space="preserve"> </w:t>
      </w:r>
      <w:r w:rsidR="003B4818">
        <w:rPr>
          <w:lang w:val="en-GB" w:bidi="en-US"/>
        </w:rPr>
        <w:t>at</w:t>
      </w:r>
      <w:r w:rsidRPr="00402AEC">
        <w:rPr>
          <w:lang w:val="en-GB" w:bidi="en-US"/>
        </w:rPr>
        <w:t xml:space="preserve"> organisational level.</w:t>
      </w:r>
      <w:r w:rsidR="00F92100" w:rsidRPr="00402AEC">
        <w:rPr>
          <w:lang w:val="en-GB" w:bidi="en-US"/>
        </w:rPr>
        <w:t xml:space="preserve"> </w:t>
      </w:r>
      <w:r w:rsidRPr="009601F2">
        <w:rPr>
          <w:lang w:val="en-GB" w:bidi="en-US"/>
        </w:rPr>
        <w:fldChar w:fldCharType="begin" w:fldLock="1"/>
      </w:r>
      <w:r w:rsidR="003445CC">
        <w:rPr>
          <w:lang w:val="en-GB" w:bidi="en-US"/>
        </w:rPr>
        <w:instrText>ADDIN CSL_CITATION {"citationItems":[{"id":"ITEM-1","itemData":{"DOI":"10.1016/j.jclepro.2017.08.170","ISBN":"09596526 (ISSN)","ISSN":"09596526","abstract":"Sustainable business models are intended to create economic value while benefitting the environment and society. Their wider adoption and diffusion is necessary to tackle pressing societal problems. How they are implemented and what determines their success (or lack thereof) in the market is not yet well understood, however, and deserves further exploration. To help fill the gap in knowledge, this study examines an emerging and innovative type of sustainable business model based on the peer-to-peer (P2P) sharing of underutilised assets facilitated by digital platforms. Its aim is to identify possible reasons for their commercial success or failure. In particular, the study investigates the values of users of a successful P2P goods-sharing platform and to what extent they differ from values of users of a comparable, yet unsuccessful, platform. Previous research on a UK-based online marketplace, Ecomodo, measured people's motivations for joining and the value priorities of users using Schwartz's Portrait Value Questionnaire. Results were compared with data from a representative sample of the UK population and used to explain the platform's low market uptake. The same study is here replicated with members of Peerby, an online marketplace where people rent, lend and borrow their possessions with each other. The analysis shows similar value priorities and orientation in Ecomodo and Peerby respondents, which suggests that the failure of the former platform and the success of the latter may be more directly attributed to differences in their business model design and execution than the types of user.","author":[{"dropping-particle":"","family":"Piscicelli","given":"Laura","non-dropping-particle":"","parse-names":false,"suffix":""},{"dropping-particle":"","family":"Ludden","given":"Geke Dina Simone","non-dropping-particle":"","parse-names":false,"suffix":""},{"dropping-particle":"","family":"Cooper","given":"Tim","non-dropping-particle":"","parse-names":false,"suffix":""}],"container-title":"Journal of Cleaner Production","id":"ITEM-1","issued":{"date-parts":[["2018"]]},"page":"4580-4591","publisher":"Elsevier Ltd","title":"What makes a sustainable business model successful? An empirical comparison of two peer-to-peer goods-sharing platforms","type":"article-journal","volume":"172"},"uris":["http://www.mendeley.com/documents/?uuid=d3b05ca2-adc1-4c66-989f-e4af53f1d60f"]}],"mendeley":{"formattedCitation":"(Piscicelli et al., 2018)","manualFormatting":"Piscicelli et al. (2018)","plainTextFormattedCitation":"(Piscicelli et al., 2018)","previouslyFormattedCitation":"(Piscicelli et al., 2018)"},"properties":{"noteIndex":0},"schema":"https://github.com/citation-style-language/schema/raw/master/csl-citation.json"}</w:instrText>
      </w:r>
      <w:r w:rsidRPr="009601F2">
        <w:rPr>
          <w:lang w:val="en-GB" w:bidi="en-US"/>
        </w:rPr>
        <w:fldChar w:fldCharType="separate"/>
      </w:r>
      <w:r w:rsidRPr="00402AEC">
        <w:rPr>
          <w:noProof/>
          <w:lang w:val="en-GB" w:bidi="en-US"/>
        </w:rPr>
        <w:t xml:space="preserve">Piscicelli et al. </w:t>
      </w:r>
      <w:r w:rsidR="00A60A35" w:rsidRPr="00402AEC">
        <w:rPr>
          <w:noProof/>
          <w:lang w:val="en-GB" w:bidi="en-US"/>
        </w:rPr>
        <w:t>(</w:t>
      </w:r>
      <w:r w:rsidRPr="00402AEC">
        <w:rPr>
          <w:noProof/>
          <w:lang w:val="en-GB" w:bidi="en-US"/>
        </w:rPr>
        <w:t>2018)</w:t>
      </w:r>
      <w:r w:rsidRPr="009601F2">
        <w:rPr>
          <w:lang w:val="en-GB" w:bidi="en-US"/>
        </w:rPr>
        <w:fldChar w:fldCharType="end"/>
      </w:r>
      <w:r w:rsidRPr="00402AEC">
        <w:rPr>
          <w:lang w:val="en-GB" w:bidi="en-US"/>
        </w:rPr>
        <w:t xml:space="preserve"> examine</w:t>
      </w:r>
      <w:r w:rsidR="003A7A50">
        <w:rPr>
          <w:lang w:val="en-GB" w:bidi="en-US"/>
        </w:rPr>
        <w:t>d</w:t>
      </w:r>
      <w:r w:rsidRPr="00402AEC">
        <w:rPr>
          <w:lang w:val="en-GB" w:bidi="en-US"/>
        </w:rPr>
        <w:t xml:space="preserve"> </w:t>
      </w:r>
      <w:r w:rsidR="003A7A50">
        <w:rPr>
          <w:lang w:val="en-GB" w:bidi="en-US"/>
        </w:rPr>
        <w:t>the</w:t>
      </w:r>
      <w:r w:rsidRPr="00402AEC">
        <w:rPr>
          <w:lang w:val="en-GB" w:bidi="en-US"/>
        </w:rPr>
        <w:t xml:space="preserve"> peer-to-peer (P2P) sharing of underutilised assets facilitated by digital platforms. Finally, </w:t>
      </w:r>
      <w:r w:rsidRPr="009601F2">
        <w:rPr>
          <w:lang w:val="en-GB" w:bidi="en-US"/>
        </w:rPr>
        <w:fldChar w:fldCharType="begin" w:fldLock="1"/>
      </w:r>
      <w:r w:rsidR="003445CC">
        <w:rPr>
          <w:lang w:val="en-GB" w:bidi="en-US"/>
        </w:rPr>
        <w:instrText>ADDIN CSL_CITATION {"citationItems":[{"id":"ITEM-1","itemData":{"DOI":"10.1007/s13243-017-0031-9","ISSN":"22104690","abstract":"Eco-efficient Value Creation is a method to analyse innovative product and service design together with circular business strategies. The method is based on combined analyses of the costs, market value (perceived customer value) and eco-costs. This provides a prevention-based single indicator for ‘external environmental costs’ in LCA. The remanufacturing of products is an environmental and sustainable approach, in the circular economy, and can deliver lower eco-costs of materials depletion and pollution. From a business point of view, however, remanufacturing seems to be viable in B2B niche markets only. In consumer markets, remanufacturing is less common. The question is how can remanufacturing become a viable business solution for mainstream consumer markets. Traditional ‘green’ marketing approaches are not enough: green has a positive, but also negative connotations, so marketing approaches are complex. By using the Eco-efficient Value Creation method, marketing strategies for the roll-out of remanufacturing in mainstream consumer markets, can be revealed. This approach has led to the development of five aspects, which are key to innovative circular business models, for remanufacturing: (1) buyers differ from the buyers of the ‘new product’ (2) quality must be emphasised in all communications (3) risk must be taken away from the buyer (4) top level service is required to convince the buyer (5) a ‘green’ brand may support the remanufactured product image. © 2017 Springer Science+Business Media Dordrecht","author":[{"dropping-particle":"","family":"Vogtländer","given":"Joost G.","non-dropping-particle":"","parse-names":false,"suffix":""},{"dropping-particle":"","family":"Scheepens","given":"Arno E.","non-dropping-particle":"","parse-names":false,"suffix":""},{"dropping-particle":"","family":"Bocken","given":"Nancy M.P.","non-dropping-particle":"","parse-names":false,"suffix":""},{"dropping-particle":"","family":"Peck","given":"David","non-dropping-particle":"","parse-names":false,"suffix":""}],"container-title":"Journal of Remanufacturing","id":"ITEM-1","issue":"1","issued":{"date-parts":[["2017"]]},"page":"1-17","publisher":"Journal of Remanufacturing","title":"Combined analyses of costs, market value and eco-costs in circular business models: eco-efficient value creation in remanufacturing","type":"article-journal","volume":"7"},"uris":["http://www.mendeley.com/documents/?uuid=2cb5d35c-d5ac-42d8-beb3-abbd4bd63095"]}],"mendeley":{"formattedCitation":"(Vogtländer et al., 2017)","manualFormatting":"Vogtlander et al. (2017)","plainTextFormattedCitation":"(Vogtländer et al., 2017)","previouslyFormattedCitation":"(Vogtländer et al., 2017)"},"properties":{"noteIndex":0},"schema":"https://github.com/citation-style-language/schema/raw/master/csl-citation.json"}</w:instrText>
      </w:r>
      <w:r w:rsidRPr="009601F2">
        <w:rPr>
          <w:lang w:val="en-GB" w:bidi="en-US"/>
        </w:rPr>
        <w:fldChar w:fldCharType="separate"/>
      </w:r>
      <w:r w:rsidR="00EC217C" w:rsidRPr="00402AEC">
        <w:rPr>
          <w:noProof/>
          <w:lang w:val="en-GB" w:bidi="en-US"/>
        </w:rPr>
        <w:t xml:space="preserve">Vogtlander et al. </w:t>
      </w:r>
      <w:r w:rsidR="00A60A35" w:rsidRPr="00402AEC">
        <w:rPr>
          <w:noProof/>
          <w:lang w:val="en-GB" w:bidi="en-US"/>
        </w:rPr>
        <w:t>(</w:t>
      </w:r>
      <w:r w:rsidR="00EC217C" w:rsidRPr="00402AEC">
        <w:rPr>
          <w:noProof/>
          <w:lang w:val="en-GB" w:bidi="en-US"/>
        </w:rPr>
        <w:t>2017)</w:t>
      </w:r>
      <w:r w:rsidRPr="009601F2">
        <w:rPr>
          <w:lang w:val="en-GB" w:bidi="en-US"/>
        </w:rPr>
        <w:fldChar w:fldCharType="end"/>
      </w:r>
      <w:r w:rsidRPr="00402AEC">
        <w:rPr>
          <w:lang w:val="en-GB" w:bidi="en-US"/>
        </w:rPr>
        <w:t xml:space="preserve"> propose</w:t>
      </w:r>
      <w:r w:rsidR="003A7A50">
        <w:rPr>
          <w:lang w:val="en-GB" w:bidi="en-US"/>
        </w:rPr>
        <w:t>d</w:t>
      </w:r>
      <w:r w:rsidRPr="00402AEC">
        <w:rPr>
          <w:lang w:val="en-GB" w:bidi="en-US"/>
        </w:rPr>
        <w:t xml:space="preserve"> an </w:t>
      </w:r>
      <w:r w:rsidR="003A7A50">
        <w:rPr>
          <w:lang w:val="en-GB" w:bidi="en-US"/>
        </w:rPr>
        <w:t>e</w:t>
      </w:r>
      <w:r w:rsidR="003A7A50" w:rsidRPr="00402AEC">
        <w:rPr>
          <w:lang w:val="en-GB" w:bidi="en-US"/>
        </w:rPr>
        <w:t>co</w:t>
      </w:r>
      <w:r w:rsidRPr="00402AEC">
        <w:rPr>
          <w:lang w:val="en-GB" w:bidi="en-US"/>
        </w:rPr>
        <w:t xml:space="preserve">-efficient </w:t>
      </w:r>
      <w:r w:rsidR="003A7A50">
        <w:rPr>
          <w:lang w:val="en-GB" w:bidi="en-US"/>
        </w:rPr>
        <w:t>v</w:t>
      </w:r>
      <w:r w:rsidR="003A7A50" w:rsidRPr="00402AEC">
        <w:rPr>
          <w:lang w:val="en-GB" w:bidi="en-US"/>
        </w:rPr>
        <w:t xml:space="preserve">alue </w:t>
      </w:r>
      <w:r w:rsidR="003A7A50">
        <w:rPr>
          <w:lang w:val="en-GB" w:bidi="en-US"/>
        </w:rPr>
        <w:t>c</w:t>
      </w:r>
      <w:r w:rsidR="003A7A50" w:rsidRPr="00402AEC">
        <w:rPr>
          <w:lang w:val="en-GB" w:bidi="en-US"/>
        </w:rPr>
        <w:t xml:space="preserve">reation </w:t>
      </w:r>
      <w:r w:rsidRPr="00402AEC">
        <w:rPr>
          <w:lang w:val="en-GB" w:bidi="en-US"/>
        </w:rPr>
        <w:t xml:space="preserve">method </w:t>
      </w:r>
      <w:r w:rsidR="003A7A50">
        <w:rPr>
          <w:lang w:val="en-GB" w:bidi="en-US"/>
        </w:rPr>
        <w:t>for</w:t>
      </w:r>
      <w:r w:rsidR="003A7A50" w:rsidRPr="00402AEC">
        <w:rPr>
          <w:lang w:val="en-GB" w:bidi="en-US"/>
        </w:rPr>
        <w:t xml:space="preserve"> </w:t>
      </w:r>
      <w:r w:rsidRPr="00402AEC">
        <w:rPr>
          <w:lang w:val="en-GB" w:bidi="en-US"/>
        </w:rPr>
        <w:t>analys</w:t>
      </w:r>
      <w:r w:rsidR="003A7A50">
        <w:rPr>
          <w:lang w:val="en-GB" w:bidi="en-US"/>
        </w:rPr>
        <w:t>ing</w:t>
      </w:r>
      <w:r w:rsidRPr="00402AEC">
        <w:rPr>
          <w:lang w:val="en-GB" w:bidi="en-US"/>
        </w:rPr>
        <w:t xml:space="preserve"> innovative product</w:t>
      </w:r>
      <w:r w:rsidR="003A7A50">
        <w:rPr>
          <w:lang w:val="en-GB" w:bidi="en-US"/>
        </w:rPr>
        <w:t>-</w:t>
      </w:r>
      <w:r w:rsidRPr="00402AEC">
        <w:rPr>
          <w:lang w:val="en-GB" w:bidi="en-US"/>
        </w:rPr>
        <w:t>service design together with circular business strategies.</w:t>
      </w:r>
    </w:p>
    <w:p w14:paraId="16EBB515" w14:textId="1D2A8455" w:rsidR="004444E0" w:rsidRPr="00402AEC" w:rsidRDefault="000476AB" w:rsidP="00216241">
      <w:pPr>
        <w:spacing w:after="240" w:line="360" w:lineRule="auto"/>
        <w:jc w:val="both"/>
        <w:rPr>
          <w:lang w:val="en-GB" w:bidi="en-US"/>
        </w:rPr>
      </w:pPr>
      <w:r w:rsidRPr="00402AEC">
        <w:rPr>
          <w:lang w:val="en-GB" w:bidi="en-US"/>
        </w:rPr>
        <w:t xml:space="preserve">In the third case, CBM rapid experimentation is described uniformly by all the authors. </w:t>
      </w:r>
      <w:r w:rsidR="00270774">
        <w:rPr>
          <w:lang w:val="en-GB" w:bidi="en-US"/>
        </w:rPr>
        <w:t xml:space="preserve">For example, </w:t>
      </w:r>
      <w:r w:rsidRPr="009601F2">
        <w:rPr>
          <w:lang w:val="en-GB" w:bidi="en-US"/>
        </w:rPr>
        <w:fldChar w:fldCharType="begin" w:fldLock="1"/>
      </w:r>
      <w:r w:rsidR="003445CC">
        <w:rPr>
          <w:lang w:val="en-GB" w:bidi="en-US"/>
        </w:rPr>
        <w:instrText>ADDIN CSL_CITATION {"citationItems":[{"id":"ITEM-1","itemData":{"abstract":"In order to move towards sustainability and a circular economy, there is need for systemic innovation in all aspects of society, including our values and consuming practices, and technological and business innovations to all society structures (Wells 2016, Ellen MacArthur Foundation 2013). Companies need to consider how to close the material loops, reduce the resources needed and consider how materials and products are kept in the loop, as long as possible. With business model experimentations, companies can demonstrate a model's feasibility, consumer acceptance and the environmental impacts in a cost-efficient way (Thomke 2003). Academic research related to designing business model experimentation is lacking. The aim of this study is to improve our understanding of how to design circular business model experimentation that takes into consideration both the companies' and the research organizations' needs. In this paper, we describe a pilot of a five-stage process model for rapid experimentation that takes into account both the entrepreneur's and the research organisation's needs and objectives.","author":[{"dropping-particle":"","family":"Antikainen","given":"Maria","non-dropping-particle":"","parse-names":false,"suffix":""},{"dropping-particle":"","family":"Aminoff","given":"Anna","non-dropping-particle":"","parse-names":false,"suffix":""},{"dropping-particle":"","family":"Paloheimo","given":"Harri","non-dropping-particle":"","parse-names":false,"suffix":""},{"dropping-particle":"","family":"Kettunen","given":"Outi","non-dropping-particle":"","parse-names":false,"suffix":""}],"container-title":"ISPIM Innovation Forum","id":"ITEM-1","issued":{"date-parts":[["2017"]]},"page":"1-14","publisher-place":"Toronto","title":"Designing circular business model experimentation - Case study","type":"paper-conference"},"uris":["http://www.mendeley.com/documents/?uuid=a5e6f222-baa8-46fd-be70-97b956133cfc"]}],"mendeley":{"formattedCitation":"(Antikainen et al., 2017)","manualFormatting":"Antikainen et al. (2017)","plainTextFormattedCitation":"(Antikainen et al., 2017)","previouslyFormattedCitation":"(Antikainen et al., 2017)"},"properties":{"noteIndex":0},"schema":"https://github.com/citation-style-language/schema/raw/master/csl-citation.json"}</w:instrText>
      </w:r>
      <w:r w:rsidRPr="009601F2">
        <w:rPr>
          <w:lang w:val="en-GB" w:bidi="en-US"/>
        </w:rPr>
        <w:fldChar w:fldCharType="separate"/>
      </w:r>
      <w:r w:rsidRPr="00402AEC">
        <w:rPr>
          <w:noProof/>
          <w:lang w:val="en-GB" w:bidi="en-US"/>
        </w:rPr>
        <w:t xml:space="preserve">Antikainen et al. </w:t>
      </w:r>
      <w:r w:rsidR="00A60A35" w:rsidRPr="00402AEC">
        <w:rPr>
          <w:noProof/>
          <w:lang w:val="en-GB" w:bidi="en-US"/>
        </w:rPr>
        <w:t>(</w:t>
      </w:r>
      <w:r w:rsidRPr="00402AEC">
        <w:rPr>
          <w:noProof/>
          <w:lang w:val="en-GB" w:bidi="en-US"/>
        </w:rPr>
        <w:t>2017)</w:t>
      </w:r>
      <w:r w:rsidRPr="009601F2">
        <w:rPr>
          <w:lang w:val="en-GB" w:bidi="en-US"/>
        </w:rPr>
        <w:fldChar w:fldCharType="end"/>
      </w:r>
      <w:r w:rsidRPr="00402AEC">
        <w:rPr>
          <w:lang w:val="en-GB" w:bidi="en-US"/>
        </w:rPr>
        <w:t xml:space="preserve"> tr</w:t>
      </w:r>
      <w:r w:rsidR="00270774">
        <w:rPr>
          <w:lang w:val="en-GB" w:bidi="en-US"/>
        </w:rPr>
        <w:t>ied</w:t>
      </w:r>
      <w:r w:rsidRPr="00402AEC">
        <w:rPr>
          <w:lang w:val="en-GB" w:bidi="en-US"/>
        </w:rPr>
        <w:t xml:space="preserve"> to understand how to design CBMs experimentation </w:t>
      </w:r>
      <w:r w:rsidR="00EE461C">
        <w:rPr>
          <w:lang w:val="en-GB" w:bidi="en-US"/>
        </w:rPr>
        <w:t>by taking</w:t>
      </w:r>
      <w:r w:rsidRPr="00402AEC">
        <w:rPr>
          <w:lang w:val="en-GB" w:bidi="en-US"/>
        </w:rPr>
        <w:t xml:space="preserve"> into </w:t>
      </w:r>
      <w:r w:rsidR="00EE461C">
        <w:rPr>
          <w:lang w:val="en-GB" w:bidi="en-US"/>
        </w:rPr>
        <w:t>account</w:t>
      </w:r>
      <w:r w:rsidRPr="00402AEC">
        <w:rPr>
          <w:lang w:val="en-GB" w:bidi="en-US"/>
        </w:rPr>
        <w:t xml:space="preserve"> both the companies’ and the research organizations’ needs. Finally, </w:t>
      </w:r>
      <w:r w:rsidRPr="009601F2">
        <w:rPr>
          <w:lang w:val="en-GB" w:bidi="en-US"/>
        </w:rPr>
        <w:fldChar w:fldCharType="begin" w:fldLock="1"/>
      </w:r>
      <w:r w:rsidR="003445CC">
        <w:rPr>
          <w:lang w:val="en-GB" w:bidi="en-US"/>
        </w:rPr>
        <w:instrText>ADDIN CSL_CITATION {"citationItems":[{"id":"ITEM-1","itemData":{"abstract":"Business model experimentation for sustainability is an intentional and systematic approach to identify, test and learn about value creation strategies that could be adopted by a business in response to current unsustainable trajectories. For businesses such as large clothing retailers the need to alter course is acute as pressure builds from economic, environmental and social angles. The circular economy concept provides a potential powerful lever for change. To date, however, scant research has been conducted on how circular business model experimentation is conducted. We present an in-depth action research case study of a large international clothing retailer embarking on a journey of business model experimentation for circularity: the processes, methods, roles and the organisation in light of the need to address broad sustainability challenges in the business. It was found that experimentation activities oscillated between slow and loaded, and faster and un-weighted modes. While an intentional and stepwise process was sought, in reality it was largely emergent and highly iterative. Through this iterative process, new circular business models were generated that co-exist with current non-circular ones. Confidence in experimentation as a business capability also increased through this collaborative project.","author":[{"dropping-particle":"","family":"Bocken","given":"Nancy M.P.","non-dropping-particle":"","parse-names":false,"suffix":""},{"dropping-particle":"","family":"Miller","given":"Karen","non-dropping-particle":"","parse-names":false,"suffix":""},{"dropping-particle":"","family":"Weissbrod","given":"Ilka","non-dropping-particle":"","parse-names":false,"suffix":""},{"dropping-particle":"","family":"Holgado","given":"Maria","non-dropping-particle":"","parse-names":false,"suffix":""},{"dropping-particle":"","family":"Evans","given":"Steve","non-dropping-particle":"","parse-names":false,"suffix":""}],"container-title":"Economics and Policy of Energy and Environment (EPEE). Special Issue on Circular Economy","id":"ITEM-1","issue":"January","issued":{"date-parts":[["2018"]]},"page":"1-38","title":"Business Model Experimentation for Circularity: Driving sustainability in a large international clothing retailer","type":"article-journal"},"uris":["http://www.mendeley.com/documents/?uuid=19c59f75-0f21-405c-8106-a02c51cce3f2"]}],"mendeley":{"formattedCitation":"(Bocken et al., 2018)","manualFormatting":"Bocken et al. (2018)","plainTextFormattedCitation":"(Bocken et al., 2018)","previouslyFormattedCitation":"(Bocken et al., 2018)"},"properties":{"noteIndex":0},"schema":"https://github.com/citation-style-language/schema/raw/master/csl-citation.json"}</w:instrText>
      </w:r>
      <w:r w:rsidRPr="009601F2">
        <w:rPr>
          <w:lang w:val="en-GB" w:bidi="en-US"/>
        </w:rPr>
        <w:fldChar w:fldCharType="separate"/>
      </w:r>
      <w:r w:rsidRPr="00402AEC">
        <w:rPr>
          <w:noProof/>
          <w:lang w:val="en-GB" w:bidi="en-US"/>
        </w:rPr>
        <w:t xml:space="preserve">Bocken et al. </w:t>
      </w:r>
      <w:r w:rsidR="00A60A35" w:rsidRPr="00402AEC">
        <w:rPr>
          <w:noProof/>
          <w:lang w:val="en-GB" w:bidi="en-US"/>
        </w:rPr>
        <w:t>(</w:t>
      </w:r>
      <w:r w:rsidRPr="00402AEC">
        <w:rPr>
          <w:noProof/>
          <w:lang w:val="en-GB" w:bidi="en-US"/>
        </w:rPr>
        <w:t>2018)</w:t>
      </w:r>
      <w:r w:rsidRPr="009601F2">
        <w:rPr>
          <w:lang w:val="en-GB" w:bidi="en-US"/>
        </w:rPr>
        <w:fldChar w:fldCharType="end"/>
      </w:r>
      <w:r w:rsidRPr="00402AEC">
        <w:rPr>
          <w:lang w:val="en-GB" w:bidi="en-US"/>
        </w:rPr>
        <w:t xml:space="preserve"> present</w:t>
      </w:r>
      <w:r w:rsidR="0012164D">
        <w:rPr>
          <w:lang w:val="en-GB" w:bidi="en-US"/>
        </w:rPr>
        <w:t>ed</w:t>
      </w:r>
      <w:r w:rsidRPr="00402AEC">
        <w:rPr>
          <w:lang w:val="en-GB" w:bidi="en-US"/>
        </w:rPr>
        <w:t xml:space="preserve"> an in-depth case study of a large international clothing retailer </w:t>
      </w:r>
      <w:r w:rsidR="009D5512">
        <w:rPr>
          <w:lang w:val="en-GB" w:bidi="en-US"/>
        </w:rPr>
        <w:t>willing to</w:t>
      </w:r>
      <w:r w:rsidRPr="00402AEC">
        <w:rPr>
          <w:lang w:val="en-GB" w:bidi="en-US"/>
        </w:rPr>
        <w:t xml:space="preserve"> experiment </w:t>
      </w:r>
      <w:r w:rsidR="009D5512">
        <w:rPr>
          <w:lang w:val="en-GB" w:bidi="en-US"/>
        </w:rPr>
        <w:t>CE.</w:t>
      </w:r>
    </w:p>
    <w:p w14:paraId="5AD12BDF" w14:textId="46543F8E" w:rsidR="00105A44" w:rsidRPr="00402AEC" w:rsidRDefault="00105A44" w:rsidP="00105A44">
      <w:pPr>
        <w:pStyle w:val="Didascalia"/>
        <w:spacing w:after="240" w:line="360" w:lineRule="auto"/>
        <w:jc w:val="center"/>
        <w:rPr>
          <w:b w:val="0"/>
          <w:sz w:val="24"/>
          <w:lang w:val="en-GB"/>
        </w:rPr>
      </w:pPr>
      <w:r w:rsidRPr="00402AEC">
        <w:rPr>
          <w:caps w:val="0"/>
          <w:sz w:val="24"/>
          <w:lang w:val="en-GB"/>
        </w:rPr>
        <w:t xml:space="preserve">Table </w:t>
      </w:r>
      <w:r w:rsidRPr="009601F2">
        <w:rPr>
          <w:sz w:val="24"/>
          <w:lang w:val="en-GB"/>
        </w:rPr>
        <w:fldChar w:fldCharType="begin"/>
      </w:r>
      <w:r w:rsidRPr="0024288F">
        <w:rPr>
          <w:sz w:val="24"/>
          <w:lang w:val="en-GB"/>
        </w:rPr>
        <w:instrText xml:space="preserve"> SEQ Table \* ARABIC </w:instrText>
      </w:r>
      <w:r w:rsidRPr="009601F2">
        <w:rPr>
          <w:sz w:val="24"/>
          <w:lang w:val="en-GB"/>
        </w:rPr>
        <w:fldChar w:fldCharType="separate"/>
      </w:r>
      <w:r w:rsidR="008F7F15">
        <w:rPr>
          <w:noProof/>
          <w:sz w:val="24"/>
          <w:lang w:val="en-GB"/>
        </w:rPr>
        <w:t>6</w:t>
      </w:r>
      <w:r w:rsidRPr="009601F2">
        <w:rPr>
          <w:sz w:val="24"/>
          <w:lang w:val="en-GB"/>
        </w:rPr>
        <w:fldChar w:fldCharType="end"/>
      </w:r>
      <w:r w:rsidRPr="00402AEC">
        <w:rPr>
          <w:caps w:val="0"/>
          <w:sz w:val="24"/>
          <w:lang w:val="en-GB"/>
        </w:rPr>
        <w:t>.</w:t>
      </w:r>
      <w:r w:rsidRPr="00402AEC">
        <w:rPr>
          <w:b w:val="0"/>
          <w:caps w:val="0"/>
          <w:sz w:val="24"/>
          <w:lang w:val="en-GB"/>
        </w:rPr>
        <w:t xml:space="preserve"> Other CBM research areas</w:t>
      </w:r>
    </w:p>
    <w:tbl>
      <w:tblPr>
        <w:tblStyle w:val="Grigliatabella"/>
        <w:tblW w:w="5000" w:type="pct"/>
        <w:tblLook w:val="01E0" w:firstRow="1" w:lastRow="1" w:firstColumn="1" w:lastColumn="1" w:noHBand="0" w:noVBand="0"/>
      </w:tblPr>
      <w:tblGrid>
        <w:gridCol w:w="2833"/>
        <w:gridCol w:w="2263"/>
        <w:gridCol w:w="2263"/>
        <w:gridCol w:w="2263"/>
      </w:tblGrid>
      <w:tr w:rsidR="00027C68" w:rsidRPr="00402AEC" w14:paraId="5A1666A9" w14:textId="77777777" w:rsidTr="00746DB3">
        <w:tc>
          <w:tcPr>
            <w:tcW w:w="1472" w:type="pct"/>
            <w:vMerge w:val="restart"/>
          </w:tcPr>
          <w:p w14:paraId="5BEA5861" w14:textId="77777777" w:rsidR="00027C68" w:rsidRPr="00402AEC" w:rsidRDefault="00027C68" w:rsidP="00D62E44">
            <w:pPr>
              <w:rPr>
                <w:b/>
                <w:lang w:val="en-GB"/>
              </w:rPr>
            </w:pPr>
            <w:r w:rsidRPr="00402AEC">
              <w:rPr>
                <w:b/>
                <w:lang w:val="en-GB"/>
              </w:rPr>
              <w:lastRenderedPageBreak/>
              <w:t>Author</w:t>
            </w:r>
          </w:p>
        </w:tc>
        <w:tc>
          <w:tcPr>
            <w:tcW w:w="3528" w:type="pct"/>
            <w:gridSpan w:val="3"/>
          </w:tcPr>
          <w:p w14:paraId="55E2205C" w14:textId="61BF4077" w:rsidR="00027C68" w:rsidRPr="00402AEC" w:rsidRDefault="000F685F" w:rsidP="00D62E44">
            <w:pPr>
              <w:jc w:val="center"/>
              <w:rPr>
                <w:b/>
                <w:lang w:val="en-GB"/>
              </w:rPr>
            </w:pPr>
            <w:r w:rsidRPr="00402AEC">
              <w:rPr>
                <w:b/>
                <w:lang w:val="en-GB"/>
              </w:rPr>
              <w:t xml:space="preserve">Other </w:t>
            </w:r>
            <w:r w:rsidR="00027C68" w:rsidRPr="00402AEC">
              <w:rPr>
                <w:b/>
                <w:lang w:val="en-GB"/>
              </w:rPr>
              <w:t>CBM research areas</w:t>
            </w:r>
          </w:p>
        </w:tc>
      </w:tr>
      <w:tr w:rsidR="00027C68" w:rsidRPr="00402AEC" w14:paraId="2634B20C" w14:textId="77777777" w:rsidTr="00746DB3">
        <w:tc>
          <w:tcPr>
            <w:tcW w:w="1472" w:type="pct"/>
            <w:vMerge/>
          </w:tcPr>
          <w:p w14:paraId="286D5144" w14:textId="77777777" w:rsidR="00027C68" w:rsidRPr="00402AEC" w:rsidRDefault="00027C68" w:rsidP="00D62E44">
            <w:pPr>
              <w:rPr>
                <w:b/>
                <w:lang w:val="en-GB"/>
              </w:rPr>
            </w:pPr>
          </w:p>
        </w:tc>
        <w:tc>
          <w:tcPr>
            <w:tcW w:w="1176" w:type="pct"/>
          </w:tcPr>
          <w:p w14:paraId="04D35873" w14:textId="5F9F405E" w:rsidR="00027C68" w:rsidRPr="00402AEC" w:rsidRDefault="004363CC" w:rsidP="00D62E44">
            <w:pPr>
              <w:jc w:val="center"/>
              <w:rPr>
                <w:b/>
                <w:lang w:val="en-GB"/>
              </w:rPr>
            </w:pPr>
            <w:r>
              <w:rPr>
                <w:b/>
                <w:lang w:val="en-GB"/>
              </w:rPr>
              <w:t>L</w:t>
            </w:r>
            <w:r w:rsidR="00027C68" w:rsidRPr="00402AEC">
              <w:rPr>
                <w:b/>
                <w:lang w:val="en-GB"/>
              </w:rPr>
              <w:t>ifecycle assessment</w:t>
            </w:r>
          </w:p>
        </w:tc>
        <w:tc>
          <w:tcPr>
            <w:tcW w:w="1176" w:type="pct"/>
          </w:tcPr>
          <w:p w14:paraId="3AF4F6D7" w14:textId="24CA0888" w:rsidR="00027C68" w:rsidRPr="00402AEC" w:rsidRDefault="004363CC" w:rsidP="00D62E44">
            <w:pPr>
              <w:jc w:val="center"/>
              <w:rPr>
                <w:b/>
                <w:lang w:val="en-GB"/>
              </w:rPr>
            </w:pPr>
            <w:r>
              <w:rPr>
                <w:b/>
                <w:lang w:val="en-GB"/>
              </w:rPr>
              <w:t>P</w:t>
            </w:r>
            <w:r w:rsidR="00027C68" w:rsidRPr="00402AEC">
              <w:rPr>
                <w:b/>
                <w:lang w:val="en-GB"/>
              </w:rPr>
              <w:t>erformance comparison</w:t>
            </w:r>
          </w:p>
        </w:tc>
        <w:tc>
          <w:tcPr>
            <w:tcW w:w="1176" w:type="pct"/>
          </w:tcPr>
          <w:p w14:paraId="62AE5F62" w14:textId="5EAE588A" w:rsidR="00027C68" w:rsidRPr="00402AEC" w:rsidRDefault="004363CC" w:rsidP="00D62E44">
            <w:pPr>
              <w:jc w:val="center"/>
              <w:rPr>
                <w:b/>
                <w:lang w:val="en-GB"/>
              </w:rPr>
            </w:pPr>
            <w:r>
              <w:rPr>
                <w:b/>
                <w:lang w:val="en-GB"/>
              </w:rPr>
              <w:t>R</w:t>
            </w:r>
            <w:r w:rsidR="00027C68" w:rsidRPr="00402AEC">
              <w:rPr>
                <w:b/>
                <w:lang w:val="en-GB"/>
              </w:rPr>
              <w:t>apid experimentation</w:t>
            </w:r>
          </w:p>
        </w:tc>
      </w:tr>
      <w:tr w:rsidR="00896652" w:rsidRPr="00402AEC" w14:paraId="5D22FA4C" w14:textId="77777777" w:rsidTr="00746DB3">
        <w:tc>
          <w:tcPr>
            <w:tcW w:w="1472" w:type="pct"/>
          </w:tcPr>
          <w:p w14:paraId="4E9F3E84" w14:textId="23F6DED0" w:rsidR="00896652" w:rsidRPr="00C03A6B" w:rsidRDefault="00896652" w:rsidP="00896652">
            <w:pPr>
              <w:rPr>
                <w:sz w:val="20"/>
                <w:szCs w:val="20"/>
                <w:highlight w:val="yellow"/>
                <w:lang w:val="en-GB"/>
              </w:rPr>
            </w:pPr>
            <w:r w:rsidRPr="00E070C3">
              <w:rPr>
                <w:sz w:val="20"/>
                <w:szCs w:val="20"/>
                <w:lang w:val="en-GB" w:bidi="en-US"/>
              </w:rPr>
              <w:fldChar w:fldCharType="begin" w:fldLock="1"/>
            </w:r>
            <w:r w:rsidR="003445CC">
              <w:rPr>
                <w:sz w:val="20"/>
                <w:szCs w:val="20"/>
                <w:lang w:val="en-GB" w:bidi="en-US"/>
              </w:rPr>
              <w:instrText>ADDIN CSL_CITATION {"citationItems":[{"id":"ITEM-1","itemData":{"abstract":"In order to move towards sustainability and a circular economy, there is need for systemic innovation in all aspects of society, including our values and consuming practices, and technological and business innovations to all society structures (Wells 2016, Ellen MacArthur Foundation 2013). Companies need to consider how to close the material loops, reduce the resources needed and consider how materials and products are kept in the loop, as long as possible. With business model experimentations, companies can demonstrate a model's feasibility, consumer acceptance and the environmental impacts in a cost-efficient way (Thomke 2003). Academic research related to designing business model experimentation is lacking. The aim of this study is to improve our understanding of how to design circular business model experimentation that takes into consideration both the companies' and the research organizations' needs. In this paper, we describe a pilot of a five-stage process model for rapid experimentation that takes into account both the entrepreneur's and the research organisation's needs and objectives.","author":[{"dropping-particle":"","family":"Antikainen","given":"Maria","non-dropping-particle":"","parse-names":false,"suffix":""},{"dropping-particle":"","family":"Aminoff","given":"Anna","non-dropping-particle":"","parse-names":false,"suffix":""},{"dropping-particle":"","family":"Paloheimo","given":"Harri","non-dropping-particle":"","parse-names":false,"suffix":""},{"dropping-particle":"","family":"Kettunen","given":"Outi","non-dropping-particle":"","parse-names":false,"suffix":""}],"container-title":"ISPIM Innovation Forum","id":"ITEM-1","issued":{"date-parts":[["2017"]]},"page":"1-14","publisher-place":"Toronto","title":"Designing circular business model experimentation - Case study","type":"paper-conference"},"uris":["http://www.mendeley.com/documents/?uuid=a5e6f222-baa8-46fd-be70-97b956133cfc"]}],"mendeley":{"formattedCitation":"(Antikainen et al., 2017)","manualFormatting":"Antikainen et al. (2017)","plainTextFormattedCitation":"(Antikainen et al., 2017)","previouslyFormattedCitation":"(Antikainen et al., 2017)"},"properties":{"noteIndex":0},"schema":"https://github.com/citation-style-language/schema/raw/master/csl-citation.json"}</w:instrText>
            </w:r>
            <w:r w:rsidRPr="00E070C3">
              <w:rPr>
                <w:sz w:val="20"/>
                <w:szCs w:val="20"/>
                <w:lang w:val="en-GB" w:bidi="en-US"/>
              </w:rPr>
              <w:fldChar w:fldCharType="separate"/>
            </w:r>
            <w:r w:rsidRPr="00E070C3">
              <w:rPr>
                <w:noProof/>
                <w:sz w:val="20"/>
                <w:szCs w:val="20"/>
                <w:lang w:val="en-GB" w:bidi="en-US"/>
              </w:rPr>
              <w:t>Antikainen et al. (2017)</w:t>
            </w:r>
            <w:r w:rsidRPr="00E070C3">
              <w:rPr>
                <w:sz w:val="20"/>
                <w:szCs w:val="20"/>
                <w:lang w:val="en-GB" w:bidi="en-US"/>
              </w:rPr>
              <w:fldChar w:fldCharType="end"/>
            </w:r>
          </w:p>
        </w:tc>
        <w:tc>
          <w:tcPr>
            <w:tcW w:w="1176" w:type="pct"/>
          </w:tcPr>
          <w:p w14:paraId="4E2E24B8" w14:textId="21FE1515" w:rsidR="00896652" w:rsidRPr="00746DB3" w:rsidRDefault="00896652" w:rsidP="00896652">
            <w:pPr>
              <w:jc w:val="center"/>
              <w:rPr>
                <w:sz w:val="20"/>
                <w:szCs w:val="20"/>
                <w:lang w:val="en-GB"/>
              </w:rPr>
            </w:pPr>
          </w:p>
        </w:tc>
        <w:tc>
          <w:tcPr>
            <w:tcW w:w="1176" w:type="pct"/>
          </w:tcPr>
          <w:p w14:paraId="5B438DB8" w14:textId="77777777" w:rsidR="00896652" w:rsidRPr="00746DB3" w:rsidRDefault="00896652" w:rsidP="00896652">
            <w:pPr>
              <w:jc w:val="center"/>
              <w:rPr>
                <w:sz w:val="20"/>
                <w:szCs w:val="20"/>
                <w:lang w:val="en-GB"/>
              </w:rPr>
            </w:pPr>
          </w:p>
        </w:tc>
        <w:tc>
          <w:tcPr>
            <w:tcW w:w="1176" w:type="pct"/>
          </w:tcPr>
          <w:p w14:paraId="49A0B4BE" w14:textId="0D0234FA" w:rsidR="00896652" w:rsidRPr="00746DB3" w:rsidRDefault="00896652" w:rsidP="00896652">
            <w:pPr>
              <w:jc w:val="center"/>
              <w:rPr>
                <w:sz w:val="20"/>
                <w:szCs w:val="20"/>
                <w:lang w:val="en-GB"/>
              </w:rPr>
            </w:pPr>
            <w:r w:rsidRPr="00E070C3">
              <w:rPr>
                <w:sz w:val="20"/>
                <w:szCs w:val="20"/>
                <w:lang w:val="en-GB"/>
              </w:rPr>
              <w:t>x</w:t>
            </w:r>
          </w:p>
        </w:tc>
      </w:tr>
      <w:tr w:rsidR="00896652" w:rsidRPr="00402AEC" w14:paraId="32F455FB" w14:textId="77777777" w:rsidTr="001538AE">
        <w:tc>
          <w:tcPr>
            <w:tcW w:w="1472" w:type="pct"/>
          </w:tcPr>
          <w:p w14:paraId="30E796EE" w14:textId="47D84BC2" w:rsidR="00896652" w:rsidRPr="00C03A6B" w:rsidRDefault="00896652" w:rsidP="00896652">
            <w:pPr>
              <w:rPr>
                <w:sz w:val="20"/>
                <w:szCs w:val="20"/>
                <w:lang w:val="en-GB" w:bidi="en-US"/>
              </w:rPr>
            </w:pPr>
            <w:r w:rsidRPr="00165AEB">
              <w:rPr>
                <w:sz w:val="20"/>
                <w:szCs w:val="20"/>
                <w:lang w:val="en-GB" w:bidi="en-US"/>
              </w:rPr>
              <w:fldChar w:fldCharType="begin" w:fldLock="1"/>
            </w:r>
            <w:r w:rsidR="003445CC">
              <w:rPr>
                <w:sz w:val="20"/>
                <w:szCs w:val="20"/>
                <w:lang w:val="en-GB" w:bidi="en-US"/>
              </w:rPr>
              <w:instrText>ADDIN CSL_CITATION {"citationItems":[{"id":"ITEM-1","itemData":{"author":[{"dropping-particle":"","family":"Bocken","given":"Nancy M.P.","non-dropping-particle":"","parse-names":false,"suffix":""},{"dropping-particle":"","family":"Miller","given":"Karen","non-dropping-particle":"","parse-names":false,"suffix":""},{"dropping-particle":"","family":"Evans","given":"Steve","non-dropping-particle":"","parse-names":false,"suffix":""}],"container-title":"New Business Models - Exploring a changing view on organizing value creation","id":"ITEM-1","issued":{"date-parts":[["2016"]]},"page":"1-15","publisher-place":"Toulouse, France","title":"Assessing the environmental impact of new Circular business models","type":"paper-conference"},"uris":["http://www.mendeley.com/documents/?uuid=0eff4bae-a5fd-422d-8f20-a9b358ac5390"]}],"mendeley":{"formattedCitation":"(Bocken et al., 2016b)","manualFormatting":"Bocken et al. (2016b)","plainTextFormattedCitation":"(Bocken et al., 2016b)","previouslyFormattedCitation":"(Bocken et al., 2016b)"},"properties":{"noteIndex":0},"schema":"https://github.com/citation-style-language/schema/raw/master/csl-citation.json"}</w:instrText>
            </w:r>
            <w:r w:rsidRPr="00165AEB">
              <w:rPr>
                <w:sz w:val="20"/>
                <w:szCs w:val="20"/>
                <w:lang w:val="en-GB" w:bidi="en-US"/>
              </w:rPr>
              <w:fldChar w:fldCharType="separate"/>
            </w:r>
            <w:r w:rsidRPr="00165AEB">
              <w:rPr>
                <w:noProof/>
                <w:sz w:val="20"/>
                <w:szCs w:val="20"/>
                <w:lang w:val="en-GB" w:bidi="en-US"/>
              </w:rPr>
              <w:t>Bocken et al. (2016b)</w:t>
            </w:r>
            <w:r w:rsidRPr="00165AEB">
              <w:rPr>
                <w:sz w:val="20"/>
                <w:szCs w:val="20"/>
                <w:lang w:val="en-GB" w:bidi="en-US"/>
              </w:rPr>
              <w:fldChar w:fldCharType="end"/>
            </w:r>
          </w:p>
        </w:tc>
        <w:tc>
          <w:tcPr>
            <w:tcW w:w="1176" w:type="pct"/>
          </w:tcPr>
          <w:p w14:paraId="3F95FEEE" w14:textId="14EDF1DC" w:rsidR="00896652" w:rsidRPr="00C03A6B" w:rsidRDefault="00896652" w:rsidP="00896652">
            <w:pPr>
              <w:jc w:val="center"/>
              <w:rPr>
                <w:sz w:val="20"/>
                <w:szCs w:val="20"/>
                <w:lang w:val="en-GB"/>
              </w:rPr>
            </w:pPr>
            <w:r w:rsidRPr="00165AEB">
              <w:rPr>
                <w:sz w:val="20"/>
                <w:szCs w:val="20"/>
                <w:lang w:val="en-GB"/>
              </w:rPr>
              <w:t>x</w:t>
            </w:r>
          </w:p>
        </w:tc>
        <w:tc>
          <w:tcPr>
            <w:tcW w:w="1176" w:type="pct"/>
          </w:tcPr>
          <w:p w14:paraId="7861BB76" w14:textId="77777777" w:rsidR="00896652" w:rsidRPr="00C03A6B" w:rsidRDefault="00896652" w:rsidP="00896652">
            <w:pPr>
              <w:jc w:val="center"/>
              <w:rPr>
                <w:sz w:val="20"/>
                <w:szCs w:val="20"/>
                <w:lang w:val="en-GB"/>
              </w:rPr>
            </w:pPr>
          </w:p>
        </w:tc>
        <w:tc>
          <w:tcPr>
            <w:tcW w:w="1176" w:type="pct"/>
          </w:tcPr>
          <w:p w14:paraId="58619740" w14:textId="77777777" w:rsidR="00896652" w:rsidRPr="00C03A6B" w:rsidRDefault="00896652" w:rsidP="00896652">
            <w:pPr>
              <w:jc w:val="center"/>
              <w:rPr>
                <w:sz w:val="20"/>
                <w:szCs w:val="20"/>
                <w:lang w:val="en-GB"/>
              </w:rPr>
            </w:pPr>
          </w:p>
        </w:tc>
      </w:tr>
      <w:tr w:rsidR="00896652" w:rsidRPr="00402AEC" w14:paraId="3093C543" w14:textId="77777777" w:rsidTr="001538AE">
        <w:tc>
          <w:tcPr>
            <w:tcW w:w="1472" w:type="pct"/>
          </w:tcPr>
          <w:p w14:paraId="7CBE3530" w14:textId="2A61890E" w:rsidR="00896652" w:rsidRPr="00C03A6B" w:rsidRDefault="00896652" w:rsidP="00896652">
            <w:pPr>
              <w:rPr>
                <w:sz w:val="20"/>
                <w:szCs w:val="20"/>
                <w:lang w:val="en-GB" w:bidi="en-US"/>
              </w:rPr>
            </w:pPr>
            <w:r w:rsidRPr="00F31A06">
              <w:rPr>
                <w:sz w:val="20"/>
                <w:szCs w:val="20"/>
                <w:lang w:val="en-GB" w:bidi="en-US"/>
              </w:rPr>
              <w:fldChar w:fldCharType="begin" w:fldLock="1"/>
            </w:r>
            <w:r w:rsidR="003445CC">
              <w:rPr>
                <w:sz w:val="20"/>
                <w:szCs w:val="20"/>
                <w:lang w:val="en-GB" w:bidi="en-US"/>
              </w:rPr>
              <w:instrText>ADDIN CSL_CITATION {"citationItems":[{"id":"ITEM-1","itemData":{"abstract":"Business model experimentation for sustainability is an intentional and systematic approach to identify, test and learn about value creation strategies that could be adopted by a business in response to current unsustainable trajectories. For businesses such as large clothing retailers the need to alter course is acute as pressure builds from economic, environmental and social angles. The circular economy concept provides a potential powerful lever for change. To date, however, scant research has been conducted on how circular business model experimentation is conducted. We present an in-depth action research case study of a large international clothing retailer embarking on a journey of business model experimentation for circularity: the processes, methods, roles and the organisation in light of the need to address broad sustainability challenges in the business. It was found that experimentation activities oscillated between slow and loaded, and faster and un-weighted modes. While an intentional and stepwise process was sought, in reality it was largely emergent and highly iterative. Through this iterative process, new circular business models were generated that co-exist with current non-circular ones. Confidence in experimentation as a business capability also increased through this collaborative project.","author":[{"dropping-particle":"","family":"Bocken","given":"Nancy M.P.","non-dropping-particle":"","parse-names":false,"suffix":""},{"dropping-particle":"","family":"Miller","given":"Karen","non-dropping-particle":"","parse-names":false,"suffix":""},{"dropping-particle":"","family":"Weissbrod","given":"Ilka","non-dropping-particle":"","parse-names":false,"suffix":""},{"dropping-particle":"","family":"Holgado","given":"Maria","non-dropping-particle":"","parse-names":false,"suffix":""},{"dropping-particle":"","family":"Evans","given":"Steve","non-dropping-particle":"","parse-names":false,"suffix":""}],"container-title":"Economics and Policy of Energy and Environment (EPEE). Special Issue on Circular Economy","id":"ITEM-1","issue":"January","issued":{"date-parts":[["2018"]]},"page":"1-38","title":"Business Model Experimentation for Circularity: Driving sustainability in a large international clothing retailer","type":"article-journal"},"uris":["http://www.mendeley.com/documents/?uuid=19c59f75-0f21-405c-8106-a02c51cce3f2"]}],"mendeley":{"formattedCitation":"(Bocken et al., 2018)","manualFormatting":"Bocken et al. (2018)","plainTextFormattedCitation":"(Bocken et al., 2018)","previouslyFormattedCitation":"(Bocken et al., 2018)"},"properties":{"noteIndex":0},"schema":"https://github.com/citation-style-language/schema/raw/master/csl-citation.json"}</w:instrText>
            </w:r>
            <w:r w:rsidRPr="00F31A06">
              <w:rPr>
                <w:sz w:val="20"/>
                <w:szCs w:val="20"/>
                <w:lang w:val="en-GB" w:bidi="en-US"/>
              </w:rPr>
              <w:fldChar w:fldCharType="separate"/>
            </w:r>
            <w:r w:rsidRPr="00F31A06">
              <w:rPr>
                <w:noProof/>
                <w:sz w:val="20"/>
                <w:szCs w:val="20"/>
                <w:lang w:val="en-GB" w:bidi="en-US"/>
              </w:rPr>
              <w:t>Bocken et al. (2018)</w:t>
            </w:r>
            <w:r w:rsidRPr="00F31A06">
              <w:rPr>
                <w:sz w:val="20"/>
                <w:szCs w:val="20"/>
                <w:lang w:val="en-GB" w:bidi="en-US"/>
              </w:rPr>
              <w:fldChar w:fldCharType="end"/>
            </w:r>
          </w:p>
        </w:tc>
        <w:tc>
          <w:tcPr>
            <w:tcW w:w="1176" w:type="pct"/>
          </w:tcPr>
          <w:p w14:paraId="280B7860" w14:textId="77777777" w:rsidR="00896652" w:rsidRPr="00C03A6B" w:rsidRDefault="00896652" w:rsidP="00896652">
            <w:pPr>
              <w:jc w:val="center"/>
              <w:rPr>
                <w:sz w:val="20"/>
                <w:szCs w:val="20"/>
                <w:lang w:val="en-GB"/>
              </w:rPr>
            </w:pPr>
          </w:p>
        </w:tc>
        <w:tc>
          <w:tcPr>
            <w:tcW w:w="1176" w:type="pct"/>
          </w:tcPr>
          <w:p w14:paraId="5B15B565" w14:textId="77777777" w:rsidR="00896652" w:rsidRPr="00C03A6B" w:rsidRDefault="00896652" w:rsidP="00896652">
            <w:pPr>
              <w:jc w:val="center"/>
              <w:rPr>
                <w:sz w:val="20"/>
                <w:szCs w:val="20"/>
                <w:lang w:val="en-GB"/>
              </w:rPr>
            </w:pPr>
          </w:p>
        </w:tc>
        <w:tc>
          <w:tcPr>
            <w:tcW w:w="1176" w:type="pct"/>
          </w:tcPr>
          <w:p w14:paraId="6ADCB835" w14:textId="65457E99" w:rsidR="00896652" w:rsidRPr="00C03A6B" w:rsidRDefault="00896652" w:rsidP="00896652">
            <w:pPr>
              <w:jc w:val="center"/>
              <w:rPr>
                <w:sz w:val="20"/>
                <w:szCs w:val="20"/>
                <w:lang w:val="en-GB"/>
              </w:rPr>
            </w:pPr>
            <w:r w:rsidRPr="00F31A06">
              <w:rPr>
                <w:sz w:val="20"/>
                <w:szCs w:val="20"/>
                <w:lang w:val="en-GB"/>
              </w:rPr>
              <w:t>x</w:t>
            </w:r>
          </w:p>
        </w:tc>
      </w:tr>
      <w:tr w:rsidR="002D0DA9" w:rsidRPr="00402AEC" w14:paraId="18834636" w14:textId="77777777" w:rsidTr="001538AE">
        <w:tc>
          <w:tcPr>
            <w:tcW w:w="1472" w:type="pct"/>
          </w:tcPr>
          <w:p w14:paraId="3B1E9AF9" w14:textId="28811B37" w:rsidR="002D0DA9" w:rsidRPr="00F31A06" w:rsidRDefault="002D0DA9" w:rsidP="002D0DA9">
            <w:pPr>
              <w:rPr>
                <w:sz w:val="20"/>
                <w:szCs w:val="20"/>
                <w:lang w:val="en-GB" w:bidi="en-US"/>
              </w:rPr>
            </w:pPr>
            <w:r w:rsidRPr="007D7794">
              <w:rPr>
                <w:sz w:val="20"/>
                <w:szCs w:val="20"/>
                <w:lang w:val="en-GB" w:bidi="en-US"/>
              </w:rPr>
              <w:fldChar w:fldCharType="begin" w:fldLock="1"/>
            </w:r>
            <w:r w:rsidR="003445CC">
              <w:rPr>
                <w:sz w:val="20"/>
                <w:szCs w:val="20"/>
                <w:lang w:val="en-GB" w:bidi="en-US"/>
              </w:rPr>
              <w:instrText>ADDIN CSL_CITATION {"citationItems":[{"id":"ITEM-1","itemData":{"abstract":"The Circular Economy is increasingly seen as a complete or partial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necessary to implement the concept on an organisational level with two case studies - an office furniture remanufacturing operation, and an aluminium sheet manufacturer - from a value-based perspective. We find that both companies feature a CBM and that it helps in realising their sustainability ambitions.","author":[{"dropping-particle":"","family":"Morioka","given":"Sandra Naomi","non-dropping-particle":"","parse-names":false,"suffix":""},{"dropping-particle":"","family":"Geissdoerfer","given":"Martin","non-dropping-particle":"","parse-names":false,"suffix":""},{"dropping-particle":"","family":"Evans","given":"Steve","non-dropping-particle":"","parse-names":false,"suffix":""}],"container-title":"EurOMA 2016 - 23rd European Operations Management Association Conference","id":"ITEM-1","issued":{"date-parts":[["2016"]]},"page":"1-10","publisher-place":"Trondheim","title":"A combined discussion on sustainable development and circular economy business models","type":"paper-conference"},"uris":["http://www.mendeley.com/documents/?uuid=17245906-8898-4c5e-bb7d-1c557ab030ed"]}],"mendeley":{"formattedCitation":"(Morioka et al., 2016)","manualFormatting":"Morioka et al. (2016)","plainTextFormattedCitation":"(Morioka et al., 2016)","previouslyFormattedCitation":"(Morioka et al., 2016)"},"properties":{"noteIndex":0},"schema":"https://github.com/citation-style-language/schema/raw/master/csl-citation.json"}</w:instrText>
            </w:r>
            <w:r w:rsidRPr="007D7794">
              <w:rPr>
                <w:sz w:val="20"/>
                <w:szCs w:val="20"/>
                <w:lang w:val="en-GB" w:bidi="en-US"/>
              </w:rPr>
              <w:fldChar w:fldCharType="separate"/>
            </w:r>
            <w:r w:rsidRPr="007D7794">
              <w:rPr>
                <w:noProof/>
                <w:sz w:val="20"/>
                <w:szCs w:val="20"/>
                <w:lang w:val="en-GB" w:bidi="en-US"/>
              </w:rPr>
              <w:t>Morioka et al. (2016)</w:t>
            </w:r>
            <w:r w:rsidRPr="007D7794">
              <w:rPr>
                <w:sz w:val="20"/>
                <w:szCs w:val="20"/>
                <w:lang w:val="en-GB" w:bidi="en-US"/>
              </w:rPr>
              <w:fldChar w:fldCharType="end"/>
            </w:r>
          </w:p>
        </w:tc>
        <w:tc>
          <w:tcPr>
            <w:tcW w:w="1176" w:type="pct"/>
          </w:tcPr>
          <w:p w14:paraId="202C0F69" w14:textId="77777777" w:rsidR="002D0DA9" w:rsidRPr="00C03A6B" w:rsidRDefault="002D0DA9" w:rsidP="002D0DA9">
            <w:pPr>
              <w:jc w:val="center"/>
              <w:rPr>
                <w:sz w:val="20"/>
                <w:szCs w:val="20"/>
                <w:lang w:val="en-GB"/>
              </w:rPr>
            </w:pPr>
          </w:p>
        </w:tc>
        <w:tc>
          <w:tcPr>
            <w:tcW w:w="1176" w:type="pct"/>
          </w:tcPr>
          <w:p w14:paraId="5557F786" w14:textId="5190A500" w:rsidR="002D0DA9" w:rsidRPr="00C03A6B" w:rsidRDefault="002D0DA9" w:rsidP="002D0DA9">
            <w:pPr>
              <w:jc w:val="center"/>
              <w:rPr>
                <w:sz w:val="20"/>
                <w:szCs w:val="20"/>
                <w:lang w:val="en-GB"/>
              </w:rPr>
            </w:pPr>
            <w:r w:rsidRPr="007D7794">
              <w:rPr>
                <w:sz w:val="20"/>
                <w:szCs w:val="20"/>
                <w:lang w:val="en-GB"/>
              </w:rPr>
              <w:t>x</w:t>
            </w:r>
          </w:p>
        </w:tc>
        <w:tc>
          <w:tcPr>
            <w:tcW w:w="1176" w:type="pct"/>
          </w:tcPr>
          <w:p w14:paraId="2ABFBB5A" w14:textId="77777777" w:rsidR="002D0DA9" w:rsidRPr="00F31A06" w:rsidRDefault="002D0DA9" w:rsidP="002D0DA9">
            <w:pPr>
              <w:jc w:val="center"/>
              <w:rPr>
                <w:sz w:val="20"/>
                <w:szCs w:val="20"/>
                <w:lang w:val="en-GB"/>
              </w:rPr>
            </w:pPr>
          </w:p>
        </w:tc>
      </w:tr>
      <w:tr w:rsidR="002D0DA9" w:rsidRPr="00402AEC" w14:paraId="33A60CD9" w14:textId="77777777" w:rsidTr="00746DB3">
        <w:tc>
          <w:tcPr>
            <w:tcW w:w="1472" w:type="pct"/>
          </w:tcPr>
          <w:p w14:paraId="21E928C7" w14:textId="03B35C1E" w:rsidR="002D0DA9" w:rsidRPr="00C03A6B" w:rsidRDefault="002D0DA9" w:rsidP="002D0DA9">
            <w:pPr>
              <w:rPr>
                <w:sz w:val="20"/>
                <w:szCs w:val="20"/>
                <w:highlight w:val="yellow"/>
                <w:lang w:val="en-GB"/>
              </w:rPr>
            </w:pPr>
            <w:r w:rsidRPr="00746DB3">
              <w:rPr>
                <w:sz w:val="20"/>
                <w:szCs w:val="20"/>
                <w:lang w:val="en-GB" w:bidi="en-US"/>
              </w:rPr>
              <w:fldChar w:fldCharType="begin" w:fldLock="1"/>
            </w:r>
            <w:r w:rsidR="003445CC">
              <w:rPr>
                <w:sz w:val="20"/>
                <w:szCs w:val="20"/>
                <w:lang w:val="en-GB" w:bidi="en-US"/>
              </w:rPr>
              <w:instrText>ADDIN CSL_CITATION {"citationItems":[{"id":"ITEM-1","itemData":{"DOI":"10.1016/j.jclepro.2018.02.001","ISSN":"09596526","author":[{"dropping-particle":"","family":"Pal","given":"Rudrajeet","non-dropping-particle":"","parse-names":false,"suffix":""},{"dropping-particle":"","family":"Gander","given":"Jonathan","non-dropping-particle":"","parse-names":false,"suffix":""}],"container-title":"Journal of Cleaner Production","id":"ITEM-1","issued":{"date-parts":[["2018"]]},"page":"251-263","publisher":"Elsevier B.V.","title":"Modelling environmental value: an examination of sustainable business models within the fashion industry","type":"article-journal","volume":"184"},"uris":["http://www.mendeley.com/documents/?uuid=5e99d287-1268-4cf3-9521-3e6439f18a7d"]}],"mendeley":{"formattedCitation":"(Pal and Gander, 2018)","manualFormatting":"Pal and Gander (2018)","plainTextFormattedCitation":"(Pal and Gander, 2018)","previouslyFormattedCitation":"(Pal and Gander, 2018)"},"properties":{"noteIndex":0},"schema":"https://github.com/citation-style-language/schema/raw/master/csl-citation.json"}</w:instrText>
            </w:r>
            <w:r w:rsidRPr="00746DB3">
              <w:rPr>
                <w:sz w:val="20"/>
                <w:szCs w:val="20"/>
                <w:lang w:val="en-GB" w:bidi="en-US"/>
              </w:rPr>
              <w:fldChar w:fldCharType="separate"/>
            </w:r>
            <w:r w:rsidRPr="00746DB3">
              <w:rPr>
                <w:noProof/>
                <w:sz w:val="20"/>
                <w:szCs w:val="20"/>
                <w:lang w:val="en-GB" w:bidi="en-US"/>
              </w:rPr>
              <w:t>Pal and Gander (2018)</w:t>
            </w:r>
            <w:r w:rsidRPr="00746DB3">
              <w:rPr>
                <w:sz w:val="20"/>
                <w:szCs w:val="20"/>
                <w:lang w:val="en-GB" w:bidi="en-US"/>
              </w:rPr>
              <w:fldChar w:fldCharType="end"/>
            </w:r>
          </w:p>
        </w:tc>
        <w:tc>
          <w:tcPr>
            <w:tcW w:w="1176" w:type="pct"/>
          </w:tcPr>
          <w:p w14:paraId="08CE14BE" w14:textId="6392B104" w:rsidR="002D0DA9" w:rsidRPr="00746DB3" w:rsidRDefault="002D0DA9" w:rsidP="002D0DA9">
            <w:pPr>
              <w:jc w:val="center"/>
              <w:rPr>
                <w:sz w:val="20"/>
                <w:szCs w:val="20"/>
                <w:lang w:val="en-GB"/>
              </w:rPr>
            </w:pPr>
            <w:r w:rsidRPr="00746DB3">
              <w:rPr>
                <w:sz w:val="20"/>
                <w:szCs w:val="20"/>
                <w:lang w:val="en-GB"/>
              </w:rPr>
              <w:t>x</w:t>
            </w:r>
          </w:p>
        </w:tc>
        <w:tc>
          <w:tcPr>
            <w:tcW w:w="1176" w:type="pct"/>
          </w:tcPr>
          <w:p w14:paraId="64FE6436" w14:textId="77777777" w:rsidR="002D0DA9" w:rsidRPr="00746DB3" w:rsidRDefault="002D0DA9" w:rsidP="002D0DA9">
            <w:pPr>
              <w:jc w:val="center"/>
              <w:rPr>
                <w:sz w:val="20"/>
                <w:szCs w:val="20"/>
                <w:lang w:val="en-GB"/>
              </w:rPr>
            </w:pPr>
          </w:p>
        </w:tc>
        <w:tc>
          <w:tcPr>
            <w:tcW w:w="1176" w:type="pct"/>
          </w:tcPr>
          <w:p w14:paraId="0E574562" w14:textId="77777777" w:rsidR="002D0DA9" w:rsidRPr="00746DB3" w:rsidRDefault="002D0DA9" w:rsidP="002D0DA9">
            <w:pPr>
              <w:jc w:val="center"/>
              <w:rPr>
                <w:sz w:val="20"/>
                <w:szCs w:val="20"/>
                <w:lang w:val="en-GB"/>
              </w:rPr>
            </w:pPr>
          </w:p>
        </w:tc>
      </w:tr>
      <w:tr w:rsidR="002D0DA9" w:rsidRPr="00402AEC" w14:paraId="6537739D" w14:textId="77777777" w:rsidTr="001538AE">
        <w:tc>
          <w:tcPr>
            <w:tcW w:w="1472" w:type="pct"/>
          </w:tcPr>
          <w:p w14:paraId="48B1B589" w14:textId="0C3BE98F" w:rsidR="002D0DA9" w:rsidRPr="00C03A6B" w:rsidRDefault="002D0DA9" w:rsidP="002D0DA9">
            <w:pPr>
              <w:rPr>
                <w:sz w:val="20"/>
                <w:szCs w:val="20"/>
                <w:lang w:val="en-GB" w:bidi="en-US"/>
              </w:rPr>
            </w:pPr>
            <w:r w:rsidRPr="001F6954">
              <w:rPr>
                <w:sz w:val="20"/>
                <w:szCs w:val="20"/>
                <w:lang w:val="en-GB" w:bidi="en-US"/>
              </w:rPr>
              <w:fldChar w:fldCharType="begin" w:fldLock="1"/>
            </w:r>
            <w:r w:rsidR="003445CC">
              <w:rPr>
                <w:sz w:val="20"/>
                <w:szCs w:val="20"/>
                <w:lang w:val="en-GB" w:bidi="en-US"/>
              </w:rPr>
              <w:instrText>ADDIN CSL_CITATION {"citationItems":[{"id":"ITEM-1","itemData":{"DOI":"10.1016/j.jclepro.2017.08.170","ISBN":"09596526 (ISSN)","ISSN":"09596526","abstract":"Sustainable business models are intended to create economic value while benefitting the environment and society. Their wider adoption and diffusion is necessary to tackle pressing societal problems. How they are implemented and what determines their success (or lack thereof) in the market is not yet well understood, however, and deserves further exploration. To help fill the gap in knowledge, this study examines an emerging and innovative type of sustainable business model based on the peer-to-peer (P2P) sharing of underutilised assets facilitated by digital platforms. Its aim is to identify possible reasons for their commercial success or failure. In particular, the study investigates the values of users of a successful P2P goods-sharing platform and to what extent they differ from values of users of a comparable, yet unsuccessful, platform. Previous research on a UK-based online marketplace, Ecomodo, measured people's motivations for joining and the value priorities of users using Schwartz's Portrait Value Questionnaire. Results were compared with data from a representative sample of the UK population and used to explain the platform's low market uptake. The same study is here replicated with members of Peerby, an online marketplace where people rent, lend and borrow their possessions with each other. The analysis shows similar value priorities and orientation in Ecomodo and Peerby respondents, which suggests that the failure of the former platform and the success of the latter may be more directly attributed to differences in their business model design and execution than the types of user.","author":[{"dropping-particle":"","family":"Piscicelli","given":"Laura","non-dropping-particle":"","parse-names":false,"suffix":""},{"dropping-particle":"","family":"Ludden","given":"Geke Dina Simone","non-dropping-particle":"","parse-names":false,"suffix":""},{"dropping-particle":"","family":"Cooper","given":"Tim","non-dropping-particle":"","parse-names":false,"suffix":""}],"container-title":"Journal of Cleaner Production","id":"ITEM-1","issued":{"date-parts":[["2018"]]},"page":"4580-4591","publisher":"Elsevier Ltd","title":"What makes a sustainable business model successful? An empirical comparison of two peer-to-peer goods-sharing platforms","type":"article-journal","volume":"172"},"uris":["http://www.mendeley.com/documents/?uuid=d3b05ca2-adc1-4c66-989f-e4af53f1d60f"]}],"mendeley":{"formattedCitation":"(Piscicelli et al., 2018)","manualFormatting":"Piscicelli et al. (2018)","plainTextFormattedCitation":"(Piscicelli et al., 2018)","previouslyFormattedCitation":"(Piscicelli et al., 2018)"},"properties":{"noteIndex":0},"schema":"https://github.com/citation-style-language/schema/raw/master/csl-citation.json"}</w:instrText>
            </w:r>
            <w:r w:rsidRPr="001F6954">
              <w:rPr>
                <w:sz w:val="20"/>
                <w:szCs w:val="20"/>
                <w:lang w:val="en-GB" w:bidi="en-US"/>
              </w:rPr>
              <w:fldChar w:fldCharType="separate"/>
            </w:r>
            <w:r w:rsidRPr="001F6954">
              <w:rPr>
                <w:noProof/>
                <w:sz w:val="20"/>
                <w:szCs w:val="20"/>
                <w:lang w:val="en-GB" w:bidi="en-US"/>
              </w:rPr>
              <w:t>Piscicelli et al. (2018)</w:t>
            </w:r>
            <w:r w:rsidRPr="001F6954">
              <w:rPr>
                <w:sz w:val="20"/>
                <w:szCs w:val="20"/>
                <w:lang w:val="en-GB" w:bidi="en-US"/>
              </w:rPr>
              <w:fldChar w:fldCharType="end"/>
            </w:r>
          </w:p>
        </w:tc>
        <w:tc>
          <w:tcPr>
            <w:tcW w:w="1176" w:type="pct"/>
          </w:tcPr>
          <w:p w14:paraId="648E2C92" w14:textId="77777777" w:rsidR="002D0DA9" w:rsidRPr="00C03A6B" w:rsidRDefault="002D0DA9" w:rsidP="002D0DA9">
            <w:pPr>
              <w:jc w:val="center"/>
              <w:rPr>
                <w:sz w:val="20"/>
                <w:szCs w:val="20"/>
                <w:lang w:val="en-GB"/>
              </w:rPr>
            </w:pPr>
          </w:p>
        </w:tc>
        <w:tc>
          <w:tcPr>
            <w:tcW w:w="1176" w:type="pct"/>
          </w:tcPr>
          <w:p w14:paraId="3D50DB25" w14:textId="25808F4E" w:rsidR="002D0DA9" w:rsidRPr="00C03A6B" w:rsidRDefault="002D0DA9" w:rsidP="002D0DA9">
            <w:pPr>
              <w:jc w:val="center"/>
              <w:rPr>
                <w:sz w:val="20"/>
                <w:szCs w:val="20"/>
                <w:lang w:val="en-GB"/>
              </w:rPr>
            </w:pPr>
            <w:r w:rsidRPr="001F6954">
              <w:rPr>
                <w:sz w:val="20"/>
                <w:szCs w:val="20"/>
                <w:lang w:val="en-GB"/>
              </w:rPr>
              <w:t>x</w:t>
            </w:r>
          </w:p>
        </w:tc>
        <w:tc>
          <w:tcPr>
            <w:tcW w:w="1176" w:type="pct"/>
          </w:tcPr>
          <w:p w14:paraId="61F3E8D1" w14:textId="77777777" w:rsidR="002D0DA9" w:rsidRPr="00C03A6B" w:rsidRDefault="002D0DA9" w:rsidP="002D0DA9">
            <w:pPr>
              <w:jc w:val="center"/>
              <w:rPr>
                <w:sz w:val="20"/>
                <w:szCs w:val="20"/>
                <w:lang w:val="en-GB"/>
              </w:rPr>
            </w:pPr>
          </w:p>
        </w:tc>
      </w:tr>
      <w:tr w:rsidR="002D0DA9" w:rsidRPr="00402AEC" w14:paraId="4DD84535" w14:textId="77777777" w:rsidTr="00746DB3">
        <w:tc>
          <w:tcPr>
            <w:tcW w:w="1472" w:type="pct"/>
          </w:tcPr>
          <w:p w14:paraId="0447AEB0" w14:textId="5A23DDA5" w:rsidR="002D0DA9" w:rsidRPr="00C03A6B" w:rsidRDefault="002D0DA9" w:rsidP="002D0DA9">
            <w:pPr>
              <w:rPr>
                <w:sz w:val="20"/>
                <w:szCs w:val="20"/>
                <w:highlight w:val="yellow"/>
                <w:lang w:val="en-GB"/>
              </w:rPr>
            </w:pPr>
            <w:r w:rsidRPr="00746DB3">
              <w:rPr>
                <w:sz w:val="20"/>
                <w:szCs w:val="20"/>
                <w:lang w:val="en-GB" w:bidi="en-US"/>
              </w:rPr>
              <w:fldChar w:fldCharType="begin" w:fldLock="1"/>
            </w:r>
            <w:r w:rsidR="003445CC">
              <w:rPr>
                <w:sz w:val="20"/>
                <w:szCs w:val="20"/>
                <w:lang w:val="en-GB" w:bidi="en-US"/>
              </w:rPr>
              <w:instrText>ADDIN CSL_CITATION {"citationItems":[{"id":"ITEM-1","itemData":{"DOI":"10.1088/1757-899X/227/1/012098","ISBN":"17578981 (ISSN)","ISSN":"1757899X","abstract":"The overall aim of this paper is to develop a new conceptual framework for business process modeling and analysis using circular economy innovative theory as a source for business knowledge management. The last part of the paper presents an author's proposed basic structure for a new business models applying circular economy innovation theories. For people working on new innovative business models in the field of the circular economy this paper provides new ideas for clustering their concepts. \\copyright{} Published under licence by IOP Publishing Ltd.","author":[{"dropping-particle":"","family":"Popa","given":"V.","non-dropping-particle":"","parse-names":false,"suffix":""},{"dropping-particle":"","family":"Popa","given":"L.","non-dropping-particle":"","parse-names":false,"suffix":""}],"container-title":"IOP Conference Series: Materials Science and Engineering","id":"ITEM-1","issued":{"date-parts":[["2017"]]},"page":"1-9","title":"Applying circular economy innovation theory in business process modeling and analysis","type":"article-journal","volume":"227"},"uris":["http://www.mendeley.com/documents/?uuid=d96bf4f9-6756-4cad-a715-d774e6b03149"]}],"mendeley":{"formattedCitation":"(Popa and Popa, 2017)","manualFormatting":"Popa and Popa (2017)","plainTextFormattedCitation":"(Popa and Popa, 2017)","previouslyFormattedCitation":"(Popa and Popa, 2017)"},"properties":{"noteIndex":0},"schema":"https://github.com/citation-style-language/schema/raw/master/csl-citation.json"}</w:instrText>
            </w:r>
            <w:r w:rsidRPr="00746DB3">
              <w:rPr>
                <w:sz w:val="20"/>
                <w:szCs w:val="20"/>
                <w:lang w:val="en-GB" w:bidi="en-US"/>
              </w:rPr>
              <w:fldChar w:fldCharType="separate"/>
            </w:r>
            <w:r w:rsidRPr="00746DB3">
              <w:rPr>
                <w:noProof/>
                <w:sz w:val="20"/>
                <w:szCs w:val="20"/>
                <w:lang w:val="en-GB" w:bidi="en-US"/>
              </w:rPr>
              <w:t>Popa and Popa (2017)</w:t>
            </w:r>
            <w:r w:rsidRPr="00746DB3">
              <w:rPr>
                <w:sz w:val="20"/>
                <w:szCs w:val="20"/>
                <w:lang w:val="en-GB" w:bidi="en-US"/>
              </w:rPr>
              <w:fldChar w:fldCharType="end"/>
            </w:r>
          </w:p>
        </w:tc>
        <w:tc>
          <w:tcPr>
            <w:tcW w:w="1176" w:type="pct"/>
          </w:tcPr>
          <w:p w14:paraId="4D053ED9" w14:textId="0D9DC4A4" w:rsidR="002D0DA9" w:rsidRPr="00746DB3" w:rsidRDefault="002D0DA9" w:rsidP="002D0DA9">
            <w:pPr>
              <w:jc w:val="center"/>
              <w:rPr>
                <w:sz w:val="20"/>
                <w:szCs w:val="20"/>
                <w:lang w:val="en-GB"/>
              </w:rPr>
            </w:pPr>
            <w:r w:rsidRPr="00746DB3">
              <w:rPr>
                <w:sz w:val="20"/>
                <w:szCs w:val="20"/>
                <w:lang w:val="en-GB"/>
              </w:rPr>
              <w:t>x</w:t>
            </w:r>
          </w:p>
        </w:tc>
        <w:tc>
          <w:tcPr>
            <w:tcW w:w="1176" w:type="pct"/>
          </w:tcPr>
          <w:p w14:paraId="5D48EB6A" w14:textId="77777777" w:rsidR="002D0DA9" w:rsidRPr="00746DB3" w:rsidRDefault="002D0DA9" w:rsidP="002D0DA9">
            <w:pPr>
              <w:jc w:val="center"/>
              <w:rPr>
                <w:sz w:val="20"/>
                <w:szCs w:val="20"/>
                <w:lang w:val="en-GB"/>
              </w:rPr>
            </w:pPr>
          </w:p>
        </w:tc>
        <w:tc>
          <w:tcPr>
            <w:tcW w:w="1176" w:type="pct"/>
          </w:tcPr>
          <w:p w14:paraId="517C2084" w14:textId="77777777" w:rsidR="002D0DA9" w:rsidRPr="00746DB3" w:rsidRDefault="002D0DA9" w:rsidP="002D0DA9">
            <w:pPr>
              <w:jc w:val="center"/>
              <w:rPr>
                <w:sz w:val="20"/>
                <w:szCs w:val="20"/>
                <w:lang w:val="en-GB"/>
              </w:rPr>
            </w:pPr>
          </w:p>
        </w:tc>
      </w:tr>
      <w:tr w:rsidR="002D0DA9" w:rsidRPr="00402AEC" w14:paraId="3E25FF73" w14:textId="77777777" w:rsidTr="00746DB3">
        <w:tc>
          <w:tcPr>
            <w:tcW w:w="1472" w:type="pct"/>
          </w:tcPr>
          <w:p w14:paraId="7CE3EA53" w14:textId="62A2C53B" w:rsidR="002D0DA9" w:rsidRPr="00C03A6B" w:rsidRDefault="002D0DA9" w:rsidP="002D0DA9">
            <w:pPr>
              <w:rPr>
                <w:sz w:val="20"/>
                <w:szCs w:val="20"/>
                <w:highlight w:val="yellow"/>
                <w:lang w:val="en-GB"/>
              </w:rPr>
            </w:pPr>
            <w:r w:rsidRPr="00A7310E">
              <w:rPr>
                <w:sz w:val="20"/>
                <w:szCs w:val="20"/>
                <w:lang w:val="en-GB" w:bidi="en-US"/>
              </w:rPr>
              <w:fldChar w:fldCharType="begin" w:fldLock="1"/>
            </w:r>
            <w:r w:rsidR="003445CC">
              <w:rPr>
                <w:sz w:val="20"/>
                <w:szCs w:val="20"/>
                <w:lang w:val="en-GB" w:bidi="en-US"/>
              </w:rPr>
              <w:instrText>ADDIN CSL_CITATION {"citationItems":[{"id":"ITEM-1","itemData":{"DOI":"10.1007/s13243-017-0031-9","ISSN":"22104690","abstract":"Eco-efficient Value Creation is a method to analyse innovative product and service design together with circular business strategies. The method is based on combined analyses of the costs, market value (perceived customer value) and eco-costs. This provides a prevention-based single indicator for ‘external environmental costs’ in LCA. The remanufacturing of products is an environmental and sustainable approach, in the circular economy, and can deliver lower eco-costs of materials depletion and pollution. From a business point of view, however, remanufacturing seems to be viable in B2B niche markets only. In consumer markets, remanufacturing is less common. The question is how can remanufacturing become a viable business solution for mainstream consumer markets. Traditional ‘green’ marketing approaches are not enough: green has a positive, but also negative connotations, so marketing approaches are complex. By using the Eco-efficient Value Creation method, marketing strategies for the roll-out of remanufacturing in mainstream consumer markets, can be revealed. This approach has led to the development of five aspects, which are key to innovative circular business models, for remanufacturing: (1) buyers differ from the buyers of the ‘new product’ (2) quality must be emphasised in all communications (3) risk must be taken away from the buyer (4) top level service is required to convince the buyer (5) a ‘green’ brand may support the remanufactured product image. © 2017 Springer Science+Business Media Dordrecht","author":[{"dropping-particle":"","family":"Vogtländer","given":"Joost G.","non-dropping-particle":"","parse-names":false,"suffix":""},{"dropping-particle":"","family":"Scheepens","given":"Arno E.","non-dropping-particle":"","parse-names":false,"suffix":""},{"dropping-particle":"","family":"Bocken","given":"Nancy M.P.","non-dropping-particle":"","parse-names":false,"suffix":""},{"dropping-particle":"","family":"Peck","given":"David","non-dropping-particle":"","parse-names":false,"suffix":""}],"container-title":"Journal of Remanufacturing","id":"ITEM-1","issue":"1","issued":{"date-parts":[["2017"]]},"page":"1-17","publisher":"Journal of Remanufacturing","title":"Combined analyses of costs, market value and eco-costs in circular business models: eco-efficient value creation in remanufacturing","type":"article-journal","volume":"7"},"uris":["http://www.mendeley.com/documents/?uuid=2cb5d35c-d5ac-42d8-beb3-abbd4bd63095"]}],"mendeley":{"formattedCitation":"(Vogtländer et al., 2017)","manualFormatting":"Vogtlander et al. (2017)","plainTextFormattedCitation":"(Vogtländer et al., 2017)","previouslyFormattedCitation":"(Vogtländer et al., 2017)"},"properties":{"noteIndex":0},"schema":"https://github.com/citation-style-language/schema/raw/master/csl-citation.json"}</w:instrText>
            </w:r>
            <w:r w:rsidRPr="00A7310E">
              <w:rPr>
                <w:sz w:val="20"/>
                <w:szCs w:val="20"/>
                <w:lang w:val="en-GB" w:bidi="en-US"/>
              </w:rPr>
              <w:fldChar w:fldCharType="separate"/>
            </w:r>
            <w:r w:rsidRPr="00A7310E">
              <w:rPr>
                <w:noProof/>
                <w:sz w:val="20"/>
                <w:szCs w:val="20"/>
                <w:lang w:val="en-GB" w:bidi="en-US"/>
              </w:rPr>
              <w:t>Vogtlander et al. (2017)</w:t>
            </w:r>
            <w:r w:rsidRPr="00A7310E">
              <w:rPr>
                <w:sz w:val="20"/>
                <w:szCs w:val="20"/>
                <w:lang w:val="en-GB" w:bidi="en-US"/>
              </w:rPr>
              <w:fldChar w:fldCharType="end"/>
            </w:r>
          </w:p>
        </w:tc>
        <w:tc>
          <w:tcPr>
            <w:tcW w:w="1176" w:type="pct"/>
          </w:tcPr>
          <w:p w14:paraId="4EA17DD1" w14:textId="7ACFA538" w:rsidR="002D0DA9" w:rsidRPr="00746DB3" w:rsidRDefault="002D0DA9" w:rsidP="002D0DA9">
            <w:pPr>
              <w:jc w:val="center"/>
              <w:rPr>
                <w:sz w:val="20"/>
                <w:szCs w:val="20"/>
                <w:lang w:val="en-GB"/>
              </w:rPr>
            </w:pPr>
          </w:p>
        </w:tc>
        <w:tc>
          <w:tcPr>
            <w:tcW w:w="1176" w:type="pct"/>
          </w:tcPr>
          <w:p w14:paraId="2464AAF2" w14:textId="36A09E47" w:rsidR="002D0DA9" w:rsidRPr="00746DB3" w:rsidRDefault="002D0DA9" w:rsidP="002D0DA9">
            <w:pPr>
              <w:jc w:val="center"/>
              <w:rPr>
                <w:sz w:val="20"/>
                <w:szCs w:val="20"/>
                <w:lang w:val="en-GB"/>
              </w:rPr>
            </w:pPr>
            <w:r w:rsidRPr="00A7310E">
              <w:rPr>
                <w:sz w:val="20"/>
                <w:szCs w:val="20"/>
                <w:lang w:val="en-GB"/>
              </w:rPr>
              <w:t>x</w:t>
            </w:r>
          </w:p>
        </w:tc>
        <w:tc>
          <w:tcPr>
            <w:tcW w:w="1176" w:type="pct"/>
          </w:tcPr>
          <w:p w14:paraId="44FECE98" w14:textId="77777777" w:rsidR="002D0DA9" w:rsidRPr="00746DB3" w:rsidRDefault="002D0DA9" w:rsidP="002D0DA9">
            <w:pPr>
              <w:jc w:val="center"/>
              <w:rPr>
                <w:sz w:val="20"/>
                <w:szCs w:val="20"/>
                <w:lang w:val="en-GB"/>
              </w:rPr>
            </w:pPr>
          </w:p>
        </w:tc>
      </w:tr>
      <w:tr w:rsidR="009648BE" w:rsidRPr="00402AEC" w14:paraId="73A088A3" w14:textId="77777777" w:rsidTr="001538AE">
        <w:tc>
          <w:tcPr>
            <w:tcW w:w="1472" w:type="pct"/>
          </w:tcPr>
          <w:p w14:paraId="66020F70" w14:textId="7E8E98E5" w:rsidR="009648BE" w:rsidRPr="00A7310E" w:rsidRDefault="009648BE" w:rsidP="002D0DA9">
            <w:pPr>
              <w:rPr>
                <w:sz w:val="20"/>
                <w:szCs w:val="20"/>
                <w:lang w:val="en-GB" w:bidi="en-US"/>
              </w:rPr>
            </w:pPr>
            <w:r>
              <w:rPr>
                <w:b/>
                <w:sz w:val="20"/>
                <w:szCs w:val="20"/>
                <w:lang w:val="en-GB"/>
              </w:rPr>
              <w:t>Total</w:t>
            </w:r>
          </w:p>
        </w:tc>
        <w:tc>
          <w:tcPr>
            <w:tcW w:w="1176" w:type="pct"/>
          </w:tcPr>
          <w:p w14:paraId="781730A6" w14:textId="234AC30B" w:rsidR="009648BE" w:rsidRPr="00746DB3" w:rsidRDefault="009648BE" w:rsidP="002D0DA9">
            <w:pPr>
              <w:jc w:val="center"/>
              <w:rPr>
                <w:b/>
                <w:sz w:val="20"/>
                <w:szCs w:val="20"/>
                <w:lang w:val="en-GB"/>
              </w:rPr>
            </w:pPr>
            <w:r w:rsidRPr="00746DB3">
              <w:rPr>
                <w:b/>
                <w:sz w:val="20"/>
                <w:szCs w:val="20"/>
                <w:lang w:val="en-GB"/>
              </w:rPr>
              <w:t>3</w:t>
            </w:r>
          </w:p>
        </w:tc>
        <w:tc>
          <w:tcPr>
            <w:tcW w:w="1176" w:type="pct"/>
          </w:tcPr>
          <w:p w14:paraId="2CB23EE6" w14:textId="649A1899" w:rsidR="009648BE" w:rsidRPr="00746DB3" w:rsidRDefault="009648BE" w:rsidP="002D0DA9">
            <w:pPr>
              <w:jc w:val="center"/>
              <w:rPr>
                <w:b/>
                <w:sz w:val="20"/>
                <w:szCs w:val="20"/>
                <w:lang w:val="en-GB"/>
              </w:rPr>
            </w:pPr>
            <w:r w:rsidRPr="00746DB3">
              <w:rPr>
                <w:b/>
                <w:sz w:val="20"/>
                <w:szCs w:val="20"/>
                <w:lang w:val="en-GB"/>
              </w:rPr>
              <w:t>3</w:t>
            </w:r>
          </w:p>
        </w:tc>
        <w:tc>
          <w:tcPr>
            <w:tcW w:w="1176" w:type="pct"/>
          </w:tcPr>
          <w:p w14:paraId="4D23DB4A" w14:textId="568FCFA9" w:rsidR="009648BE" w:rsidRPr="00746DB3" w:rsidRDefault="009648BE" w:rsidP="002D0DA9">
            <w:pPr>
              <w:jc w:val="center"/>
              <w:rPr>
                <w:b/>
                <w:sz w:val="20"/>
                <w:szCs w:val="20"/>
                <w:lang w:val="en-GB"/>
              </w:rPr>
            </w:pPr>
            <w:r w:rsidRPr="00746DB3">
              <w:rPr>
                <w:b/>
                <w:sz w:val="20"/>
                <w:szCs w:val="20"/>
                <w:lang w:val="en-GB"/>
              </w:rPr>
              <w:t>2</w:t>
            </w:r>
          </w:p>
        </w:tc>
      </w:tr>
    </w:tbl>
    <w:p w14:paraId="708FE1AA" w14:textId="1695A568" w:rsidR="00105A44" w:rsidRDefault="00105A44" w:rsidP="00216241">
      <w:pPr>
        <w:spacing w:after="240" w:line="360" w:lineRule="auto"/>
        <w:jc w:val="both"/>
        <w:rPr>
          <w:lang w:val="en-GB" w:bidi="en-US"/>
        </w:rPr>
      </w:pPr>
    </w:p>
    <w:p w14:paraId="05F73205" w14:textId="21953476" w:rsidR="00BC7CE3" w:rsidRPr="00106E8B" w:rsidRDefault="000A0D6C" w:rsidP="00216241">
      <w:pPr>
        <w:spacing w:after="240" w:line="360" w:lineRule="auto"/>
        <w:jc w:val="both"/>
        <w:rPr>
          <w:lang w:val="en-GB" w:bidi="en-US"/>
        </w:rPr>
      </w:pPr>
      <w:r w:rsidRPr="00746DB3">
        <w:rPr>
          <w:lang w:val="en-GB" w:bidi="en-US"/>
        </w:rPr>
        <w:t>Finally, the other CBM</w:t>
      </w:r>
      <w:r w:rsidR="00EF349B" w:rsidRPr="00746DB3">
        <w:rPr>
          <w:lang w:val="en-GB" w:bidi="en-US"/>
        </w:rPr>
        <w:t xml:space="preserve"> </w:t>
      </w:r>
      <w:r w:rsidRPr="00746DB3">
        <w:rPr>
          <w:lang w:val="en-GB" w:bidi="en-US"/>
        </w:rPr>
        <w:t xml:space="preserve">research areas can be differentiated </w:t>
      </w:r>
      <w:r w:rsidR="0028317D" w:rsidRPr="00106E8B">
        <w:rPr>
          <w:lang w:val="en-GB" w:bidi="en-US"/>
        </w:rPr>
        <w:t>in</w:t>
      </w:r>
      <w:r w:rsidRPr="00746DB3">
        <w:rPr>
          <w:lang w:val="en-GB" w:bidi="en-US"/>
        </w:rPr>
        <w:t xml:space="preserve"> </w:t>
      </w:r>
      <w:r w:rsidR="008C46DB">
        <w:rPr>
          <w:lang w:val="en-GB" w:bidi="en-US"/>
        </w:rPr>
        <w:t>l</w:t>
      </w:r>
      <w:r w:rsidR="00BC7CE3" w:rsidRPr="00106E8B">
        <w:rPr>
          <w:lang w:val="en-GB" w:bidi="en-US"/>
        </w:rPr>
        <w:t>ifecycle assessment, per</w:t>
      </w:r>
      <w:r w:rsidR="008E0A7B">
        <w:rPr>
          <w:lang w:val="en-GB" w:bidi="en-US"/>
        </w:rPr>
        <w:t>formance comparison and</w:t>
      </w:r>
      <w:r w:rsidR="00BC7CE3" w:rsidRPr="00106E8B">
        <w:rPr>
          <w:lang w:val="en-GB" w:bidi="en-US"/>
        </w:rPr>
        <w:t xml:space="preserve"> rapid experimentation</w:t>
      </w:r>
      <w:r w:rsidR="003568A1">
        <w:rPr>
          <w:lang w:val="en-GB" w:bidi="en-US"/>
        </w:rPr>
        <w:t xml:space="preserve"> (Table </w:t>
      </w:r>
      <w:r w:rsidR="00126282">
        <w:rPr>
          <w:lang w:val="en-GB" w:bidi="en-US"/>
        </w:rPr>
        <w:t>6</w:t>
      </w:r>
      <w:r w:rsidR="003568A1">
        <w:rPr>
          <w:lang w:val="en-GB" w:bidi="en-US"/>
        </w:rPr>
        <w:t>)</w:t>
      </w:r>
      <w:r w:rsidRPr="00746DB3">
        <w:rPr>
          <w:lang w:val="en-GB" w:bidi="en-US"/>
        </w:rPr>
        <w:t xml:space="preserve">. </w:t>
      </w:r>
      <w:r w:rsidR="008466CA">
        <w:rPr>
          <w:lang w:val="en-GB" w:bidi="en-US"/>
        </w:rPr>
        <w:t xml:space="preserve">They </w:t>
      </w:r>
      <w:r w:rsidR="008C46DB">
        <w:rPr>
          <w:lang w:val="en-GB" w:bidi="en-US"/>
        </w:rPr>
        <w:t>confirm</w:t>
      </w:r>
      <w:r w:rsidR="008466CA">
        <w:rPr>
          <w:lang w:val="en-GB" w:bidi="en-US"/>
        </w:rPr>
        <w:t xml:space="preserve"> that a lifecycle perspective is fundamental </w:t>
      </w:r>
      <w:r w:rsidR="0028317D">
        <w:rPr>
          <w:lang w:val="en-GB" w:bidi="en-US"/>
        </w:rPr>
        <w:t>for</w:t>
      </w:r>
      <w:r w:rsidR="008466CA">
        <w:rPr>
          <w:lang w:val="en-GB" w:bidi="en-US"/>
        </w:rPr>
        <w:t xml:space="preserve"> evaluat</w:t>
      </w:r>
      <w:r w:rsidR="0028317D">
        <w:rPr>
          <w:lang w:val="en-GB" w:bidi="en-US"/>
        </w:rPr>
        <w:t>ing</w:t>
      </w:r>
      <w:r w:rsidR="008466CA">
        <w:rPr>
          <w:lang w:val="en-GB" w:bidi="en-US"/>
        </w:rPr>
        <w:t xml:space="preserve"> CBM</w:t>
      </w:r>
      <w:r w:rsidR="0028317D">
        <w:rPr>
          <w:lang w:val="en-GB" w:bidi="en-US"/>
        </w:rPr>
        <w:t>s,</w:t>
      </w:r>
      <w:r w:rsidR="008466CA">
        <w:rPr>
          <w:lang w:val="en-GB" w:bidi="en-US"/>
        </w:rPr>
        <w:t xml:space="preserve"> </w:t>
      </w:r>
      <w:r w:rsidR="008C46DB">
        <w:rPr>
          <w:lang w:val="en-GB" w:bidi="en-US"/>
        </w:rPr>
        <w:t xml:space="preserve">but also that digital technologies are effective </w:t>
      </w:r>
      <w:r w:rsidR="0028317D">
        <w:rPr>
          <w:lang w:val="en-GB" w:bidi="en-US"/>
        </w:rPr>
        <w:t>for</w:t>
      </w:r>
      <w:r w:rsidR="008C46DB">
        <w:rPr>
          <w:lang w:val="en-GB" w:bidi="en-US"/>
        </w:rPr>
        <w:t xml:space="preserve"> support</w:t>
      </w:r>
      <w:r w:rsidR="0028317D">
        <w:rPr>
          <w:lang w:val="en-GB" w:bidi="en-US"/>
        </w:rPr>
        <w:t>ing</w:t>
      </w:r>
      <w:r w:rsidR="008C46DB">
        <w:rPr>
          <w:lang w:val="en-GB" w:bidi="en-US"/>
        </w:rPr>
        <w:t xml:space="preserve"> circular performance assessment</w:t>
      </w:r>
      <w:r w:rsidR="00392EC1">
        <w:rPr>
          <w:lang w:val="en-GB" w:bidi="en-US"/>
        </w:rPr>
        <w:t>s</w:t>
      </w:r>
      <w:r w:rsidR="008C46DB">
        <w:rPr>
          <w:lang w:val="en-GB" w:bidi="en-US"/>
        </w:rPr>
        <w:t>.</w:t>
      </w:r>
    </w:p>
    <w:p w14:paraId="0CBEFD14" w14:textId="488EF9D4" w:rsidR="00846D0E" w:rsidRPr="00402AEC" w:rsidRDefault="00846D0E" w:rsidP="00026D10">
      <w:pPr>
        <w:spacing w:after="160" w:line="360" w:lineRule="auto"/>
        <w:rPr>
          <w:rFonts w:eastAsia="Times New Roman"/>
          <w:i/>
          <w:lang w:val="en-GB"/>
        </w:rPr>
      </w:pPr>
      <w:bookmarkStart w:id="7" w:name="_Toc511844993"/>
      <w:r w:rsidRPr="00402AEC">
        <w:rPr>
          <w:rFonts w:eastAsia="Times New Roman"/>
          <w:i/>
          <w:lang w:val="en-GB"/>
        </w:rPr>
        <w:t>4.</w:t>
      </w:r>
      <w:r w:rsidR="00125B38">
        <w:rPr>
          <w:rFonts w:eastAsia="Times New Roman"/>
          <w:i/>
          <w:lang w:val="en-GB"/>
        </w:rPr>
        <w:t>6</w:t>
      </w:r>
      <w:r w:rsidR="00125B38" w:rsidRPr="00402AEC">
        <w:rPr>
          <w:rFonts w:eastAsia="Times New Roman"/>
          <w:i/>
          <w:lang w:val="en-GB"/>
        </w:rPr>
        <w:t xml:space="preserve"> </w:t>
      </w:r>
      <w:r w:rsidRPr="00402AEC">
        <w:rPr>
          <w:rFonts w:eastAsia="Times New Roman"/>
          <w:i/>
          <w:lang w:val="en-GB"/>
        </w:rPr>
        <w:t>CBM</w:t>
      </w:r>
      <w:r w:rsidR="000E5DBC" w:rsidRPr="00402AEC">
        <w:rPr>
          <w:rFonts w:eastAsia="Times New Roman"/>
          <w:i/>
          <w:lang w:val="en-GB"/>
        </w:rPr>
        <w:t xml:space="preserve"> archetypes</w:t>
      </w:r>
      <w:bookmarkEnd w:id="7"/>
    </w:p>
    <w:p w14:paraId="4FA2684F" w14:textId="0BCDC08C" w:rsidR="00E46E5C" w:rsidRDefault="00846D0E" w:rsidP="00F92100">
      <w:pPr>
        <w:spacing w:after="240" w:line="360" w:lineRule="auto"/>
        <w:jc w:val="both"/>
        <w:rPr>
          <w:lang w:val="en-GB" w:bidi="en-US"/>
        </w:rPr>
      </w:pPr>
      <w:r w:rsidRPr="00402AEC">
        <w:rPr>
          <w:lang w:val="en-GB" w:bidi="en-US"/>
        </w:rPr>
        <w:t>The assessment of the available literature on CBMs and CE produced the results depicted</w:t>
      </w:r>
      <w:r w:rsidR="000C3D75" w:rsidRPr="00402AEC">
        <w:rPr>
          <w:lang w:val="en-GB" w:bidi="en-US"/>
        </w:rPr>
        <w:t xml:space="preserve"> from </w:t>
      </w:r>
      <w:r w:rsidR="001057B5" w:rsidRPr="00402AEC">
        <w:rPr>
          <w:lang w:val="en-GB" w:bidi="en-US"/>
        </w:rPr>
        <w:t xml:space="preserve">Table </w:t>
      </w:r>
      <w:r w:rsidR="00A32FE3" w:rsidRPr="00402AEC">
        <w:rPr>
          <w:lang w:val="en-GB" w:bidi="en-US"/>
        </w:rPr>
        <w:t>7</w:t>
      </w:r>
      <w:r w:rsidR="001057B5" w:rsidRPr="00402AEC">
        <w:rPr>
          <w:lang w:val="en-GB" w:bidi="en-US"/>
        </w:rPr>
        <w:t xml:space="preserve"> </w:t>
      </w:r>
      <w:r w:rsidR="000C3D75" w:rsidRPr="00402AEC">
        <w:rPr>
          <w:lang w:val="en-GB" w:bidi="en-US"/>
        </w:rPr>
        <w:t>to</w:t>
      </w:r>
      <w:r w:rsidR="001057B5" w:rsidRPr="00402AEC">
        <w:rPr>
          <w:lang w:val="en-GB" w:bidi="en-US"/>
        </w:rPr>
        <w:t xml:space="preserve"> Table </w:t>
      </w:r>
      <w:r w:rsidR="00A32FE3" w:rsidRPr="00402AEC">
        <w:rPr>
          <w:lang w:val="en-GB" w:bidi="en-US"/>
        </w:rPr>
        <w:t>1</w:t>
      </w:r>
      <w:r w:rsidR="008F6A43">
        <w:rPr>
          <w:lang w:val="en-GB" w:bidi="en-US"/>
        </w:rPr>
        <w:t>1</w:t>
      </w:r>
      <w:r w:rsidR="00647804">
        <w:rPr>
          <w:lang w:val="en-GB" w:bidi="en-US"/>
        </w:rPr>
        <w:t>.</w:t>
      </w:r>
      <w:bookmarkStart w:id="8" w:name="_GoBack"/>
      <w:bookmarkEnd w:id="8"/>
      <w:r w:rsidRPr="00402AEC">
        <w:rPr>
          <w:lang w:val="en-GB" w:bidi="en-US"/>
        </w:rPr>
        <w:t xml:space="preserve"> Contributions have been classified bas</w:t>
      </w:r>
      <w:r w:rsidR="005B2F5E">
        <w:rPr>
          <w:lang w:val="en-GB" w:bidi="en-US"/>
        </w:rPr>
        <w:t>ing</w:t>
      </w:r>
      <w:r w:rsidRPr="00402AEC">
        <w:rPr>
          <w:lang w:val="en-GB" w:bidi="en-US"/>
        </w:rPr>
        <w:t xml:space="preserve"> on both a macro</w:t>
      </w:r>
      <w:r w:rsidR="008A4B66">
        <w:rPr>
          <w:lang w:val="en-GB" w:bidi="en-US"/>
        </w:rPr>
        <w:t>scopic</w:t>
      </w:r>
      <w:r w:rsidRPr="00402AEC">
        <w:rPr>
          <w:lang w:val="en-GB" w:bidi="en-US"/>
        </w:rPr>
        <w:t xml:space="preserve"> and micro</w:t>
      </w:r>
      <w:r w:rsidR="008A4B66">
        <w:rPr>
          <w:lang w:val="en-GB" w:bidi="en-US"/>
        </w:rPr>
        <w:t>scopic</w:t>
      </w:r>
      <w:r w:rsidRPr="00402AEC">
        <w:rPr>
          <w:lang w:val="en-GB" w:bidi="en-US"/>
        </w:rPr>
        <w:t xml:space="preserve"> </w:t>
      </w:r>
      <w:r w:rsidR="008A4B66">
        <w:rPr>
          <w:lang w:val="en-GB" w:bidi="en-US"/>
        </w:rPr>
        <w:t>logic</w:t>
      </w:r>
      <w:r w:rsidRPr="00402AEC">
        <w:rPr>
          <w:lang w:val="en-GB" w:bidi="en-US"/>
        </w:rPr>
        <w:t xml:space="preserve">. The </w:t>
      </w:r>
      <w:r w:rsidR="00292970">
        <w:rPr>
          <w:lang w:val="en-GB" w:bidi="en-US"/>
        </w:rPr>
        <w:t>reference</w:t>
      </w:r>
      <w:r w:rsidRPr="00402AEC">
        <w:rPr>
          <w:lang w:val="en-GB" w:bidi="en-US"/>
        </w:rPr>
        <w:t xml:space="preserve"> macro classificatio</w:t>
      </w:r>
      <w:r w:rsidR="00292970">
        <w:rPr>
          <w:lang w:val="en-GB" w:bidi="en-US"/>
        </w:rPr>
        <w:t>n</w:t>
      </w:r>
      <w:r w:rsidRPr="00402AEC">
        <w:rPr>
          <w:lang w:val="en-GB" w:bidi="en-US"/>
        </w:rPr>
        <w:t xml:space="preserve"> is the ReSOLVE framework </w:t>
      </w:r>
      <w:r w:rsidRPr="0001427A">
        <w:rPr>
          <w:lang w:val="en-GB" w:bidi="en-US"/>
        </w:rPr>
        <w:fldChar w:fldCharType="begin" w:fldLock="1"/>
      </w:r>
      <w:r w:rsidR="003445CC">
        <w:rPr>
          <w:lang w:val="en-GB" w:bidi="en-US"/>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Transition","type":"report"},"uris":["http://www.mendeley.com/documents/?uuid=971e4fa0-7fe9-4e1f-b452-62303eeda0d3"]}],"mendeley":{"formattedCitation":"(The Ellen MacArthur Foundation, 2015)","plainTextFormattedCitation":"(The Ellen MacArthur Foundation, 2015)","previouslyFormattedCitation":"(The Ellen MacArthur Foundation, 2015)"},"properties":{"noteIndex":0},"schema":"https://github.com/citation-style-language/schema/raw/master/csl-citation.json"}</w:instrText>
      </w:r>
      <w:r w:rsidRPr="0001427A">
        <w:rPr>
          <w:lang w:val="en-GB" w:bidi="en-US"/>
        </w:rPr>
        <w:fldChar w:fldCharType="separate"/>
      </w:r>
      <w:r w:rsidRPr="00402AEC">
        <w:rPr>
          <w:noProof/>
          <w:lang w:val="en-GB" w:bidi="en-US"/>
        </w:rPr>
        <w:t>(The Ellen MacArthur Foundation, 2015)</w:t>
      </w:r>
      <w:r w:rsidRPr="0001427A">
        <w:rPr>
          <w:lang w:val="en-GB" w:bidi="en-US"/>
        </w:rPr>
        <w:fldChar w:fldCharType="end"/>
      </w:r>
      <w:r w:rsidR="00DF751A">
        <w:rPr>
          <w:lang w:val="en-GB" w:bidi="en-US"/>
        </w:rPr>
        <w:t xml:space="preserve"> described  in Section 4.2, </w:t>
      </w:r>
      <w:r w:rsidR="001816A6">
        <w:rPr>
          <w:lang w:val="en-GB" w:bidi="en-US"/>
        </w:rPr>
        <w:t>composed by six classes.</w:t>
      </w:r>
      <w:r w:rsidR="005A5589">
        <w:rPr>
          <w:lang w:val="en-GB" w:bidi="en-US"/>
        </w:rPr>
        <w:t xml:space="preserve"> </w:t>
      </w:r>
      <w:r w:rsidR="001816A6">
        <w:rPr>
          <w:lang w:val="en-GB" w:bidi="en-US"/>
        </w:rPr>
        <w:t xml:space="preserve">Instead, </w:t>
      </w:r>
      <w:r w:rsidR="005A5589">
        <w:rPr>
          <w:lang w:val="en-GB" w:bidi="en-US"/>
        </w:rPr>
        <w:t>t</w:t>
      </w:r>
      <w:r w:rsidRPr="00402AEC">
        <w:rPr>
          <w:lang w:val="en-GB" w:bidi="en-US"/>
        </w:rPr>
        <w:t xml:space="preserve">he </w:t>
      </w:r>
      <w:r w:rsidR="005A5589">
        <w:rPr>
          <w:lang w:val="en-GB" w:bidi="en-US"/>
        </w:rPr>
        <w:t xml:space="preserve">reference </w:t>
      </w:r>
      <w:r w:rsidRPr="00402AEC">
        <w:rPr>
          <w:lang w:val="en-GB" w:bidi="en-US"/>
        </w:rPr>
        <w:t xml:space="preserve">micro classification </w:t>
      </w:r>
      <w:r w:rsidR="00ED74EF">
        <w:rPr>
          <w:lang w:val="en-GB" w:bidi="en-US"/>
        </w:rPr>
        <w:t>has been</w:t>
      </w:r>
      <w:r w:rsidRPr="00402AEC">
        <w:rPr>
          <w:lang w:val="en-GB" w:bidi="en-US"/>
        </w:rPr>
        <w:t xml:space="preserve"> adapted from the OECD report on CBMs </w:t>
      </w:r>
      <w:r w:rsidRPr="009601F2">
        <w:rPr>
          <w:lang w:val="en-GB" w:bidi="en-US"/>
        </w:rPr>
        <w:fldChar w:fldCharType="begin" w:fldLock="1"/>
      </w:r>
      <w:r w:rsidR="003445CC">
        <w:rPr>
          <w:lang w:val="en-GB" w:bidi="en-US"/>
        </w:rPr>
        <w:instrText>ADDIN CSL_CITATION {"citationItems":[{"id":"ITEM-1","itemData":{"author":[{"dropping-particle":"","family":"OECD","given":"","non-dropping-particle":"","parse-names":false,"suffix":""}],"id":"ITEM-1","issue":"June","issued":{"date-parts":[["2017"]]},"number-of-pages":"1-73","title":"New Business Models for the Circular Economy - Opportunities and Challenges from a Policy Perspective","type":"report"},"uris":["http://www.mendeley.com/documents/?uuid=451a73ce-eb83-45f7-bb85-3165f4ff0b8f"]}],"mendeley":{"formattedCitation":"(OECD, 2017)","plainTextFormattedCitation":"(OECD, 2017)","previouslyFormattedCitation":"(OECD, 2017)"},"properties":{"noteIndex":0},"schema":"https://github.com/citation-style-language/schema/raw/master/csl-citation.json"}</w:instrText>
      </w:r>
      <w:r w:rsidRPr="009601F2">
        <w:rPr>
          <w:lang w:val="en-GB" w:bidi="en-US"/>
        </w:rPr>
        <w:fldChar w:fldCharType="separate"/>
      </w:r>
      <w:r w:rsidRPr="00402AEC">
        <w:rPr>
          <w:noProof/>
          <w:lang w:val="en-GB" w:bidi="en-US"/>
        </w:rPr>
        <w:t>(OECD, 2017)</w:t>
      </w:r>
      <w:r w:rsidRPr="009601F2">
        <w:rPr>
          <w:lang w:val="en-GB" w:bidi="en-US"/>
        </w:rPr>
        <w:fldChar w:fldCharType="end"/>
      </w:r>
      <w:r w:rsidR="00ED74EF">
        <w:rPr>
          <w:lang w:val="en-GB" w:bidi="en-US"/>
        </w:rPr>
        <w:t xml:space="preserve">, </w:t>
      </w:r>
      <w:r w:rsidRPr="00402AEC">
        <w:rPr>
          <w:lang w:val="en-GB" w:bidi="en-US"/>
        </w:rPr>
        <w:t xml:space="preserve">composed by fourteen classes. </w:t>
      </w:r>
    </w:p>
    <w:p w14:paraId="7EFF5BA7" w14:textId="2D93B229" w:rsidR="005E0E7F" w:rsidRPr="00A04DD6" w:rsidRDefault="005E0E7F" w:rsidP="005E0E7F">
      <w:pPr>
        <w:spacing w:after="240" w:line="360" w:lineRule="auto"/>
        <w:jc w:val="both"/>
        <w:rPr>
          <w:lang w:val="en-GB" w:bidi="en-US"/>
        </w:rPr>
      </w:pPr>
      <w:r w:rsidRPr="00A04DD6">
        <w:rPr>
          <w:lang w:val="en-GB" w:bidi="en-US"/>
        </w:rPr>
        <w:t>Looking at the results reported in the following tables – and grouped together in Table 1</w:t>
      </w:r>
      <w:r w:rsidR="008F6A43">
        <w:rPr>
          <w:lang w:val="en-GB" w:bidi="en-US"/>
        </w:rPr>
        <w:t>2</w:t>
      </w:r>
      <w:r w:rsidRPr="00A04DD6">
        <w:rPr>
          <w:lang w:val="en-GB" w:bidi="en-US"/>
        </w:rPr>
        <w:t xml:space="preserve"> (see the “Supporting material”) – some considerations about the current focus of the CBM literature and the related existing gaps can be done. Just by numbering the articles basing on the reference CBM class, it is possible to see that some types of CBMs are more frequent than others and which actions are preferred to others, also within a specified CBM macro category. Starting with actions belonging to the “Regenerate” macro category (Table </w:t>
      </w:r>
      <w:r w:rsidR="008F6A43">
        <w:rPr>
          <w:lang w:val="en-GB" w:bidi="en-US"/>
        </w:rPr>
        <w:t>7</w:t>
      </w:r>
      <w:r w:rsidRPr="00A04DD6">
        <w:rPr>
          <w:lang w:val="en-GB" w:bidi="en-US"/>
        </w:rPr>
        <w:t xml:space="preserve">), aimed </w:t>
      </w:r>
      <w:r w:rsidR="000F048D">
        <w:rPr>
          <w:lang w:val="en-GB" w:bidi="en-US"/>
        </w:rPr>
        <w:t>at</w:t>
      </w:r>
      <w:r w:rsidRPr="00A04DD6">
        <w:rPr>
          <w:lang w:val="en-GB" w:bidi="en-US"/>
        </w:rPr>
        <w:t xml:space="preserve"> maintain</w:t>
      </w:r>
      <w:r w:rsidR="000F048D">
        <w:rPr>
          <w:lang w:val="en-GB" w:bidi="en-US"/>
        </w:rPr>
        <w:t>ing</w:t>
      </w:r>
      <w:r w:rsidRPr="00A04DD6">
        <w:rPr>
          <w:lang w:val="en-GB" w:bidi="en-US"/>
        </w:rPr>
        <w:t xml:space="preserve"> and enhanc</w:t>
      </w:r>
      <w:r w:rsidR="000F048D">
        <w:rPr>
          <w:lang w:val="en-GB" w:bidi="en-US"/>
        </w:rPr>
        <w:t>ing</w:t>
      </w:r>
      <w:r w:rsidRPr="00A04DD6">
        <w:rPr>
          <w:lang w:val="en-GB" w:bidi="en-US"/>
        </w:rPr>
        <w:t xml:space="preserve"> the earth’s bio-capacity, the use of bio-/secondary materials has been more </w:t>
      </w:r>
      <w:r w:rsidR="00A1520D">
        <w:rPr>
          <w:lang w:val="en-GB" w:bidi="en-US"/>
        </w:rPr>
        <w:t>assessed</w:t>
      </w:r>
      <w:r w:rsidRPr="00A04DD6">
        <w:rPr>
          <w:lang w:val="en-GB" w:bidi="en-US"/>
        </w:rPr>
        <w:t xml:space="preserve"> than renewable energies.</w:t>
      </w:r>
    </w:p>
    <w:p w14:paraId="256C0E14" w14:textId="2E081E5C" w:rsidR="005E0E7F" w:rsidRPr="00A04DD6" w:rsidRDefault="005E0E7F" w:rsidP="005E0E7F">
      <w:pPr>
        <w:pStyle w:val="Didascalia"/>
        <w:spacing w:line="360" w:lineRule="auto"/>
        <w:jc w:val="center"/>
        <w:rPr>
          <w:b w:val="0"/>
          <w:caps w:val="0"/>
          <w:sz w:val="24"/>
          <w:lang w:val="en-GB"/>
        </w:rPr>
      </w:pPr>
      <w:r w:rsidRPr="00A04DD6">
        <w:rPr>
          <w:caps w:val="0"/>
          <w:sz w:val="24"/>
          <w:lang w:val="en-GB"/>
        </w:rPr>
        <w:t xml:space="preserve">Table </w:t>
      </w:r>
      <w:r w:rsidRPr="00A04DD6">
        <w:rPr>
          <w:sz w:val="24"/>
          <w:lang w:val="en-GB"/>
        </w:rPr>
        <w:fldChar w:fldCharType="begin"/>
      </w:r>
      <w:r w:rsidRPr="008F6A43">
        <w:rPr>
          <w:sz w:val="24"/>
          <w:lang w:val="en-GB"/>
        </w:rPr>
        <w:instrText xml:space="preserve"> SEQ Table \* ARABIC </w:instrText>
      </w:r>
      <w:r w:rsidRPr="00A04DD6">
        <w:rPr>
          <w:sz w:val="24"/>
          <w:lang w:val="en-GB"/>
        </w:rPr>
        <w:fldChar w:fldCharType="separate"/>
      </w:r>
      <w:r w:rsidR="008F7F15">
        <w:rPr>
          <w:noProof/>
          <w:sz w:val="24"/>
          <w:lang w:val="en-GB"/>
        </w:rPr>
        <w:t>7</w:t>
      </w:r>
      <w:r w:rsidRPr="00A04DD6">
        <w:rPr>
          <w:sz w:val="24"/>
          <w:lang w:val="en-GB"/>
        </w:rPr>
        <w:fldChar w:fldCharType="end"/>
      </w:r>
      <w:r w:rsidRPr="00A04DD6">
        <w:rPr>
          <w:sz w:val="24"/>
          <w:lang w:val="en-GB"/>
        </w:rPr>
        <w:t>.</w:t>
      </w:r>
      <w:r w:rsidRPr="00A04DD6">
        <w:rPr>
          <w:b w:val="0"/>
          <w:caps w:val="0"/>
          <w:sz w:val="24"/>
          <w:lang w:val="en-GB"/>
        </w:rPr>
        <w:t xml:space="preserve"> Circular business models: regenerate actions (adapted from </w:t>
      </w:r>
      <w:r w:rsidRPr="00A04DD6">
        <w:rPr>
          <w:b w:val="0"/>
          <w:caps w:val="0"/>
          <w:sz w:val="24"/>
          <w:lang w:val="en-GB"/>
        </w:rPr>
        <w:fldChar w:fldCharType="begin" w:fldLock="1"/>
      </w:r>
      <w:r w:rsidR="003445CC">
        <w:rPr>
          <w:b w:val="0"/>
          <w:caps w:val="0"/>
          <w:sz w:val="24"/>
          <w:lang w:val="en-GB"/>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id":"ITEM-2","itemData":{"author":[{"dropping-particle":"","family":"OECD","given":"","non-dropping-particle":"","parse-names":false,"suffix":""}],"id":"ITEM-2","issue":"June","issued":{"date-parts":[["2017"]]},"number-of-pages":"1-73","title":"New Business Models for the Circular Economy - Opportunities and Challenges from a Policy Perspective","type":"report"},"uris":["http://www.mendeley.com/documents/?uuid=451a73ce-eb83-45f7-bb85-3165f4ff0b8f"]}],"mendeley":{"formattedCitation":"(OECD, 2017; The Ellen MacArthur Foundation, 2015)","plainTextFormattedCitation":"(OECD, 2017; The Ellen MacArthur Foundation, 2015)","previouslyFormattedCitation":"(OECD, 2017; The Ellen MacArthur Foundation, 2015)"},"properties":{"noteIndex":0},"schema":"https://github.com/citation-style-language/schema/raw/master/csl-citation.json"}</w:instrText>
      </w:r>
      <w:r w:rsidRPr="00A04DD6">
        <w:rPr>
          <w:b w:val="0"/>
          <w:caps w:val="0"/>
          <w:sz w:val="24"/>
          <w:lang w:val="en-GB"/>
        </w:rPr>
        <w:fldChar w:fldCharType="separate"/>
      </w:r>
      <w:r w:rsidRPr="00A04DD6">
        <w:rPr>
          <w:b w:val="0"/>
          <w:caps w:val="0"/>
          <w:noProof/>
          <w:sz w:val="24"/>
          <w:lang w:val="en-GB"/>
        </w:rPr>
        <w:t>(OECD, 2017; The Ellen MacArthur Foundation, 2015)</w:t>
      </w:r>
      <w:r w:rsidRPr="00A04DD6">
        <w:rPr>
          <w:b w:val="0"/>
          <w:caps w:val="0"/>
          <w:sz w:val="24"/>
          <w:lang w:val="en-GB"/>
        </w:rPr>
        <w:fldChar w:fldCharType="end"/>
      </w:r>
      <w:r w:rsidRPr="00A04DD6">
        <w:rPr>
          <w:b w:val="0"/>
          <w:caps w:val="0"/>
          <w:sz w:val="24"/>
          <w:lang w:val="en-GB"/>
        </w:rPr>
        <w:t>)</w:t>
      </w:r>
    </w:p>
    <w:p w14:paraId="3D64EB35" w14:textId="77777777" w:rsidR="005E0E7F" w:rsidRPr="00A04DD6" w:rsidRDefault="005E0E7F" w:rsidP="005E0E7F">
      <w:pPr>
        <w:rPr>
          <w:lang w:val="en-GB"/>
        </w:rPr>
      </w:pPr>
    </w:p>
    <w:tbl>
      <w:tblPr>
        <w:tblStyle w:val="Grigliatabella"/>
        <w:tblW w:w="5000" w:type="pct"/>
        <w:jc w:val="center"/>
        <w:tblLook w:val="01E0" w:firstRow="1" w:lastRow="1" w:firstColumn="1" w:lastColumn="1" w:noHBand="0" w:noVBand="0"/>
      </w:tblPr>
      <w:tblGrid>
        <w:gridCol w:w="2830"/>
        <w:gridCol w:w="3395"/>
        <w:gridCol w:w="3397"/>
      </w:tblGrid>
      <w:tr w:rsidR="005E0E7F" w:rsidRPr="00A04DD6" w14:paraId="0FB3B496" w14:textId="77777777" w:rsidTr="00746DB3">
        <w:trPr>
          <w:jc w:val="center"/>
        </w:trPr>
        <w:tc>
          <w:tcPr>
            <w:tcW w:w="1471" w:type="pct"/>
            <w:vMerge w:val="restart"/>
            <w:vAlign w:val="center"/>
          </w:tcPr>
          <w:p w14:paraId="63A03734" w14:textId="77777777" w:rsidR="005E0E7F" w:rsidRPr="00746DB3" w:rsidRDefault="005E0E7F" w:rsidP="00D62E44">
            <w:pPr>
              <w:rPr>
                <w:b/>
                <w:szCs w:val="20"/>
                <w:lang w:val="en-GB"/>
              </w:rPr>
            </w:pPr>
            <w:r w:rsidRPr="00746DB3">
              <w:rPr>
                <w:b/>
                <w:szCs w:val="20"/>
                <w:lang w:val="en-GB"/>
              </w:rPr>
              <w:t>Author</w:t>
            </w:r>
          </w:p>
        </w:tc>
        <w:tc>
          <w:tcPr>
            <w:tcW w:w="3529" w:type="pct"/>
            <w:gridSpan w:val="2"/>
            <w:vAlign w:val="center"/>
          </w:tcPr>
          <w:p w14:paraId="1472B5C3" w14:textId="17615DE3" w:rsidR="005E0E7F" w:rsidRPr="00746DB3" w:rsidRDefault="005E0E7F" w:rsidP="00D62E44">
            <w:pPr>
              <w:jc w:val="center"/>
              <w:rPr>
                <w:b/>
                <w:szCs w:val="20"/>
                <w:lang w:val="en-GB"/>
              </w:rPr>
            </w:pPr>
            <w:r w:rsidRPr="00746DB3">
              <w:rPr>
                <w:b/>
                <w:szCs w:val="20"/>
                <w:lang w:val="en-GB"/>
              </w:rPr>
              <w:t>Regenerate</w:t>
            </w:r>
            <w:r w:rsidR="00A43DCD">
              <w:rPr>
                <w:b/>
                <w:szCs w:val="20"/>
                <w:lang w:val="en-GB"/>
              </w:rPr>
              <w:t xml:space="preserve"> actions</w:t>
            </w:r>
          </w:p>
        </w:tc>
      </w:tr>
      <w:tr w:rsidR="005E0E7F" w:rsidRPr="00A04DD6" w14:paraId="2A57BF70" w14:textId="77777777" w:rsidTr="00746DB3">
        <w:trPr>
          <w:jc w:val="center"/>
        </w:trPr>
        <w:tc>
          <w:tcPr>
            <w:tcW w:w="1471" w:type="pct"/>
            <w:vMerge/>
            <w:vAlign w:val="center"/>
          </w:tcPr>
          <w:p w14:paraId="7C23A18D" w14:textId="77777777" w:rsidR="005E0E7F" w:rsidRPr="00746DB3" w:rsidRDefault="005E0E7F" w:rsidP="00D62E44">
            <w:pPr>
              <w:rPr>
                <w:b/>
                <w:szCs w:val="20"/>
                <w:lang w:val="en-GB"/>
              </w:rPr>
            </w:pPr>
          </w:p>
        </w:tc>
        <w:tc>
          <w:tcPr>
            <w:tcW w:w="1764" w:type="pct"/>
            <w:vAlign w:val="center"/>
          </w:tcPr>
          <w:p w14:paraId="7DF98DDD" w14:textId="77777777" w:rsidR="005E0E7F" w:rsidRPr="00746DB3" w:rsidRDefault="005E0E7F" w:rsidP="00D62E44">
            <w:pPr>
              <w:jc w:val="center"/>
              <w:rPr>
                <w:b/>
                <w:szCs w:val="20"/>
                <w:lang w:val="en-GB"/>
              </w:rPr>
            </w:pPr>
            <w:r w:rsidRPr="00746DB3">
              <w:rPr>
                <w:b/>
                <w:szCs w:val="20"/>
                <w:lang w:val="en-GB"/>
              </w:rPr>
              <w:t>Renewable energies</w:t>
            </w:r>
          </w:p>
        </w:tc>
        <w:tc>
          <w:tcPr>
            <w:tcW w:w="1765" w:type="pct"/>
            <w:vAlign w:val="center"/>
          </w:tcPr>
          <w:p w14:paraId="69C44A00" w14:textId="77777777" w:rsidR="005E0E7F" w:rsidRPr="00746DB3" w:rsidRDefault="005E0E7F" w:rsidP="00D62E44">
            <w:pPr>
              <w:jc w:val="center"/>
              <w:rPr>
                <w:b/>
                <w:szCs w:val="20"/>
                <w:lang w:val="en-GB"/>
              </w:rPr>
            </w:pPr>
            <w:r w:rsidRPr="00746DB3">
              <w:rPr>
                <w:b/>
                <w:szCs w:val="20"/>
                <w:lang w:val="en-GB"/>
              </w:rPr>
              <w:t>Bio- / Secondary materials</w:t>
            </w:r>
          </w:p>
        </w:tc>
      </w:tr>
      <w:tr w:rsidR="005E0E7F" w:rsidRPr="00A04DD6" w14:paraId="28CDA69C" w14:textId="77777777" w:rsidTr="00746DB3">
        <w:trPr>
          <w:jc w:val="center"/>
        </w:trPr>
        <w:tc>
          <w:tcPr>
            <w:tcW w:w="1471" w:type="pct"/>
            <w:vAlign w:val="center"/>
          </w:tcPr>
          <w:p w14:paraId="0357F293" w14:textId="4260BF53" w:rsidR="005E0E7F" w:rsidRPr="00A04DD6" w:rsidRDefault="005E0E7F" w:rsidP="00D62E44">
            <w:pPr>
              <w:rPr>
                <w:sz w:val="20"/>
                <w:lang w:val="en-GB"/>
              </w:rPr>
            </w:pPr>
            <w:r w:rsidRPr="00A04DD6">
              <w:rPr>
                <w:sz w:val="20"/>
                <w:lang w:val="en-GB"/>
              </w:rPr>
              <w:lastRenderedPageBreak/>
              <w:fldChar w:fldCharType="begin" w:fldLock="1"/>
            </w:r>
            <w:r w:rsidR="003445CC">
              <w:rPr>
                <w:sz w:val="20"/>
                <w:lang w:val="en-GB"/>
              </w:rPr>
              <w:instrText>ADDIN CSL_CITATION {"citationItems":[{"id":"ITEM-1","itemData":{"DOI":"10.1016/j.procir.2016.03.247","ISBN":"22128271 (ISSN)","ISSN":"22128271","abstract":"Early stages of a product's design are critical for decisions impacting the entire life-cycle cost. Product designers have mastered the first generation, but they have no ability to know the impact of their decisions on multi-generational products. There is a need for tools that aim at closing the gap between total life-cycle information and the traditional design process. This paper presents a framework for a decision support tool that uses a combination of a life-cycle costing methodology and an evolutionary algorithm to assess design decisions specifically related to material selection. A case study is included to validate the new methodology.","author":[{"dropping-particle":"","family":"Bradley","given":"Ryan","non-dropping-particle":"","parse-names":false,"suffix":""},{"dropping-particle":"","family":"Jawahir","given":"I.S.","non-dropping-particle":"","parse-names":false,"suffix":""},{"dropping-particle":"","family":"Badurdeen","given":"Fazleena","non-dropping-particle":"","parse-names":false,"suffix":""},{"dropping-particle":"","family":"Rouch","given":"Keith","non-dropping-particle":"","parse-names":false,"suffix":""}],"container-title":"Procedia CIRP","id":"ITEM-1","issued":{"date-parts":[["2016"]]},"page":"370-375","title":"A Framework for Material Selection in Multi-Generational Components: Sustainable Value Creation for a Circular Economy","type":"article-journal","volume":"48"},"uris":["http://www.mendeley.com/documents/?uuid=12a26697-8b90-42cc-add5-3f268c349c85","http://www.mendeley.com/documents/?uuid=3902d3d2-37a0-4da6-8946-43c961bc20cb"]}],"mendeley":{"formattedCitation":"(Bradley et al., 2016)","plainTextFormattedCitation":"(Bradley et al., 2016)","previouslyFormattedCitation":"(Bradley et al., 2016)"},"properties":{"noteIndex":0},"schema":"https://github.com/citation-style-language/schema/raw/master/csl-citation.json"}</w:instrText>
            </w:r>
            <w:r w:rsidRPr="00A04DD6">
              <w:rPr>
                <w:sz w:val="20"/>
                <w:lang w:val="en-GB"/>
              </w:rPr>
              <w:fldChar w:fldCharType="separate"/>
            </w:r>
            <w:r w:rsidRPr="00A04DD6">
              <w:rPr>
                <w:noProof/>
                <w:sz w:val="20"/>
                <w:lang w:val="en-GB"/>
              </w:rPr>
              <w:t>(Bradley et al., 2016)</w:t>
            </w:r>
            <w:r w:rsidRPr="00A04DD6">
              <w:rPr>
                <w:sz w:val="20"/>
                <w:lang w:val="en-GB"/>
              </w:rPr>
              <w:fldChar w:fldCharType="end"/>
            </w:r>
          </w:p>
          <w:p w14:paraId="60019E6F" w14:textId="77777777" w:rsidR="005E0E7F" w:rsidRPr="00A04DD6" w:rsidRDefault="005E0E7F" w:rsidP="00D62E44">
            <w:pPr>
              <w:rPr>
                <w:sz w:val="20"/>
                <w:lang w:val="en-GB"/>
              </w:rPr>
            </w:pPr>
            <w:r w:rsidRPr="00A04DD6">
              <w:rPr>
                <w:sz w:val="20"/>
                <w:lang w:val="en-GB"/>
              </w:rPr>
              <w:fldChar w:fldCharType="begin" w:fldLock="1"/>
            </w:r>
            <w:r w:rsidRPr="00A04DD6">
              <w:rPr>
                <w:sz w:val="20"/>
                <w:lang w:val="en-GB"/>
              </w:rPr>
              <w:instrText>ADDIN CSL_CITATION {"citationItems":[{"id":"ITEM-1","itemData":{"DOI":"10.1016/j.jclepro.2006.08.003","ISBN":"0959-6526","ISSN":"09596526","abstract":"Eco-effectiveness and cradle-to-cradle design present an alternative design and production concept to the strategies of zero emission and eco-efficiency. Where eco-efficiency and zero emission seek to reduce the unintended negative consequences of processes of production and consumption, eco-effectiveness is a positive agenda for the conception and production of goods and services that incorporate social, economic, and environmental benefit, enabling triple top line growth. Eco-effectiveness moves beyond zero emission approaches by focusing on the development of products and industrial systems that maintain or enhance the quality and productivity of materials through subsequent life cycles. The concept of eco-effectiveness also addresses the major shortcomings of eco-efficiency approaches: their inability to address the necessity for fundamental redesign of material flows, their inherent antagonism towards long-term economic growth and innovation, and their insufficiency in addressing toxicity issues. A central component of the eco-effectiveness concept, cradle-to-cradle design provides a practical design framework for creating products and industrial systems in a positive relationship with ecological health and abundance, and long-term economic growth. Against this background, the transition to eco-effective industrial systems is a five-step process beginning with an elimination of undesirable substances and ultimately calling for a reinvention of products by reconsidering how they may optimally fulfill the need or needs for which they are actually intended while simultaneously being supportive of ecological and social systems. This process necessitates the creation of an eco-effective system of \"nutrient\" management to coordinate the material flows amongst actors in the product system. The concept of intelligent materials pooling illustrates how such a system might take shape, in reality. © 2006.","author":[{"dropping-particle":"","family":"Braungart","given":"Michael","non-dropping-particle":"","parse-names":false,"suffix":""},{"dropping-particle":"","family":"McDonough","given":"William","non-dropping-particle":"","parse-names":false,"suffix":""},{"dropping-particle":"","family":"Bollinger","given":"Andrew","non-dropping-particle":"","parse-names":false,"suffix":""}],"container-title":"Journal of Cleaner Production","id":"ITEM-1","issue":"13-14","issued":{"date-parts":[["2007"]]},"page":"1337-1348","title":"Cradle-to-cradle design: creating healthy emissions - a strategy for eco-effective product and system design","type":"article-journal","volume":"15"},"uris":["http://www.mendeley.com/documents/?uuid=21105744-ce83-4875-9acf-b75225eb46e6","http://www.mendeley.com/documents/?uuid=c9256fa3-984f-43ae-bb60-9b8f84227bf6"]}],"mendeley":{"formattedCitation":"(Braungart et al., 2007)","plainTextFormattedCitation":"(Braungart et al., 2007)","previouslyFormattedCitation":"(Braungart et al., 2007)"},"properties":{"noteIndex":0},"schema":"https://github.com/citation-style-language/schema/raw/master/csl-citation.json"}</w:instrText>
            </w:r>
            <w:r w:rsidRPr="00A04DD6">
              <w:rPr>
                <w:sz w:val="20"/>
                <w:lang w:val="en-GB"/>
              </w:rPr>
              <w:fldChar w:fldCharType="separate"/>
            </w:r>
            <w:r w:rsidRPr="00A04DD6">
              <w:rPr>
                <w:noProof/>
                <w:sz w:val="20"/>
                <w:lang w:val="en-GB"/>
              </w:rPr>
              <w:t>(Braungart et al., 2007)</w:t>
            </w:r>
            <w:r w:rsidRPr="00A04DD6">
              <w:rPr>
                <w:sz w:val="20"/>
                <w:lang w:val="en-GB"/>
              </w:rPr>
              <w:fldChar w:fldCharType="end"/>
            </w:r>
          </w:p>
          <w:p w14:paraId="3927E888" w14:textId="6CB4C360" w:rsidR="005E0E7F" w:rsidRPr="00A04DD6" w:rsidRDefault="005E0E7F" w:rsidP="00D62E44">
            <w:pPr>
              <w:rPr>
                <w:sz w:val="20"/>
                <w:lang w:val="en-GB"/>
              </w:rPr>
            </w:pPr>
            <w:r w:rsidRPr="00A04DD6">
              <w:rPr>
                <w:sz w:val="20"/>
                <w:lang w:val="en-GB"/>
              </w:rPr>
              <w:fldChar w:fldCharType="begin" w:fldLock="1"/>
            </w:r>
            <w:r w:rsidR="003445CC">
              <w:rPr>
                <w:sz w:val="20"/>
                <w:lang w:val="en-GB"/>
              </w:rPr>
              <w:instrText>ADDIN CSL_CITATION {"citationItems":[{"id":"ITEM-1","itemData":{"author":[{"dropping-particle":"","family":"Lange","given":"Jasper","non-dropping-particle":"de","parse-names":false,"suffix":""},{"dropping-particle":"","family":"Rodić","given":"Ljiljana","non-dropping-particle":"","parse-names":false,"suffix":""}],"id":"ITEM-1","issued":{"date-parts":[["2013"]]},"number-of-pages":"1-18","title":"From Waste Handler to Resource Manager : New Roles for Solid Waste Management Companies in a Circular Economy","type":"report"},"uris":["http://www.mendeley.com/documents/?uuid=ec3a0cb7-271c-413d-9975-6f77c951b46f"]}],"mendeley":{"formattedCitation":"(de Lange and Rodić, 2013)","plainTextFormattedCitation":"(de Lange and Rodić, 2013)","previouslyFormattedCitation":"(de Lange and Rodić, 2013)"},"properties":{"noteIndex":0},"schema":"https://github.com/citation-style-language/schema/raw/master/csl-citation.json"}</w:instrText>
            </w:r>
            <w:r w:rsidRPr="00A04DD6">
              <w:rPr>
                <w:sz w:val="20"/>
                <w:lang w:val="en-GB"/>
              </w:rPr>
              <w:fldChar w:fldCharType="separate"/>
            </w:r>
            <w:r w:rsidR="008E630B" w:rsidRPr="008E630B">
              <w:rPr>
                <w:noProof/>
                <w:sz w:val="20"/>
                <w:lang w:val="en-GB"/>
              </w:rPr>
              <w:t>(de Lange and Rodić, 2013)</w:t>
            </w:r>
            <w:r w:rsidRPr="00A04DD6">
              <w:rPr>
                <w:sz w:val="20"/>
                <w:lang w:val="en-GB"/>
              </w:rPr>
              <w:fldChar w:fldCharType="end"/>
            </w:r>
          </w:p>
          <w:p w14:paraId="4B108BF0" w14:textId="77777777" w:rsidR="005E0E7F" w:rsidRPr="00A04DD6" w:rsidRDefault="005E0E7F" w:rsidP="00D62E44">
            <w:pPr>
              <w:rPr>
                <w:sz w:val="20"/>
                <w:lang w:val="en-GB"/>
              </w:rPr>
            </w:pPr>
            <w:r w:rsidRPr="00A04DD6">
              <w:rPr>
                <w:sz w:val="20"/>
                <w:lang w:val="en-GB"/>
              </w:rPr>
              <w:fldChar w:fldCharType="begin" w:fldLock="1"/>
            </w:r>
            <w:r w:rsidRPr="00A04DD6">
              <w:rPr>
                <w:sz w:val="20"/>
                <w:lang w:val="en-GB"/>
              </w:rPr>
              <w:instrText>ADDIN CSL_CITATION {"citationItems":[{"id":"ITEM-1","itemData":{"DOI":"10.1080/19397038.2016.1270369","ISSN":"19397046","abstract":"Recently, environmentally conscious design and extended producer responsibility have become key aspects for companies that need to develop products that are sustainable along their whole life cycle. Design for End of Life (EoL) is a strategy that aims to reduce landfill waste through the implementation of closed-loop product life cycles. It is important to consider disassembly and EoL scenario management as early as the design phase. For these reasons, this paper presents an approach to help designers in the evaluation and subsequent improvement in product EoL performance. The method is based on four innovative EoL indices that compare different EoL scenarios for each product component. In this way, the designer can modify the product structure or the liaisons to maximise the reuse and remanufacture of components as well as material recycling. The presented case studies confirm the validity of the approach in helping designers during the redesign phase of goods and products to reduce the quantity of materials and industrial wastes sent to landfill.","author":[{"dropping-particle":"","family":"Favi","given":"Claudio","non-dropping-particle":"","parse-names":false,"suffix":""},{"dropping-particle":"","family":"Germani","given":"Michele","non-dropping-particle":"","parse-names":false,"suffix":""},{"dropping-particle":"","family":"Luzi","given":"Andrea","non-dropping-particle":"","parse-names":false,"suffix":""},{"dropping-particle":"","family":"Mandolini","given":"Marco","non-dropping-particle":"","parse-names":false,"suffix":""},{"dropping-particle":"","family":"Marconi","given":"Marco","non-dropping-particle":"","parse-names":false,"suffix":""}],"container-title":"International Journal of Sustainable Engineering","id":"ITEM-1","issue":"3","issued":{"date-parts":[["2017"]]},"page":"136-146","publisher":"Taylor &amp; Francis","title":"A design for EoL approach and metrics to favour closed-loop scenarios for products","type":"article-journal","volume":"10"},"uris":["http://www.mendeley.com/documents/?uuid=450ec5d3-1c11-4ffb-99db-c136fa269d7c","http://www.mendeley.com/documents/?uuid=2d9fdc74-142f-4be9-8a4e-e69deef1a771"]}],"mendeley":{"formattedCitation":"(Favi et al., 2017)","plainTextFormattedCitation":"(Favi et al., 2017)","previouslyFormattedCitation":"(Favi et al., 2017)"},"properties":{"noteIndex":0},"schema":"https://github.com/citation-style-language/schema/raw/master/csl-citation.json"}</w:instrText>
            </w:r>
            <w:r w:rsidRPr="00A04DD6">
              <w:rPr>
                <w:sz w:val="20"/>
                <w:lang w:val="en-GB"/>
              </w:rPr>
              <w:fldChar w:fldCharType="separate"/>
            </w:r>
            <w:r w:rsidRPr="00A04DD6">
              <w:rPr>
                <w:noProof/>
                <w:sz w:val="20"/>
                <w:lang w:val="en-GB"/>
              </w:rPr>
              <w:t>(Favi et al., 2017)</w:t>
            </w:r>
            <w:r w:rsidRPr="00A04DD6">
              <w:rPr>
                <w:sz w:val="20"/>
                <w:lang w:val="en-GB"/>
              </w:rPr>
              <w:fldChar w:fldCharType="end"/>
            </w:r>
          </w:p>
          <w:p w14:paraId="54D54A8E" w14:textId="77777777" w:rsidR="005E0E7F" w:rsidRPr="00A04DD6" w:rsidRDefault="005E0E7F" w:rsidP="00D62E44">
            <w:pPr>
              <w:rPr>
                <w:sz w:val="20"/>
                <w:lang w:val="en-GB"/>
              </w:rPr>
            </w:pPr>
            <w:r w:rsidRPr="00A04DD6">
              <w:rPr>
                <w:sz w:val="20"/>
                <w:lang w:val="en-GB"/>
              </w:rPr>
              <w:fldChar w:fldCharType="begin" w:fldLock="1"/>
            </w:r>
            <w:r w:rsidRPr="00A04DD6">
              <w:rPr>
                <w:sz w:val="20"/>
                <w:lang w:val="en-GB"/>
              </w:rPr>
              <w:instrText>ADDIN CSL_CITATION {"citationItems":[{"id":"ITEM-1","itemData":{"DOI":"10.1016/j.jclepro.2010.09.018","ISBN":"0959-6526","ISSN":"09596526","abstract":"Circular economy (CE) focuses on resource-productivity and eco-efficiency improvement in a comprehensive way, especially on the industrial structure optimization of new technology development and application, equipment renewal and management renovation. The leather industry on the one side boosts the local economic development, on the other side however leads to the tremendous environment pollution and biological chains destruction. The CE model has been implemented as a new way of raw materials, water and energy consumption reduction in the leather industry. Reduce, Reuse, Recycle and Recover of the tannery effluents have been discussed in detail according to the different operation processes. The successful treatment approaches with analysis in the aspects such as wastewater, solid waste, sulfide, Chemical Oxygen Demand (COD), ammonium salt, chloride and chrome of the leather tannery with CE model provide guidance for the sustainable development of leather industry in the future. © 2010 Elsevier Ltd. All rights reserved.","author":[{"dropping-particle":"","family":"Hu","given":"Jing","non-dropping-particle":"","parse-names":false,"suffix":""},{"dropping-particle":"","family":"Xiao","given":"Zuobing","non-dropping-particle":"","parse-names":false,"suffix":""},{"dropping-particle":"","family":"Zhou","given":"Rujun","non-dropping-particle":"","parse-names":false,"suffix":""},{"dropping-particle":"","family":"Deng","given":"Weijun","non-dropping-particle":"","parse-names":false,"suffix":""},{"dropping-particle":"","family":"Wang","given":"Mingxi","non-dropping-particle":"","parse-names":false,"suffix":""},{"dropping-particle":"","family":"Ma","given":"Shuangshuang","non-dropping-particle":"","parse-names":false,"suffix":""}],"container-title":"Journal of Cleaner Production","id":"ITEM-1","issue":"2-3","issued":{"date-parts":[["2011"]]},"page":"221-228","publisher":"Elsevier Ltd","title":"Ecological utilization of leather tannery waste with circular economy model","type":"article-journal","volume":"19"},"uris":["http://www.mendeley.com/documents/?uuid=87898551-5909-4188-9a00-261281e3ad26","http://www.mendeley.com/documents/?uuid=3c9a7a7c-f504-4e2c-9f8c-0d76c9e8f1cc"]}],"mendeley":{"formattedCitation":"(Hu et al., 2011)","plainTextFormattedCitation":"(Hu et al., 2011)","previouslyFormattedCitation":"(Hu et al., 2011)"},"properties":{"noteIndex":0},"schema":"https://github.com/citation-style-language/schema/raw/master/csl-citation.json"}</w:instrText>
            </w:r>
            <w:r w:rsidRPr="00A04DD6">
              <w:rPr>
                <w:sz w:val="20"/>
                <w:lang w:val="en-GB"/>
              </w:rPr>
              <w:fldChar w:fldCharType="separate"/>
            </w:r>
            <w:r w:rsidRPr="00A04DD6">
              <w:rPr>
                <w:noProof/>
                <w:sz w:val="20"/>
                <w:lang w:val="en-GB"/>
              </w:rPr>
              <w:t>(Hu et al., 2011)</w:t>
            </w:r>
            <w:r w:rsidRPr="00A04DD6">
              <w:rPr>
                <w:sz w:val="20"/>
                <w:lang w:val="en-GB"/>
              </w:rPr>
              <w:fldChar w:fldCharType="end"/>
            </w:r>
          </w:p>
          <w:p w14:paraId="159A17A9" w14:textId="2597DD75" w:rsidR="005E0E7F" w:rsidRPr="00A04DD6" w:rsidRDefault="005E0E7F" w:rsidP="00D62E44">
            <w:pPr>
              <w:rPr>
                <w:sz w:val="20"/>
                <w:lang w:val="en-GB"/>
              </w:rPr>
            </w:pPr>
            <w:r w:rsidRPr="00A04DD6">
              <w:rPr>
                <w:sz w:val="20"/>
                <w:lang w:val="en-GB"/>
              </w:rPr>
              <w:fldChar w:fldCharType="begin" w:fldLock="1"/>
            </w:r>
            <w:r w:rsidR="003445CC">
              <w:rPr>
                <w:sz w:val="20"/>
                <w:lang w:val="en-GB"/>
              </w:rPr>
              <w:instrText>ADDIN CSL_CITATION {"citationItems":[{"id":"ITEM-1","itemData":{"DOI":"10.1002/bbb","ISBN":"1932-104X","ISSN":"1932104X","PMID":"2571","abstract":"Together with 106 farmers who started growing Jatropha (Jatropha curcas\\nL.) in 20042006, this research sought to increase the knowledge around\\nthe real-life experience of Jatropha farming in the southern India\\nstates of Tamil Nadu and Andhra Pradesh. Launched as an alternative for\\ndiesel in India, Jatropha has been promoted as a non-edible plant that\\ncould grow on poor soils, yield oil-rich seeds for production of\\nbio-diesel, and not compete directly with food production. Through\\ninterviews with the farmers, information was gathered regarding their\\nsocio-economic situation, the implementation and performance of their\\nJatropha plantations, and their reasons for continuing or discontinuing\\nJatropha cultivation. Results reveal that 82% of the farmers had\\nsubstituted former cropland for their Jatropha cultivation. By 2010,\\n85% (n = 90) of the farmers who cultivated Jatropha in 2004 had\\nstopped. Cultivating the crop did not give the economic returns the\\nfarmers anticipated, mainly due to a lack of information about the crop\\nand its maintenance during cultivation and due to water scarcity. A\\nmajority of the farmers irrigated and applied fertilizer, and even\\npesticides. Many problems experienced by the farmers were due to limited\\nknowledge about cultivating Jatropha caused by poor planning and\\nimplementation of the national Jatropha program. Extension services,\\nsubsidies, and other support were not provided as promised. The farmers\\nwho continued cultivation had means of income other than Jatropha and\\nheld hopes of a future Jatropha market. The lack of market structures,\\nsuch as purchase agreements and buyers, as well as a low retail price\\nfor the seeds, were frequently stated as barriers to Jatropha\\ncultivation. For Jatropha biodiesel to perform well, efforts are needed\\nto improve yield levels and stability through genetic improvements and\\ndrought tolerance, as well as agriculture extension services to support\\nadoption of the crop. Government programs will -probably be more\\neffective if implementing biodiesel production is conjoined with\\nstimulating the demand for Jatropha biodiesel. To avoid food-biofuel\\ncompetition, additional measures may be needed such as land-use\\nrestrictions for Jatropha producers and taxes on biofuels or biofuel\\nfeedstocks to improve the competitiveness of the food sector compared to\\nthe bioenergy sector. (c) 2012 Society of Chemical Industry and John\\nWiley &amp; Sons, Ltd","author":[{"dropping-particle":"","family":"Jagger","given":"Anna","non-dropping-particle":"","parse-names":false,"suffix":""}],"container-title":"Biofuels, Bioproducts &amp; Biorefining","id":"ITEM-1","issue":"3","issued":{"date-parts":[["2016"]]},"page":"202-203","title":"A circular economy: combined food and power projects","type":"article-journal","volume":"10"},"uris":["http://www.mendeley.com/documents/?uuid=55af513f-595b-4558-8ee9-f75025996077"]}],"mendeley":{"formattedCitation":"(Jagger, 2016)","plainTextFormattedCitation":"(Jagger, 2016)","previouslyFormattedCitation":"(Jagger, 2016)"},"properties":{"noteIndex":0},"schema":"https://github.com/citation-style-language/schema/raw/master/csl-citation.json"}</w:instrText>
            </w:r>
            <w:r w:rsidRPr="00A04DD6">
              <w:rPr>
                <w:sz w:val="20"/>
                <w:lang w:val="en-GB"/>
              </w:rPr>
              <w:fldChar w:fldCharType="separate"/>
            </w:r>
            <w:r w:rsidRPr="00A04DD6">
              <w:rPr>
                <w:noProof/>
                <w:sz w:val="20"/>
                <w:lang w:val="en-GB"/>
              </w:rPr>
              <w:t>(Jagger, 2016)</w:t>
            </w:r>
            <w:r w:rsidRPr="00A04DD6">
              <w:rPr>
                <w:sz w:val="20"/>
                <w:lang w:val="en-GB"/>
              </w:rPr>
              <w:fldChar w:fldCharType="end"/>
            </w:r>
          </w:p>
          <w:p w14:paraId="538A5B5A" w14:textId="765D6B6A" w:rsidR="005E0E7F" w:rsidRPr="00A04DD6" w:rsidRDefault="005E0E7F" w:rsidP="00D62E44">
            <w:pPr>
              <w:rPr>
                <w:sz w:val="20"/>
                <w:lang w:val="en-GB"/>
              </w:rPr>
            </w:pPr>
            <w:r w:rsidRPr="00A04DD6">
              <w:rPr>
                <w:sz w:val="20"/>
                <w:lang w:val="en-GB"/>
              </w:rPr>
              <w:fldChar w:fldCharType="begin" w:fldLock="1"/>
            </w:r>
            <w:r w:rsidR="003445CC">
              <w:rPr>
                <w:sz w:val="20"/>
                <w:lang w:val="en-GB"/>
              </w:rPr>
              <w:instrText>ADDIN CSL_CITATION {"citationItems":[{"id":"ITEM-1","itemData":{"DOI":"10.1016/j.procir.2016.01.067","ISBN":"2212-8271","ISSN":"22128271","abstract":"At the current alarming growth rate of the world's consumption, the linear economy model of creating products, using these products, and then disposing of them, with no consideration of the environmental, societal and economic impacts and consequences, is a flawed manufacturing approach that is unsustainable. Therefore, envisioning a future where nothing is wasted; a future where every \"waste\" becomes an asset, and no value goes unrecovered; a future where all products at the end of their primary use are recovered and either reused, remanufactured, or recycled for multiple generations, has become more than a reality, but a necessity. This emerging concept of circular economy, although gaining attention, lacks a technological perspective for effective implementation. This paper presents the principles of sustainable manufacturing to serve as the basis, and to provide the technological elements to ensure the creation of a circular economy. 6R-based technological elements are identified and shown as essential ingredients for achieving economic growth, environmental protection and societal benefits. Also presented is a case study with application that shows the life cycle cost benefits. An outlook for future research is then presented.","author":[{"dropping-particle":"","family":"Jawahir","given":"I.S.","non-dropping-particle":"","parse-names":false,"suffix":""},{"dropping-particle":"","family":"Bradley","given":"Ryan","non-dropping-particle":"","parse-names":false,"suffix":""}],"container-title":"Procedia CIRP","id":"ITEM-1","issued":{"date-parts":[["2016"]]},"page":"103-108","publisher":"Elsevier B.V.","title":"Technological Elements of Circular Economy and the Principles of 6R-Based Closed-loop Material Flow in Sustainable Manufacturing","type":"article-journal","volume":"40"},"uris":["http://www.mendeley.com/documents/?uuid=577d678f-c121-45ac-bcd7-006a851b918c","http://www.mendeley.com/documents/?uuid=a51f5c7d-6aac-4eca-8bce-083d7393d191"]}],"mendeley":{"formattedCitation":"(Jawahir and Bradley, 2016)","plainTextFormattedCitation":"(Jawahir and Bradley, 2016)","previouslyFormattedCitation":"(Jawahir and Bradley, 2016)"},"properties":{"noteIndex":0},"schema":"https://github.com/citation-style-language/schema/raw/master/csl-citation.json"}</w:instrText>
            </w:r>
            <w:r w:rsidRPr="00A04DD6">
              <w:rPr>
                <w:sz w:val="20"/>
                <w:lang w:val="en-GB"/>
              </w:rPr>
              <w:fldChar w:fldCharType="separate"/>
            </w:r>
            <w:r w:rsidRPr="00A04DD6">
              <w:rPr>
                <w:noProof/>
                <w:sz w:val="20"/>
                <w:lang w:val="en-GB"/>
              </w:rPr>
              <w:t>(Jawahir and Bradley, 2016)</w:t>
            </w:r>
            <w:r w:rsidRPr="00A04DD6">
              <w:rPr>
                <w:sz w:val="20"/>
                <w:lang w:val="en-GB"/>
              </w:rPr>
              <w:fldChar w:fldCharType="end"/>
            </w:r>
          </w:p>
          <w:p w14:paraId="7DDF64EE" w14:textId="77777777" w:rsidR="005E0E7F" w:rsidRPr="00A04DD6" w:rsidRDefault="005E0E7F" w:rsidP="00D62E44">
            <w:pPr>
              <w:rPr>
                <w:sz w:val="20"/>
                <w:lang w:val="en-GB"/>
              </w:rPr>
            </w:pPr>
            <w:r w:rsidRPr="00A04DD6">
              <w:rPr>
                <w:sz w:val="20"/>
                <w:lang w:val="en-GB"/>
              </w:rPr>
              <w:fldChar w:fldCharType="begin" w:fldLock="1"/>
            </w:r>
            <w:r w:rsidRPr="00A04DD6">
              <w:rPr>
                <w:sz w:val="20"/>
                <w:lang w:val="en-GB"/>
              </w:rPr>
              <w:instrText>ADDIN CSL_CITATION {"citationItems":[{"id":"ITEM-1","itemData":{"DOI":"10.1016/j.energy.2009.04.021","ISBN":"0360-5442","ISSN":"03605442","abstract":"Since energy consumption in process industries accounts for a great proportion of China's total energy consumption, energy conservation becomes the practical choice to reduce the conflict between energy demand and energy supply in China, and therefore, promoting energy conservation is the long-term solution to China's energy and environment problems from the source. In this paper, based on the introduction of the concept of energy consumption status in China's key energy-consuming process industries, the main technical bottlenecks and resource-environment problems were analyzed with special emphasis on energy utilization efficiency, energy consumption mode, and waste emission. As for the measures to resolve these problems, at the policy level, policies and programs of Chinese government related to energy conservation were introduced in combination with China's circular economy structure. At the technical level, the key technologies and research progress to improve energy utilization efficiency, reducing energy consumption, as well as utilizing the resource of discharged wastes were reviewed. Finally, three typical cases of the development of circular economy at three levels, namely the chemical industry, metallurgical industry, and electric power industry, were studied for the enforcement of circular economy and energy conservation in China's process industries. © 2009.","author":[{"dropping-particle":"","family":"Li","given":"Huiquan","non-dropping-particle":"","parse-names":false,"suffix":""},{"dropping-particle":"","family":"Bao","given":"Weijun","non-dropping-particle":"","parse-names":false,"suffix":""},{"dropping-particle":"","family":"Xiu","given":"Caihong","non-dropping-particle":"","parse-names":false,"suffix":""},{"dropping-particle":"","family":"Zhang","given":"Yi","non-dropping-particle":"","parse-names":false,"suffix":""},{"dropping-particle":"","family":"Xu","given":"Hongbin","non-dropping-particle":"","parse-names":false,"suffix":""}],"container-title":"Energy","id":"ITEM-1","issue":"11","issued":{"date-parts":[["2010"]]},"page":"4273-4281","publisher":"Elsevier Ltd","title":"Energy conservation and circular economy in China's process industries","type":"article-journal","volume":"35"},"uris":["http://www.mendeley.com/documents/?uuid=5659d002-9630-45d5-9d8a-f3da34ec219b","http://www.mendeley.com/documents/?uuid=e2d0a539-1eb0-4bc9-a3a4-c4c7d82e5864"]}],"mendeley":{"formattedCitation":"(Li et al., 2010)","plainTextFormattedCitation":"(Li et al., 2010)","previouslyFormattedCitation":"(Li et al., 2010)"},"properties":{"noteIndex":0},"schema":"https://github.com/citation-style-language/schema/raw/master/csl-citation.json"}</w:instrText>
            </w:r>
            <w:r w:rsidRPr="00A04DD6">
              <w:rPr>
                <w:sz w:val="20"/>
                <w:lang w:val="en-GB"/>
              </w:rPr>
              <w:fldChar w:fldCharType="separate"/>
            </w:r>
            <w:r w:rsidRPr="00A04DD6">
              <w:rPr>
                <w:noProof/>
                <w:sz w:val="20"/>
                <w:lang w:val="en-GB"/>
              </w:rPr>
              <w:t>(Li et al., 2010)</w:t>
            </w:r>
            <w:r w:rsidRPr="00A04DD6">
              <w:rPr>
                <w:sz w:val="20"/>
                <w:lang w:val="en-GB"/>
              </w:rPr>
              <w:fldChar w:fldCharType="end"/>
            </w:r>
          </w:p>
          <w:p w14:paraId="7E300B79" w14:textId="77777777" w:rsidR="005E0E7F" w:rsidRPr="00A04DD6" w:rsidRDefault="005E0E7F" w:rsidP="00D62E44">
            <w:pPr>
              <w:rPr>
                <w:sz w:val="20"/>
                <w:lang w:val="en-GB"/>
              </w:rPr>
            </w:pPr>
            <w:r w:rsidRPr="00A04DD6">
              <w:rPr>
                <w:sz w:val="20"/>
                <w:lang w:val="en-GB"/>
              </w:rPr>
              <w:fldChar w:fldCharType="begin" w:fldLock="1"/>
            </w:r>
            <w:r w:rsidRPr="00A04DD6">
              <w:rPr>
                <w:sz w:val="20"/>
                <w:lang w:val="en-GB"/>
              </w:rPr>
              <w:instrText>ADDIN CSL_CITATION {"citationItems":[{"id":"ITEM-1","itemData":{"DOI":"10.1016/j.biortech.2016.04.054","ISBN":"1873-2976 (Electronic)\\r0960-8524 (Linking)","ISSN":"18732976","PMID":"27131870","abstract":"The actualization of a circular economy through the use of lignocellulosic wastes as renewable resources can lead to reduce the dependence from fossil-based resources and contribute to a sustainable waste management. The integrated biorefineries, exploiting the overall lignocellulosic waste components to generate fuels, chemicals and energy, are the pillar of the circular economy. The biological treatment is receiving great attention for the biorefinery development since it is considered an eco-friendly alternative to the physico-chemical strategies to increase the biobased product recovery from wastes and improve saccharification and fermentation yields. This paper reviews the last advances in the biological treatments aimed at upgrading lignocellulosic wastes, implementing the biorefinery concept and advocating circular economy.","author":[{"dropping-particle":"","family":"Liguori","given":"Rossana","non-dropping-particle":"","parse-names":false,"suffix":""},{"dropping-particle":"","family":"Faraco","given":"Vincenza","non-dropping-particle":"","parse-names":false,"suffix":""}],"container-title":"Bioresource Technology","id":"ITEM-1","issued":{"date-parts":[["2016"]]},"page":"13-20","publisher":"Elsevier Ltd","title":"Biological processes for advancing lignocellulosic waste biorefinery by advocating circular economy","type":"article-journal","volume":"215"},"uris":["http://www.mendeley.com/documents/?uuid=de25c17c-7fe8-47a8-8ad4-eeaf6aec6123","http://www.mendeley.com/documents/?uuid=6590498a-1890-418f-8141-d38d036cc446"]}],"mendeley":{"formattedCitation":"(Liguori and Faraco, 2016)","plainTextFormattedCitation":"(Liguori and Faraco, 2016)","previouslyFormattedCitation":"(Liguori and Faraco, 2016)"},"properties":{"noteIndex":0},"schema":"https://github.com/citation-style-language/schema/raw/master/csl-citation.json"}</w:instrText>
            </w:r>
            <w:r w:rsidRPr="00A04DD6">
              <w:rPr>
                <w:sz w:val="20"/>
                <w:lang w:val="en-GB"/>
              </w:rPr>
              <w:fldChar w:fldCharType="separate"/>
            </w:r>
            <w:r w:rsidRPr="00A04DD6">
              <w:rPr>
                <w:noProof/>
                <w:sz w:val="20"/>
                <w:lang w:val="en-GB"/>
              </w:rPr>
              <w:t>(Liguori and Faraco, 2016)</w:t>
            </w:r>
            <w:r w:rsidRPr="00A04DD6">
              <w:rPr>
                <w:sz w:val="20"/>
                <w:lang w:val="en-GB"/>
              </w:rPr>
              <w:fldChar w:fldCharType="end"/>
            </w:r>
          </w:p>
          <w:p w14:paraId="14351B78" w14:textId="1F2D03BD" w:rsidR="005E0E7F" w:rsidRPr="00A04DD6" w:rsidRDefault="005E0E7F" w:rsidP="00D62E44">
            <w:pPr>
              <w:rPr>
                <w:sz w:val="20"/>
                <w:lang w:val="en-GB"/>
              </w:rPr>
            </w:pPr>
            <w:r w:rsidRPr="00A04DD6">
              <w:rPr>
                <w:sz w:val="20"/>
                <w:lang w:val="en-GB"/>
              </w:rPr>
              <w:fldChar w:fldCharType="begin" w:fldLock="1"/>
            </w:r>
            <w:r w:rsidR="003445CC">
              <w:rPr>
                <w:sz w:val="20"/>
                <w:lang w:val="en-GB"/>
              </w:rPr>
              <w:instrText>ADDIN CSL_CITATION {"citationItems":[{"id":"ITEM-1","itemData":{"DOI":"10.1016/j.energy.2017.11.128","ISSN":"03605442","abstract":"This paper proposes an overarching review of national municipal waste management systems and waste-to-energy as an important part of it in the context of circular economy in the selected countries in Europe. The growth of population and rising standards of living means that the consumption of goods and energy is increasing. On the one hand, consumption leads to an increase in the generation of waste. On the other hand, the correlation between increased wealth and increased energy consumption is very strong as well. Given that the average heating value of municipal solid waste (MSW) is approximately 10 MJ/kg, it seems logical to use waste as a source of energy. Traditionally, waste-to-energy (WtE) has been associated with incineration. Yet, the term is much broader, embracing various waste treatment processes generating energy (for instance, in the form of electricity and/or heat or producing a waste-derived fuel). Turning waste into energy can be one key to a circular economy enabling the value of products, materials, and resources to be maintained on the market for as long as possible, minimising waste and resource use. As the circular economy is at the top of the EU agenda, all Member States of the EU (including the EEA countries) should move away from the old-fashioned disposal of waste to a more intelligent waste treatment encompassing the circular economy approach in their waste policies. Therefore, the article examines how these EU policies are implemented in practice. Given that WtE traditionally is attached to the MSW management and organisation, the focus of this article is twofold. Firstly, it aims to identify the different practices of municipal waste management employed in selected countries and their approaches in embracing the circular economy and, secondly, the extent to which WtE technologies play any role in this context. The following countries, Estonia, Greece, Italy, Latvia, Lithuania, Norway, Poland, Slovenia, Spain, and the UK were chosen to depict a broad European context.","author":[{"dropping-particle":"","family":"Malinauskaite","given":"J.","non-dropping-particle":"","parse-names":false,"suffix":""},{"dropping-particle":"","family":"Jouhara","given":"H.","non-dropping-particle":"","parse-names":false,"suffix":""},{"dropping-particle":"","family":"Czajczyńska","given":"D.","non-dropping-particle":"","parse-names":false,"suffix":""},{"dropping-particle":"","family":"Stanchev","given":"P.","non-dropping-particle":"","parse-names":false,"suffix":""},{"dropping-particle":"","family":"Katsou","given":"E.","non-dropping-particle":"","parse-names":false,"suffix":""},{"dropping-particle":"","family":"Rostkowski","given":"P.","non-dropping-particle":"","parse-names":false,"suffix":""},{"dropping-particle":"","family":"Thorne","given":"R.J.","non-dropping-particle":"","parse-names":false,"suffix":""},{"dropping-particle":"","family":"Colón","given":"J.","non-dropping-particle":"","parse-names":false,"suffix":""},{"dropping-particle":"","family":"Ponsá","given":"S.","non-dropping-particle":"","parse-names":false,"suffix":""},{"dropping-particle":"","family":"Al-Mansour","given":"F.","non-dropping-particle":"","parse-names":false,"suffix":""},{"dropping-particle":"","family":"Anguilano","given":"L.","non-dropping-particle":"","parse-names":false,"suffix":""},{"dropping-particle":"","family":"Krzyżyńska","given":"R.","non-dropping-particle":"","parse-names":false,"suffix":""},{"dropping-particle":"","family":"López","given":"I.C.","non-dropping-particle":"","parse-names":false,"suffix":""},{"dropping-particle":"","family":"Vlasopoulos","given":"A.","non-dropping-particle":"","parse-names":false,"suffix":""},{"dropping-particle":"","family":"Spencer","given":"N.","non-dropping-particle":"","parse-names":false,"suffix":""}],"container-title":"Energy","id":"ITEM-1","issued":{"date-parts":[["2017"]]},"page":"2013-2044","title":"Municipal solid waste management and waste-to-energy in the context of a circular economy and energy recycling in Europe","type":"article-journal","volume":"141"},"uris":["http://www.mendeley.com/documents/?uuid=78b1d505-e5bd-4de2-8c7f-606540587fdc","http://www.mendeley.com/documents/?uuid=09d62696-e6ff-4834-b17f-72dcb731afd1"]}],"mendeley":{"formattedCitation":"(Malinauskaite et al., 2017)","plainTextFormattedCitation":"(Malinauskaite et al., 2017)","previouslyFormattedCitation":"(Malinauskaite et al., 2017)"},"properties":{"noteIndex":0},"schema":"https://github.com/citation-style-language/schema/raw/master/csl-citation.json"}</w:instrText>
            </w:r>
            <w:r w:rsidRPr="00A04DD6">
              <w:rPr>
                <w:sz w:val="20"/>
                <w:lang w:val="en-GB"/>
              </w:rPr>
              <w:fldChar w:fldCharType="separate"/>
            </w:r>
            <w:r w:rsidRPr="00A04DD6">
              <w:rPr>
                <w:noProof/>
                <w:sz w:val="20"/>
                <w:lang w:val="en-GB"/>
              </w:rPr>
              <w:t>(Malinauskaite et al., 2017)</w:t>
            </w:r>
            <w:r w:rsidRPr="00A04DD6">
              <w:rPr>
                <w:sz w:val="20"/>
                <w:lang w:val="en-GB"/>
              </w:rPr>
              <w:fldChar w:fldCharType="end"/>
            </w:r>
          </w:p>
          <w:p w14:paraId="546B7D78" w14:textId="4DEF61DE" w:rsidR="005E0E7F" w:rsidRPr="00A04DD6" w:rsidRDefault="005E0E7F" w:rsidP="00D62E44">
            <w:pPr>
              <w:rPr>
                <w:sz w:val="20"/>
                <w:lang w:val="en-GB"/>
              </w:rPr>
            </w:pPr>
            <w:r w:rsidRPr="00A04DD6">
              <w:rPr>
                <w:sz w:val="20"/>
                <w:lang w:val="en-GB"/>
              </w:rPr>
              <w:fldChar w:fldCharType="begin" w:fldLock="1"/>
            </w:r>
            <w:r w:rsidR="003445CC">
              <w:rPr>
                <w:sz w:val="20"/>
                <w:lang w:val="en-GB"/>
              </w:rPr>
              <w:instrText>ADDIN CSL_CITATION {"citationItems":[{"id":"ITEM-1","itemData":{"DOI":"10.3390/en9100777","ISBN":"19961073 (ISSN)","ISSN":"1996-1073","abstract":"This study analyzes the operation of Biomass System (BIO System) technology for the combustion of pellets from almond and olive trees within the circular economy model. Its aims are the reduction of greenhouse gas emissions as well as waste removal and its energy use by reintroducing that waste into the production process as technological nutrient. In order to do so, combustion efficiency under optimal conditions at nominal power was analyzed. In addition, a TESTO 350-XL analyzer was employed to measure CO and NOx emissions. High combustion efficiency values were obtained, 87.7% and 86.3%, for pellets from olive tree and almond tree, respectively. The results of CO and NOx emission levels were very satisfactory. Under conditions close to nominal power, CO emission levels were 225.3 ppm at 6% O2 for pellet from almond tree and 351.6 ppm at 6% O2 for pellet from olive tree. Regarding NOx emissions, the values were 365.8 ppm at 6% O2 and 333.2 ppm at 6% O2 for pellets from almond tree and olive tree, respectively. In general, these values were below those legally established by current legislation in European countries. Therefore, BIO System technology is a perfectly feasible option in terms of energy use and circular economy.","author":[{"dropping-particle":"","family":"Molina-Moreno","given":"Valentín","non-dropping-particle":"","parse-names":false,"suffix":""},{"dropping-particle":"","family":"Leyva-Díaz","given":"Juan","non-dropping-particle":"","parse-names":false,"suffix":""},{"dropping-particle":"","family":"Sánchez-Molina","given":"Jorge","non-dropping-particle":"","parse-names":false,"suffix":""}],"container-title":"Energies (Switzerland)","id":"ITEM-1","issue":"777","issued":{"date-parts":[["2016"]]},"page":"1-16","title":"Pellet as a Technological Nutrient within the Circular Economy Model: Comparative Analysis of Combustion Efficiency and CO and NOx Emissions for Pellets from Olive and Almond Trees","type":"article-journal","volume":"9"},"uris":["http://www.mendeley.com/documents/?uuid=45b36364-94ed-4c5b-b615-a50522487f92","http://www.mendeley.com/documents/?uuid=86f9780c-7cf2-42df-a61b-f3e93d9df087"]}],"mendeley":{"formattedCitation":"(Molina-Moreno et al., 2016)","plainTextFormattedCitation":"(Molina-Moreno et al., 2016)","previouslyFormattedCitation":"(Molina-Moreno et al., 2016)"},"properties":{"noteIndex":0},"schema":"https://github.com/citation-style-language/schema/raw/master/csl-citation.json"}</w:instrText>
            </w:r>
            <w:r w:rsidRPr="00A04DD6">
              <w:rPr>
                <w:sz w:val="20"/>
                <w:lang w:val="en-GB"/>
              </w:rPr>
              <w:fldChar w:fldCharType="separate"/>
            </w:r>
            <w:r w:rsidRPr="00A04DD6">
              <w:rPr>
                <w:noProof/>
                <w:sz w:val="20"/>
                <w:lang w:val="en-GB"/>
              </w:rPr>
              <w:t>(Molina-Moreno et al., 2016)</w:t>
            </w:r>
            <w:r w:rsidRPr="00A04DD6">
              <w:rPr>
                <w:sz w:val="20"/>
                <w:lang w:val="en-GB"/>
              </w:rPr>
              <w:fldChar w:fldCharType="end"/>
            </w:r>
          </w:p>
          <w:p w14:paraId="3AB94B3F" w14:textId="77777777" w:rsidR="005E0E7F" w:rsidRPr="00746DB3" w:rsidRDefault="005E0E7F" w:rsidP="00D62E44">
            <w:pPr>
              <w:rPr>
                <w:sz w:val="20"/>
              </w:rPr>
            </w:pPr>
            <w:r w:rsidRPr="00A04DD6">
              <w:rPr>
                <w:sz w:val="20"/>
                <w:lang w:val="en-GB"/>
              </w:rPr>
              <w:fldChar w:fldCharType="begin" w:fldLock="1"/>
            </w:r>
            <w:r w:rsidRPr="00A04DD6">
              <w:rPr>
                <w:sz w:val="20"/>
                <w:lang w:val="en-GB"/>
              </w:rPr>
              <w:instrText>ADDIN CSL_CITATION {"citationItems":[{"id":"ITEM-1","itemData":{"DOI":"10.1016/j.catena.2016.10.007","ISSN":"03418162","abstract":"Fertiliser future shortage and the associated increased economic and environment transport costs are key reasons to promote the use of urban residues as fertilisers in agriculture. Sewage sludge (SS) use as a fertiliser is promoted by the EU, which also consider the harmful effects of heavy metals (HMs). It is important to characterise the levels of HM in soils allocated to pasture and forage crops, before SS application, in order to have an initial soil reference and to see how they vary over time specially in acid soils, where HM availability and therefore its ecosystem impact is larger. For this study, we selected a region with natural very acid soils, and with high needs of fertilisers due to the high crop production potential regarding to important crops like maize, forage crops and grasslands. Galicia is a small region of Spain (9% of the Spanish territory) that produces the 33% and the 60% of the woodland products of Spain. This study generally aims to evaluate the use of SS as a fertiliser in a large agronomic region of Spain, as well as to identify the disadvantages associated with its use. In concrete terms, the study aims at comparing the implications of the current limit values and the analysis of the implications of tighter limits imposed by the EC to evaluate the effect on the availability of sites for sludge applications in Galicia. Results indicate that, after the analysis of 2557 soils, more than the 90% of Galician soils are suitable to receive sewage sludge (SS) following the current regulation RD 1310/90 but only 28.7% fulfil the EUDWD (European Union Draft Working Document) requirements. Most of the samples that do not fulfil the Spanish regulation are associated with basic and ultrabasic rocks that define natural environments with specific plants and soil microorganisms already adapted to these levels of HM. In order to apply more sustainable practices for agricultural production, it is proposed to take into account the mean HM levels of the soil for each heavy metal (HM) trying not to surpass the mean levels of the soils derived from the different parent rock material, after considering human health risks. Moreover, this recommendation would respect the original environment of the soil that acts as a habitat for different organisms, preserving beta biodiversity.","author":[{"dropping-particle":"","family":"Mosquera-Losada","given":"Rosa","non-dropping-particle":"","parse-names":false,"suffix":""},{"dropping-par</w:instrText>
            </w:r>
            <w:r w:rsidRPr="00746DB3">
              <w:rPr>
                <w:sz w:val="20"/>
              </w:rPr>
              <w:instrText>ticle":"","family":"Amador-García","given":"Alberto","non-dropping-particle":"","parse-names":false,"suffix":""},{"dropping-particle":"","family":"Muñóz-Ferreiro","given":"Nieves","non-dropping-particle":"","parse-names":false,"suffix":""},{"dropping-particle":"","family":"Santiago-Freijanes","given":"José Javier","non-dropping-particle":"","parse-names":false,"suffix":""},{"dropping-particle":"","family":"Ferreiro-Domínguez","given":"Nuria","non-dropping-particle":"","parse-names":false,"suffix":""},{"dropping-particle":"","family":"Romero-Franco","given":"Rosa","non-dropping-particle":"","parse-names":false,"suffix":""},{"dropping-particle":"","family":"Rigueiro-Rodríguez","given":"Antonio","non-dropping-particle":"","parse-names":false,"suffix":""}],"container-title":"Catena","id":"ITEM-1","issued":{"date-parts":[["2017"]]},"page":"341-348","publisher":"Elsevier B.V.","title":"Sustainable use of sewage sludge in acid soils within a circular economy perspective","type":"article-journal","volume":"149"},"uris":["http://www.mendeley.com/documents/?uuid=5a846af4-2f51-49dc-99e6-8e4050aaee51","http://www.mendeley.com/documents/?uuid=31f2b391-3354-4372-a43b-5a0722ab320b"]}],"mendeley":{"formattedCitation":"(Mosquera-Losada et al., 2017)","plainTextFormattedCitation":"(Mosquera-Losada et al., 2017)","previouslyFormattedCitation":"(Mosquera-Losada et al., 2017)"},"properties":{"noteIndex":0},"schema":"https://github.com/citation-style-language/schema/raw/master/csl-citation.json"}</w:instrText>
            </w:r>
            <w:r w:rsidRPr="00A04DD6">
              <w:rPr>
                <w:sz w:val="20"/>
                <w:lang w:val="en-GB"/>
              </w:rPr>
              <w:fldChar w:fldCharType="separate"/>
            </w:r>
            <w:r w:rsidRPr="00746DB3">
              <w:rPr>
                <w:noProof/>
                <w:sz w:val="20"/>
              </w:rPr>
              <w:t>(Mosquera-Losada et al., 2017)</w:t>
            </w:r>
            <w:r w:rsidRPr="00A04DD6">
              <w:rPr>
                <w:sz w:val="20"/>
                <w:lang w:val="en-GB"/>
              </w:rPr>
              <w:fldChar w:fldCharType="end"/>
            </w:r>
          </w:p>
          <w:p w14:paraId="718883E1" w14:textId="36CD4F87" w:rsidR="005E0E7F" w:rsidRPr="00746DB3" w:rsidRDefault="005E0E7F" w:rsidP="00D62E44">
            <w:pPr>
              <w:rPr>
                <w:sz w:val="20"/>
              </w:rPr>
            </w:pPr>
            <w:r w:rsidRPr="00A04DD6">
              <w:rPr>
                <w:sz w:val="20"/>
                <w:lang w:val="en-GB"/>
              </w:rPr>
              <w:fldChar w:fldCharType="begin" w:fldLock="1"/>
            </w:r>
            <w:r w:rsidR="003445CC">
              <w:rPr>
                <w:sz w:val="20"/>
              </w:rPr>
              <w:instrText>ADDIN CSL_CITATION {"citationItems":[{"id":"ITEM-1","itemData":{"DOI":"10.1016/j.jclepro.2015.06.124","ISBN":"09596526","ISSN":"09596526","abstract":"To simultaneously solve the dilemma of energy demand, waste management, and greenhouse gas emission for communities globally, the waste-to-energy (WTE) supply chain as district energy system should be a viable method towards circular industrial economy. Several essential state-of-the-art WTE technologies including combustion, gasification and anaerobic digestion were evaluated. Portfolio options of technologies for different types of WTE supply chains were illustrated for achieving circular economy system. Since policy makers have to address the public concerns prior to promulgate and implement relating regulations, the strategies on implementation of WTE supply chain were proposed to overcome the challenging barriers from the aspects of technology, finance, institution and regulation. A total of eight key task-forces were also proposed for effectively executing the strategies. Furthermore, several successful lessons on WTE supply chains such as green fuel pellet for heating supply and co-digestion of organic wastes for bio-gas production around the world were reviewed and illustrated.","author":[{"dropping-particle":"","family":"Pan","given":"Shu-Yuan","non-dropping-particle":"","parse-names":false,"suffix":""},{"dropping-particle":"","family":"Du","given":"Michael Alex","non-dropping-particle":"","parse-names":false,"suffix":""},{"dropping-particle":"","family":"Huang","given":"I-Te","non-dropping-particle":"","parse-names":false,"suffix":""},{"dropping-particle":"","family":"Liu","given":"I-Hung","non-dropping-particle":"","parse-names":false,"suffix":""},{"dropping-particle":"","family":"Chang","given":"E-E","non-dropping-particle":"","parse-names":false,"suffix":""},{"dropping-particle":"","family":"Chiang","given":"Pen-Chi","non-dropping-particle":"","parse-names":false,"suffix":""}],"container-title":"Journal of Cleaner Production","id":"ITEM-1","issued":{"date-parts":[["2015"]]},"page":"409-421","publisher":"Elsevier Ltd","title":"Strategies on implementation of waste-to-energy (WTE) supply chain for circular economy system: A review","type":"article-journal","volume":"108"},"uris":["http://www.mendeley.com/documents/?uuid=07772ba1-3a7c-437e-8e9e-0052fcb53817","http://www.mendeley.com/documents/?uuid=a5fda182-6c09-4a8d-92a0-01a20737400b"]}],"mendeley":{"formattedCitation":"(Pan et al., 2015)","plainTextFormattedCitation":"(Pan et al., 2015)","previouslyFormattedCitation":"(Pan et al., 2015)"},"properties":{"noteIndex":0},"schema":"https://github.com/citation-style-language/schema/raw/master/csl-citation.json"}</w:instrText>
            </w:r>
            <w:r w:rsidRPr="00A04DD6">
              <w:rPr>
                <w:sz w:val="20"/>
                <w:lang w:val="en-GB"/>
              </w:rPr>
              <w:fldChar w:fldCharType="separate"/>
            </w:r>
            <w:r w:rsidRPr="00746DB3">
              <w:rPr>
                <w:noProof/>
                <w:sz w:val="20"/>
              </w:rPr>
              <w:t>(Pan et al., 2015)</w:t>
            </w:r>
            <w:r w:rsidRPr="00A04DD6">
              <w:rPr>
                <w:sz w:val="20"/>
                <w:lang w:val="en-GB"/>
              </w:rPr>
              <w:fldChar w:fldCharType="end"/>
            </w:r>
          </w:p>
          <w:p w14:paraId="1D384055" w14:textId="3084796F" w:rsidR="005E0E7F" w:rsidRPr="00746DB3" w:rsidRDefault="005E0E7F" w:rsidP="00D62E44">
            <w:pPr>
              <w:rPr>
                <w:sz w:val="20"/>
              </w:rPr>
            </w:pPr>
            <w:r w:rsidRPr="00A04DD6">
              <w:rPr>
                <w:sz w:val="20"/>
                <w:lang w:val="en-GB"/>
              </w:rPr>
              <w:fldChar w:fldCharType="begin" w:fldLock="1"/>
            </w:r>
            <w:r w:rsidR="003445CC">
              <w:rPr>
                <w:sz w:val="20"/>
              </w:rPr>
              <w:instrText>ADDIN CSL_CITATION {"citationItems":[{"id":"ITEM-1","itemData":{"DOI":"10.1002/tie.21917","ISBN":"10964762 (ISSN)","ISSN":"15206874","abstract":"For many years, companies have perceived sustainability and corporate social responsibility as annoying trends involving regulations and extra costs. A new concept of industrial organization is required to dissociate growth in resource consumption from increasing prosperity. This concept must move beyond significant efficiency gains in order to successfully deliver change-an idea that is known as a circular economy. The increasing amount of attention paid to environmental issues and pressure from stakeholders have forced businesses to embrace the complexity and interdependencies between shareholder value and sustainable value. Sustainability-driven innovation that increases the circularity of resources, as in the case of Patagonia, Inc., is the key to generating a sustainable competitive advantage that marries economic and social objectives. This article explores ways in which corporations can pursue economic, social, and environmental objectives while simultaneously embracing circularity. © 2017 Wiley Periodicals, Inc.","author":[{"dropping-particle":"","family":"Rattalino","given":"Francesco","non-dropping-particle":"","parse-names":false,"suffix":""}],"container-title":"Thunderbird International Business Review","id":"ITEM-1","issued":{"date-parts":[["2017"]]},"page":"1-9","title":"Circular advantage anyone? Sustainability-driven innovation and circularity at Patagonia, Inc.","type":"article-journal"},"uris":["http://www.mendeley.com/documents/?uuid=e58d468a-b0ab-43eb-8c30-d8fac202ec38"]}],"mendeley":{"formattedCitation":"(Rattalino, 2017)","plainTextFormattedCitation":"(Rattalino, 2017)","previouslyFormattedCitation":"(Rattalino, 2017)"},"properties":{"noteIndex":0},"schema":"https://github.com/citation-style-language/schema/raw/master/csl-citation.json"}</w:instrText>
            </w:r>
            <w:r w:rsidRPr="00A04DD6">
              <w:rPr>
                <w:sz w:val="20"/>
                <w:lang w:val="en-GB"/>
              </w:rPr>
              <w:fldChar w:fldCharType="separate"/>
            </w:r>
            <w:r w:rsidRPr="00746DB3">
              <w:rPr>
                <w:noProof/>
                <w:sz w:val="20"/>
              </w:rPr>
              <w:t>(Rattalino, 2017)</w:t>
            </w:r>
            <w:r w:rsidRPr="00A04DD6">
              <w:rPr>
                <w:sz w:val="20"/>
                <w:lang w:val="en-GB"/>
              </w:rPr>
              <w:fldChar w:fldCharType="end"/>
            </w:r>
          </w:p>
          <w:p w14:paraId="1208BE72" w14:textId="28117FF9" w:rsidR="005E0E7F" w:rsidRPr="00746DB3" w:rsidRDefault="005E0E7F" w:rsidP="00D62E44">
            <w:pPr>
              <w:rPr>
                <w:sz w:val="20"/>
              </w:rPr>
            </w:pPr>
            <w:r w:rsidRPr="00A04DD6">
              <w:rPr>
                <w:sz w:val="20"/>
                <w:lang w:val="en-GB"/>
              </w:rPr>
              <w:fldChar w:fldCharType="begin" w:fldLock="1"/>
            </w:r>
            <w:r w:rsidR="003445CC">
              <w:rPr>
                <w:sz w:val="20"/>
              </w:rPr>
              <w:instrText>ADDIN CSL_CITATION {"citationItems":[{"id":"ITEM-1","itemData":{"author":[{"dropping-particle":"","family":"Sahu","given":"B.B.","non-dropping-particle":"","parse-names":false,"suffix":""},{"dropping-particle":"","family":"Barik","given":"N.K.","non-dropping-particle":"","parse-names":false,"suffix":""},{"dropping-particle":"","family":"Paikaray","given":"A.","non-dropping-particle":"","parse-names":false,"suffix":""},{"dropping-particle":"","family":"Agnibesh","given":"A.","non-dropping-particle":"","parse-names":false,"suffix":""},{"dropping-particle":"","family":"Mohapatra","given":"S.","non-dropping-particle":"","parse-names":false,"suffix":""},{"dropping-particle":"","family":"Jayasankar","given":"P.","non-dropping-particle":"","parse-names":false,"suffix":""}],"container-title":"International Journal of Environment, Agriculture and Biotechnology","id":"ITEM-1","issue":"4","issued":{"date-parts":[["2016"]]},"page":"837-843","title":"Fish Waste Bio-Refinery Products : Its application in Organic Farming","type":"article-journal","volume":"1"},"uris":["http://www.mendeley.com/documents/?uuid=627a9137-b272-4366-a0e8-bc8e19096e45","http://www.mendeley.com/documents/?uuid=2dff44f5-61de-4017-bde2-0ef57393dcf5"]}],"mendeley":{"formattedCitation":"(Sahu et al., 2016)","plainTextFormattedCitation":"(Sahu et al., 2016)","previouslyFormattedCitation":"(Sahu et al., 2016)"},"properties":{"noteIndex":0},"schema":"https://github.com/citation-style-language/schema/raw/master/csl-citation.json"}</w:instrText>
            </w:r>
            <w:r w:rsidRPr="00A04DD6">
              <w:rPr>
                <w:sz w:val="20"/>
                <w:lang w:val="en-GB"/>
              </w:rPr>
              <w:fldChar w:fldCharType="separate"/>
            </w:r>
            <w:r w:rsidRPr="00746DB3">
              <w:rPr>
                <w:noProof/>
                <w:sz w:val="20"/>
              </w:rPr>
              <w:t>(Sahu et al., 2016)</w:t>
            </w:r>
            <w:r w:rsidRPr="00A04DD6">
              <w:rPr>
                <w:sz w:val="20"/>
                <w:lang w:val="en-GB"/>
              </w:rPr>
              <w:fldChar w:fldCharType="end"/>
            </w:r>
          </w:p>
          <w:p w14:paraId="747ECC6A" w14:textId="1CDF167D" w:rsidR="005E0E7F" w:rsidRPr="00A04DD6" w:rsidRDefault="005E0E7F" w:rsidP="00D62E44">
            <w:pPr>
              <w:rPr>
                <w:sz w:val="20"/>
                <w:lang w:val="en-GB"/>
              </w:rPr>
            </w:pPr>
            <w:r w:rsidRPr="00A04DD6">
              <w:rPr>
                <w:sz w:val="20"/>
                <w:lang w:val="en-GB"/>
              </w:rPr>
              <w:fldChar w:fldCharType="begin" w:fldLock="1"/>
            </w:r>
            <w:r w:rsidR="003445CC">
              <w:rPr>
                <w:sz w:val="20"/>
                <w:lang w:val="en-GB"/>
              </w:rPr>
              <w:instrText>ADDIN CSL_CITATION {"citationItems":[{"id":"ITEM-1","itemData":{"DOI":"10.1016/j.jclepro.2016.05.018","ISBN":"0959-6526","ISSN":"09596526","abstract":"Excessive industrialization is creating enormous economic gaps, chaos and unequal societies that are approaching dangerous limits. Simultaneously, large quantities of residues, waste and ecological footprints have been created in detriment to the natural environment and the quality of life of most of the planet's population, mainly in developing regions. This presents most innovators with a new dilemma: Invest in sustainable long-Term projects with low economic returns, or innovate in short-Term incremental production and negotiate the environmental harm caused by an excessive industrialization. In fact, a significant milestone emerges from these arguments. Somehow, we must reverse the perverse cycle created by industrialization and transform the current ecological footprint into valuable assets, for all sub-systems of the biosphere. A proposal has been designed to go beyond sustainability and create sustainable wealth, based on the modification of the conventional growth paradigm, that can be used to regenerate regional natural resources and simultaneously be economically competitive and capable of offering important social benefits to the community. The proposed framework, SWIT (Sustainable Wealth creation based on Innovation and Technology) has been developed to provide multiple businesses of zero-value residue industrial ecology processes (ZRIES), inserted into circular value ecosystems (CVES), all managed and governed by a sustainable sharing value system for the benefit of a community. Several cases of the application of the sustainable wealth creation framework, mainly in developing countries, are described.","author":[{"dropping-particle":"","family":"Scheel","given":"Carlos","non-dropping-particle":"","parse-names":false,"suffix":""}],"container-title":"Journal of Cleaner Production","id":"ITEM-1","issued":{"date-parts":[["2016"]]},"page":"376-386","publisher":"Elsevier Ltd","title":"Beyond sustainability. Transforming industrial zero-valued residues into increasing economic returns","type":"article-journal","volume":"131"},"uris":["http://www.mendeley.com/documents/?uuid=49e6adf2-7120-4abd-a556-34e147482589"]}],"mendeley":{"formattedCitation":"(Scheel, 2016)","plainTextFormattedCitation":"(Scheel, 2016)","previouslyFormattedCitation":"(Scheel, 2016)"},"properties":{"noteIndex":0},"schema":"https://github.com/citation-style-language/schema/raw/master/csl-citation.json"}</w:instrText>
            </w:r>
            <w:r w:rsidRPr="00A04DD6">
              <w:rPr>
                <w:sz w:val="20"/>
                <w:lang w:val="en-GB"/>
              </w:rPr>
              <w:fldChar w:fldCharType="separate"/>
            </w:r>
            <w:r w:rsidRPr="00A04DD6">
              <w:rPr>
                <w:noProof/>
                <w:sz w:val="20"/>
                <w:lang w:val="en-GB"/>
              </w:rPr>
              <w:t>(Scheel, 2016)</w:t>
            </w:r>
            <w:r w:rsidRPr="00A04DD6">
              <w:rPr>
                <w:sz w:val="20"/>
                <w:lang w:val="en-GB"/>
              </w:rPr>
              <w:fldChar w:fldCharType="end"/>
            </w:r>
          </w:p>
          <w:p w14:paraId="3F74F6C5" w14:textId="77777777" w:rsidR="005E0E7F" w:rsidRPr="00A04DD6" w:rsidRDefault="005E0E7F" w:rsidP="00D62E44">
            <w:pPr>
              <w:rPr>
                <w:sz w:val="20"/>
                <w:lang w:val="en-GB"/>
              </w:rPr>
            </w:pPr>
            <w:r w:rsidRPr="00A04DD6">
              <w:rPr>
                <w:sz w:val="20"/>
                <w:lang w:val="en-GB"/>
              </w:rPr>
              <w:fldChar w:fldCharType="begin" w:fldLock="1"/>
            </w:r>
            <w:r w:rsidRPr="00A04DD6">
              <w:rPr>
                <w:sz w:val="20"/>
                <w:lang w:val="en-GB"/>
              </w:rPr>
              <w:instrText>ADDIN CSL_CITATION {"citationItems":[{"id":"ITEM-1","itemData":{"DOI":"10.1039/C6GC90040B","ISBN":"10.1039/C6GC90040B","ISSN":"1463-9262","abstract":"A graphical abstract is available for this content","author":[{"dropping-particle":"","family":"Sheldon","given":"Roger A.","non-dropping-particle":"","parse-names":false,"suffix":""}],"container-title":"Green Chemistry","id":"ITEM-1","issue":"11","issued":{"date-parts":[["2016"]]},"page":"3180-3183","publisher":"Royal Society of Chemistry","title":"Green chemistry and resource efficiency: towards a green economy","type":"article-journal","volume":"18"},"uris":["http://www.mendeley.com/documents/?uuid=ac12dbdd-5c0a-4e70-8473-281a7e2d9116","http://www.mendeley.com/documents/?uuid=9e873505-61a3-4399-9a86-38015e450378"]}],"mendeley":{"formattedCitation":"(Sheldon, 2016)","plainTextFormattedCitation":"(Sheldon, 2016)","previouslyFormattedCitation":"(Sheldon, 2016)"},"properties":{"noteIndex":0},"schema":"https://github.com/citation-style-language/schema/raw/master/csl-citation.json"}</w:instrText>
            </w:r>
            <w:r w:rsidRPr="00A04DD6">
              <w:rPr>
                <w:sz w:val="20"/>
                <w:lang w:val="en-GB"/>
              </w:rPr>
              <w:fldChar w:fldCharType="separate"/>
            </w:r>
            <w:r w:rsidRPr="00A04DD6">
              <w:rPr>
                <w:noProof/>
                <w:sz w:val="20"/>
                <w:lang w:val="en-GB"/>
              </w:rPr>
              <w:t>(Sheldon, 2016)</w:t>
            </w:r>
            <w:r w:rsidRPr="00A04DD6">
              <w:rPr>
                <w:sz w:val="20"/>
                <w:lang w:val="en-GB"/>
              </w:rPr>
              <w:fldChar w:fldCharType="end"/>
            </w:r>
          </w:p>
          <w:p w14:paraId="052BAB94" w14:textId="77777777" w:rsidR="005E0E7F" w:rsidRPr="00A04DD6" w:rsidRDefault="005E0E7F" w:rsidP="00D62E44">
            <w:pPr>
              <w:rPr>
                <w:sz w:val="20"/>
                <w:lang w:val="en-GB"/>
              </w:rPr>
            </w:pPr>
            <w:r w:rsidRPr="00A04DD6">
              <w:rPr>
                <w:sz w:val="20"/>
                <w:lang w:val="en-GB"/>
              </w:rPr>
              <w:fldChar w:fldCharType="begin" w:fldLock="1"/>
            </w:r>
            <w:r w:rsidRPr="00A04DD6">
              <w:rPr>
                <w:sz w:val="20"/>
                <w:lang w:val="en-GB"/>
              </w:rPr>
              <w:instrText>ADDIN CSL_CITATION {"citationItems":[{"id":"ITEM-1","itemData":{"DOI":"10.1016/j.jclepro.2015.02.051","ISBN":"09596526","ISSN":"09596526","abstract":"The construction industry already recognises the strong business case for improving resource productivity. It is associated with circular economy system (CE), propagated by the European Union. Circular economy systems keep the added value in products for as long as possible and virtually eliminate waste. Transition to a more circular economy requires changes throughout value chains, from product design to new business and market models, from new ways of turning waste into a resource to new modes of consumer behaviour. These actions relate to all industries, including the construction industry. Nowdays, the increase in demand for construction materials as a result of development has called for an alternative way to develop or derive construction materials from different sources, including sewage sludge ash (SSA). SSA is produced after the firing process of sewage sludge, and it must be disposed by other means. Researches were already accomplished investigating the use of sewage sludge ash for the building materials manufacturing, such as produce bricks and tiles, as a raw materials for cement production, as aggregates for concrete and mortar, as a component of the synthesis of lightweight materials and as substitute for sand and/or cement in cement stabilized bases, subbases and embankments in road constuctions. A detailed description of each application as a way towards a circular economy is presented in this paper.","author":[{"dropping-particle":"","family":"Smol","given":"Marzena","non-dropping-particle":"","parse-names":false,"suffix":""},{"dropping-particle":"","family":"Kulczycka","given":"Joanna","non-dropping-particle":"","parse-names":false,"suffix":""},{"dropping-particle":"","family":"Henclik","given":"Anna","non-dropping-particle":"","parse-names":false,"suffix":""},{"dropping-particle":"","family":"Gorazda","given":"Katarzyna","non-dropping-particle":"","parse-names":false,"suffix":""},{"dropping-particle":"","family":"Wzorek","given":"Zbigniew","non-dropping-particle":"","parse-names":false,"suffix":""}],"container-title":"Journal of Cleaner Production","id":"ITEM-1","issued":{"date-parts":[["2015"]]},"page":"45-54","publisher":"Elsevier Ltd","title":"The possible use of sewage sludge ash (SSA) in the construction industry as a way towards a circular economy","type":"article-journal","volume":"95"},"uris":["http://www.mendeley.com/documents/?uuid=1e9a091f-1c10-4963-a1e0-1a24e4714991","http://www.mendeley.com/documents/?uuid=64253c1f-aea1-44db-aea8-4633a02b9d4a"]}],"mendeley":{"formattedCitation":"(Smol et al., 2015)","plainTextFormattedCitation":"(Smol et al., 2015)","previouslyFormattedCitation":"(Smol et al., 2015)"},"properties":{"noteIndex":0},"schema":"https://github.com/citation-style-language/schema/raw/master/csl-citation.json"}</w:instrText>
            </w:r>
            <w:r w:rsidRPr="00A04DD6">
              <w:rPr>
                <w:sz w:val="20"/>
                <w:lang w:val="en-GB"/>
              </w:rPr>
              <w:fldChar w:fldCharType="separate"/>
            </w:r>
            <w:r w:rsidRPr="00A04DD6">
              <w:rPr>
                <w:noProof/>
                <w:sz w:val="20"/>
                <w:lang w:val="en-GB"/>
              </w:rPr>
              <w:t>(Smol et al., 2015)</w:t>
            </w:r>
            <w:r w:rsidRPr="00A04DD6">
              <w:rPr>
                <w:sz w:val="20"/>
                <w:lang w:val="en-GB"/>
              </w:rPr>
              <w:fldChar w:fldCharType="end"/>
            </w:r>
          </w:p>
          <w:p w14:paraId="7761EF3B" w14:textId="77777777" w:rsidR="005E0E7F" w:rsidRPr="00A04DD6" w:rsidRDefault="005E0E7F" w:rsidP="00D62E44">
            <w:pPr>
              <w:rPr>
                <w:sz w:val="20"/>
                <w:lang w:val="en-GB"/>
              </w:rPr>
            </w:pPr>
            <w:r w:rsidRPr="00A04DD6">
              <w:rPr>
                <w:sz w:val="20"/>
                <w:lang w:val="en-GB"/>
              </w:rPr>
              <w:fldChar w:fldCharType="begin" w:fldLock="1"/>
            </w:r>
            <w:r w:rsidRPr="00A04DD6">
              <w:rPr>
                <w:sz w:val="20"/>
                <w:lang w:val="en-GB"/>
              </w:rPr>
              <w:instrText>ADDIN CSL_CITATION {"citationItems":[{"id":"ITEM-1","itemData":{"DOI":"10.1080/14606925.2017.1352685","ISSN":"1460-6925","author":[{"dropping-particle":"","family":"Virtanen","given":"Maarit","non-dropping-particle":"","parse-names":false,"suffix":""},{"dropping-particle":"","family":"Manskinen","given":"Kati","non-dropping-particle":"","parse-names":false,"suffix":""},{"dropping-particle":"","family":"Eerola","given":"Sauli","non-dropping-particle":"","parse-names":false,"suffix":""}],"container-title":"The Design Journal","id":"ITEM-1","issue":"sup1","issued":{"date-parts":[["2017"]]},"page":"S1611-S1619","publisher":"Routledge","title":"Circular Material Library. An Innovative Tool to Design Circular Economy","type":"article-journal","volume":"20"},"uris":["http://www.mendeley.com/documents/?uuid=ec8f4427-bbd2-48ed-8d57-c7e954e76f38","http://www.mendeley.com/documents/?uuid=60d6e30d-81af-41dd-a66c-8f82dbbf2ccb"]}],"mendeley":{"formattedCitation":"(Virtanen et al., 2017)","plainTextFormattedCitation":"(Virtanen et al., 2017)","previouslyFormattedCitation":"(Virtanen et al., 2017)"},"properties":{"noteIndex":0},"schema":"https://github.com/citation-style-language/schema/raw/master/csl-citation.json"}</w:instrText>
            </w:r>
            <w:r w:rsidRPr="00A04DD6">
              <w:rPr>
                <w:sz w:val="20"/>
                <w:lang w:val="en-GB"/>
              </w:rPr>
              <w:fldChar w:fldCharType="separate"/>
            </w:r>
            <w:r w:rsidRPr="00A04DD6">
              <w:rPr>
                <w:noProof/>
                <w:sz w:val="20"/>
                <w:lang w:val="en-GB"/>
              </w:rPr>
              <w:t>(Virtanen et al., 2017)</w:t>
            </w:r>
            <w:r w:rsidRPr="00A04DD6">
              <w:rPr>
                <w:sz w:val="20"/>
                <w:lang w:val="en-GB"/>
              </w:rPr>
              <w:fldChar w:fldCharType="end"/>
            </w:r>
          </w:p>
          <w:p w14:paraId="0323998E" w14:textId="541D964E" w:rsidR="005E0E7F" w:rsidRPr="00A04DD6" w:rsidRDefault="005E0E7F" w:rsidP="00D62E44">
            <w:pPr>
              <w:rPr>
                <w:sz w:val="20"/>
                <w:lang w:val="en-GB"/>
              </w:rPr>
            </w:pPr>
            <w:r w:rsidRPr="00A04DD6">
              <w:rPr>
                <w:sz w:val="20"/>
                <w:lang w:val="en-GB"/>
              </w:rPr>
              <w:fldChar w:fldCharType="begin" w:fldLock="1"/>
            </w:r>
            <w:r w:rsidR="003445CC">
              <w:rPr>
                <w:sz w:val="20"/>
                <w:lang w:val="en-GB"/>
              </w:rPr>
              <w:instrText>ADDIN CSL_CITATION {"citationItems":[{"id":"ITEM-1","itemData":{"author":[{"dropping-particle":"","family":"Yazan","given":"Devrim Murat","non-dropping-particle":"","parse-names":false,"suffix":""},{"dropping-particle":"","family":"Cafagna","given":"D.","non-dropping-particle":"","parse-names":false,"suffix":""},{"dropping-particle":"","family":"Mes","given":"M.","non-dropping-particle":"","parse-names":false,"suffix":""},{"dropping-particle":"","family":"Fraccascia","given":"Luca","non-dropping-particle":"","parse-names":false,"suffix":""},{"dropping-particle":"","family":"Pontrandolfo","given":"P.","non-dropping-particle":"","parse-names":false,"suffix":""},{"dropping-particle":"","family":"Zijm","given":"H.","non-dropping-particle":"","parse-names":false,"suffix":""}],"container-title":"4th GIN Conference 2015","id":"ITEM-1","issued":{"date-parts":[["2015"]]},"page":"1-24","title":"Economic sustainability of biogas production from animal manure: A regional circular economy model","type":"paper-conference"},"uris":["http://www.mendeley.com/documents/?uuid=6d313a50-5228-4ea1-8eb9-0b6d9bc5f24d"]}],"mendeley":{"formattedCitation":"(Yazan et al., 2015)","plainTextFormattedCitation":"(Yazan et al., 2015)","previouslyFormattedCitation":"(Yazan et al., 2015)"},"properties":{"noteIndex":0},"schema":"https://github.com/citation-style-language/schema/raw/master/csl-citation.json"}</w:instrText>
            </w:r>
            <w:r w:rsidRPr="00A04DD6">
              <w:rPr>
                <w:sz w:val="20"/>
                <w:lang w:val="en-GB"/>
              </w:rPr>
              <w:fldChar w:fldCharType="separate"/>
            </w:r>
            <w:r w:rsidRPr="00A04DD6">
              <w:rPr>
                <w:noProof/>
                <w:sz w:val="20"/>
                <w:lang w:val="en-GB"/>
              </w:rPr>
              <w:t>(Yazan et al., 2015)</w:t>
            </w:r>
            <w:r w:rsidRPr="00A04DD6">
              <w:rPr>
                <w:sz w:val="20"/>
                <w:lang w:val="en-GB"/>
              </w:rPr>
              <w:fldChar w:fldCharType="end"/>
            </w:r>
            <w:r w:rsidRPr="00A04DD6">
              <w:rPr>
                <w:sz w:val="20"/>
                <w:lang w:val="en-GB"/>
              </w:rPr>
              <w:t xml:space="preserve"> </w:t>
            </w:r>
          </w:p>
        </w:tc>
        <w:tc>
          <w:tcPr>
            <w:tcW w:w="1764" w:type="pct"/>
          </w:tcPr>
          <w:p w14:paraId="07C69E74" w14:textId="77777777" w:rsidR="005E0E7F" w:rsidRPr="00A04DD6" w:rsidRDefault="005E0E7F" w:rsidP="00D62E44">
            <w:pPr>
              <w:jc w:val="center"/>
              <w:rPr>
                <w:sz w:val="20"/>
                <w:lang w:val="en-GB"/>
              </w:rPr>
            </w:pPr>
          </w:p>
          <w:p w14:paraId="69B96EA7" w14:textId="77777777" w:rsidR="005E0E7F" w:rsidRPr="00A04DD6" w:rsidRDefault="005E0E7F" w:rsidP="00D62E44">
            <w:pPr>
              <w:jc w:val="center"/>
              <w:rPr>
                <w:sz w:val="20"/>
                <w:lang w:val="en-GB"/>
              </w:rPr>
            </w:pPr>
          </w:p>
          <w:p w14:paraId="09D6FB71" w14:textId="77777777" w:rsidR="005E0E7F" w:rsidRPr="00A04DD6" w:rsidRDefault="005E0E7F" w:rsidP="00D62E44">
            <w:pPr>
              <w:jc w:val="center"/>
              <w:rPr>
                <w:sz w:val="20"/>
                <w:lang w:val="en-GB"/>
              </w:rPr>
            </w:pPr>
          </w:p>
          <w:p w14:paraId="1778CF22" w14:textId="77777777" w:rsidR="005E0E7F" w:rsidRPr="00A04DD6" w:rsidRDefault="005E0E7F" w:rsidP="00D62E44">
            <w:pPr>
              <w:jc w:val="center"/>
              <w:rPr>
                <w:sz w:val="20"/>
                <w:lang w:val="en-GB"/>
              </w:rPr>
            </w:pPr>
          </w:p>
          <w:p w14:paraId="10AEFDDB" w14:textId="77777777" w:rsidR="005E0E7F" w:rsidRPr="00A04DD6" w:rsidRDefault="005E0E7F" w:rsidP="00D62E44">
            <w:pPr>
              <w:jc w:val="center"/>
              <w:rPr>
                <w:sz w:val="20"/>
                <w:lang w:val="en-GB"/>
              </w:rPr>
            </w:pPr>
          </w:p>
          <w:p w14:paraId="244D7E5F" w14:textId="507A55C1" w:rsidR="005E0E7F" w:rsidRPr="00A04DD6" w:rsidRDefault="00377A50" w:rsidP="00D62E44">
            <w:pPr>
              <w:jc w:val="center"/>
              <w:rPr>
                <w:sz w:val="20"/>
                <w:lang w:val="en-GB"/>
              </w:rPr>
            </w:pPr>
            <w:r w:rsidRPr="00A04DD6">
              <w:rPr>
                <w:sz w:val="20"/>
                <w:lang w:val="en-GB"/>
              </w:rPr>
              <w:t>x</w:t>
            </w:r>
          </w:p>
          <w:p w14:paraId="4BF5C4BF" w14:textId="77777777" w:rsidR="005E0E7F" w:rsidRPr="00A04DD6" w:rsidRDefault="005E0E7F" w:rsidP="00D62E44">
            <w:pPr>
              <w:jc w:val="center"/>
              <w:rPr>
                <w:sz w:val="20"/>
                <w:lang w:val="en-GB"/>
              </w:rPr>
            </w:pPr>
          </w:p>
          <w:p w14:paraId="2E89C31B" w14:textId="19D10026" w:rsidR="005E0E7F" w:rsidRPr="00A04DD6" w:rsidRDefault="00377A50" w:rsidP="00D62E44">
            <w:pPr>
              <w:jc w:val="center"/>
              <w:rPr>
                <w:sz w:val="20"/>
                <w:lang w:val="en-GB"/>
              </w:rPr>
            </w:pPr>
            <w:r w:rsidRPr="00A04DD6">
              <w:rPr>
                <w:sz w:val="20"/>
                <w:lang w:val="en-GB"/>
              </w:rPr>
              <w:t>x</w:t>
            </w:r>
          </w:p>
          <w:p w14:paraId="760EB5FA" w14:textId="77777777" w:rsidR="005E0E7F" w:rsidRPr="00A04DD6" w:rsidRDefault="005E0E7F" w:rsidP="00D62E44">
            <w:pPr>
              <w:jc w:val="center"/>
              <w:rPr>
                <w:sz w:val="20"/>
                <w:lang w:val="en-GB"/>
              </w:rPr>
            </w:pPr>
          </w:p>
          <w:p w14:paraId="2D68297D" w14:textId="41165614" w:rsidR="005E0E7F" w:rsidRPr="00A04DD6" w:rsidRDefault="00377A50" w:rsidP="00D62E44">
            <w:pPr>
              <w:jc w:val="center"/>
              <w:rPr>
                <w:sz w:val="20"/>
                <w:lang w:val="en-GB"/>
              </w:rPr>
            </w:pPr>
            <w:r w:rsidRPr="00A04DD6">
              <w:rPr>
                <w:sz w:val="20"/>
                <w:lang w:val="en-GB"/>
              </w:rPr>
              <w:t>x</w:t>
            </w:r>
          </w:p>
          <w:p w14:paraId="100C6905" w14:textId="0D6E47C3" w:rsidR="005E0E7F" w:rsidRPr="00A04DD6" w:rsidRDefault="00377A50" w:rsidP="00D62E44">
            <w:pPr>
              <w:jc w:val="center"/>
              <w:rPr>
                <w:sz w:val="20"/>
                <w:lang w:val="en-GB"/>
              </w:rPr>
            </w:pPr>
            <w:r w:rsidRPr="00A04DD6">
              <w:rPr>
                <w:sz w:val="20"/>
                <w:lang w:val="en-GB"/>
              </w:rPr>
              <w:t>x</w:t>
            </w:r>
          </w:p>
          <w:p w14:paraId="472598AB" w14:textId="77777777" w:rsidR="005E0E7F" w:rsidRPr="00A04DD6" w:rsidRDefault="005E0E7F" w:rsidP="00D62E44">
            <w:pPr>
              <w:jc w:val="center"/>
              <w:rPr>
                <w:sz w:val="20"/>
                <w:lang w:val="en-GB"/>
              </w:rPr>
            </w:pPr>
          </w:p>
          <w:p w14:paraId="085EA646" w14:textId="1FBE82B9" w:rsidR="005E0E7F" w:rsidRPr="00A04DD6" w:rsidRDefault="00377A50" w:rsidP="00D62E44">
            <w:pPr>
              <w:jc w:val="center"/>
              <w:rPr>
                <w:sz w:val="20"/>
                <w:lang w:val="en-GB"/>
              </w:rPr>
            </w:pPr>
            <w:r w:rsidRPr="00A04DD6">
              <w:rPr>
                <w:sz w:val="20"/>
                <w:lang w:val="en-GB"/>
              </w:rPr>
              <w:t>x</w:t>
            </w:r>
          </w:p>
          <w:p w14:paraId="321D9037" w14:textId="77777777" w:rsidR="005E0E7F" w:rsidRPr="00A04DD6" w:rsidRDefault="005E0E7F" w:rsidP="00D62E44">
            <w:pPr>
              <w:jc w:val="center"/>
              <w:rPr>
                <w:sz w:val="20"/>
                <w:lang w:val="en-GB"/>
              </w:rPr>
            </w:pPr>
          </w:p>
          <w:p w14:paraId="33325E14" w14:textId="77777777" w:rsidR="005E0E7F" w:rsidRPr="00A04DD6" w:rsidRDefault="005E0E7F" w:rsidP="00D62E44">
            <w:pPr>
              <w:jc w:val="center"/>
              <w:rPr>
                <w:sz w:val="20"/>
                <w:lang w:val="en-GB"/>
              </w:rPr>
            </w:pPr>
          </w:p>
          <w:p w14:paraId="2E5005C6" w14:textId="77777777" w:rsidR="005E0E7F" w:rsidRPr="00A04DD6" w:rsidRDefault="005E0E7F" w:rsidP="00D62E44">
            <w:pPr>
              <w:jc w:val="center"/>
              <w:rPr>
                <w:sz w:val="20"/>
                <w:lang w:val="en-GB"/>
              </w:rPr>
            </w:pPr>
          </w:p>
          <w:p w14:paraId="4EFA54F8" w14:textId="0C0CFAFD" w:rsidR="005E0E7F" w:rsidRPr="00A04DD6" w:rsidRDefault="00377A50" w:rsidP="00D62E44">
            <w:pPr>
              <w:jc w:val="center"/>
              <w:rPr>
                <w:sz w:val="20"/>
                <w:lang w:val="en-GB"/>
              </w:rPr>
            </w:pPr>
            <w:r w:rsidRPr="00A04DD6">
              <w:rPr>
                <w:sz w:val="20"/>
                <w:lang w:val="en-GB"/>
              </w:rPr>
              <w:t>x</w:t>
            </w:r>
          </w:p>
          <w:p w14:paraId="749A9857" w14:textId="77777777" w:rsidR="005E0E7F" w:rsidRPr="00A04DD6" w:rsidRDefault="005E0E7F" w:rsidP="00D62E44">
            <w:pPr>
              <w:jc w:val="center"/>
              <w:rPr>
                <w:sz w:val="20"/>
                <w:lang w:val="en-GB"/>
              </w:rPr>
            </w:pPr>
          </w:p>
          <w:p w14:paraId="69D3312C" w14:textId="77777777" w:rsidR="005E0E7F" w:rsidRPr="00A04DD6" w:rsidRDefault="005E0E7F" w:rsidP="00D62E44">
            <w:pPr>
              <w:jc w:val="center"/>
              <w:rPr>
                <w:sz w:val="20"/>
                <w:lang w:val="en-GB"/>
              </w:rPr>
            </w:pPr>
          </w:p>
          <w:p w14:paraId="661250A8" w14:textId="0FB48478" w:rsidR="005E0E7F" w:rsidRPr="00A04DD6" w:rsidRDefault="00377A50" w:rsidP="00D62E44">
            <w:pPr>
              <w:jc w:val="center"/>
              <w:rPr>
                <w:sz w:val="20"/>
                <w:lang w:val="en-GB"/>
              </w:rPr>
            </w:pPr>
            <w:r w:rsidRPr="00A04DD6">
              <w:rPr>
                <w:sz w:val="20"/>
                <w:lang w:val="en-GB"/>
              </w:rPr>
              <w:t>x</w:t>
            </w:r>
          </w:p>
        </w:tc>
        <w:tc>
          <w:tcPr>
            <w:tcW w:w="1765" w:type="pct"/>
          </w:tcPr>
          <w:p w14:paraId="67AD178B" w14:textId="1A3EF120" w:rsidR="005E0E7F" w:rsidRPr="00A04DD6" w:rsidRDefault="00377A50" w:rsidP="00D62E44">
            <w:pPr>
              <w:jc w:val="center"/>
              <w:rPr>
                <w:sz w:val="20"/>
                <w:lang w:val="en-GB"/>
              </w:rPr>
            </w:pPr>
            <w:r w:rsidRPr="00A04DD6">
              <w:rPr>
                <w:sz w:val="20"/>
                <w:lang w:val="en-GB"/>
              </w:rPr>
              <w:t>x</w:t>
            </w:r>
          </w:p>
          <w:p w14:paraId="766D1984" w14:textId="6F1EEAC4" w:rsidR="005E0E7F" w:rsidRPr="00A04DD6" w:rsidRDefault="00377A50" w:rsidP="00D62E44">
            <w:pPr>
              <w:jc w:val="center"/>
              <w:rPr>
                <w:sz w:val="20"/>
                <w:lang w:val="en-GB"/>
              </w:rPr>
            </w:pPr>
            <w:r w:rsidRPr="00A04DD6">
              <w:rPr>
                <w:sz w:val="20"/>
                <w:lang w:val="en-GB"/>
              </w:rPr>
              <w:t>x</w:t>
            </w:r>
          </w:p>
          <w:p w14:paraId="5278DDFB" w14:textId="68A0472F" w:rsidR="005E0E7F" w:rsidRPr="00A04DD6" w:rsidRDefault="00377A50" w:rsidP="00D62E44">
            <w:pPr>
              <w:jc w:val="center"/>
              <w:rPr>
                <w:sz w:val="20"/>
                <w:lang w:val="en-GB"/>
              </w:rPr>
            </w:pPr>
            <w:r w:rsidRPr="00A04DD6">
              <w:rPr>
                <w:sz w:val="20"/>
                <w:lang w:val="en-GB"/>
              </w:rPr>
              <w:t>x</w:t>
            </w:r>
          </w:p>
          <w:p w14:paraId="01E8B7EF" w14:textId="5E07D62E" w:rsidR="005E0E7F" w:rsidRPr="00A04DD6" w:rsidRDefault="00377A50" w:rsidP="00D62E44">
            <w:pPr>
              <w:jc w:val="center"/>
              <w:rPr>
                <w:sz w:val="20"/>
                <w:lang w:val="en-GB"/>
              </w:rPr>
            </w:pPr>
            <w:r w:rsidRPr="00A04DD6">
              <w:rPr>
                <w:sz w:val="20"/>
                <w:lang w:val="en-GB"/>
              </w:rPr>
              <w:t>x</w:t>
            </w:r>
          </w:p>
          <w:p w14:paraId="57E505D1" w14:textId="280E4EBB" w:rsidR="005E0E7F" w:rsidRPr="00A04DD6" w:rsidRDefault="00377A50" w:rsidP="00D62E44">
            <w:pPr>
              <w:jc w:val="center"/>
              <w:rPr>
                <w:sz w:val="20"/>
                <w:lang w:val="en-GB"/>
              </w:rPr>
            </w:pPr>
            <w:r w:rsidRPr="00A04DD6">
              <w:rPr>
                <w:sz w:val="20"/>
                <w:lang w:val="en-GB"/>
              </w:rPr>
              <w:t>x</w:t>
            </w:r>
          </w:p>
          <w:p w14:paraId="081D1366" w14:textId="3C6ADB92" w:rsidR="005E0E7F" w:rsidRPr="00A04DD6" w:rsidRDefault="00377A50" w:rsidP="00D62E44">
            <w:pPr>
              <w:jc w:val="center"/>
              <w:rPr>
                <w:sz w:val="20"/>
                <w:lang w:val="en-GB"/>
              </w:rPr>
            </w:pPr>
            <w:r w:rsidRPr="00A04DD6">
              <w:rPr>
                <w:sz w:val="20"/>
                <w:lang w:val="en-GB"/>
              </w:rPr>
              <w:t>x</w:t>
            </w:r>
          </w:p>
          <w:p w14:paraId="5E7DECD2" w14:textId="5747CB0C" w:rsidR="005E0E7F" w:rsidRPr="00A04DD6" w:rsidRDefault="00377A50" w:rsidP="00D62E44">
            <w:pPr>
              <w:jc w:val="center"/>
              <w:rPr>
                <w:sz w:val="20"/>
                <w:lang w:val="en-GB"/>
              </w:rPr>
            </w:pPr>
            <w:r w:rsidRPr="00A04DD6">
              <w:rPr>
                <w:sz w:val="20"/>
                <w:lang w:val="en-GB"/>
              </w:rPr>
              <w:t>x</w:t>
            </w:r>
          </w:p>
          <w:p w14:paraId="1FF31A0B" w14:textId="77777777" w:rsidR="005E0E7F" w:rsidRPr="00A04DD6" w:rsidRDefault="005E0E7F" w:rsidP="00D62E44">
            <w:pPr>
              <w:jc w:val="center"/>
              <w:rPr>
                <w:sz w:val="20"/>
                <w:lang w:val="en-GB"/>
              </w:rPr>
            </w:pPr>
          </w:p>
          <w:p w14:paraId="4C3AE519" w14:textId="1A679A45" w:rsidR="005E0E7F" w:rsidRPr="00A04DD6" w:rsidRDefault="00377A50" w:rsidP="00D62E44">
            <w:pPr>
              <w:jc w:val="center"/>
              <w:rPr>
                <w:sz w:val="20"/>
                <w:lang w:val="en-GB"/>
              </w:rPr>
            </w:pPr>
            <w:r w:rsidRPr="00A04DD6">
              <w:rPr>
                <w:sz w:val="20"/>
                <w:lang w:val="en-GB"/>
              </w:rPr>
              <w:t>x</w:t>
            </w:r>
          </w:p>
          <w:p w14:paraId="0A73C667" w14:textId="77777777" w:rsidR="005E0E7F" w:rsidRPr="00A04DD6" w:rsidRDefault="005E0E7F" w:rsidP="00D62E44">
            <w:pPr>
              <w:jc w:val="center"/>
              <w:rPr>
                <w:sz w:val="20"/>
                <w:lang w:val="en-GB"/>
              </w:rPr>
            </w:pPr>
          </w:p>
          <w:p w14:paraId="168F1A7D" w14:textId="7D76219C" w:rsidR="005E0E7F" w:rsidRPr="00A04DD6" w:rsidRDefault="00377A50" w:rsidP="00D62E44">
            <w:pPr>
              <w:jc w:val="center"/>
              <w:rPr>
                <w:sz w:val="20"/>
                <w:lang w:val="en-GB"/>
              </w:rPr>
            </w:pPr>
            <w:r w:rsidRPr="00A04DD6">
              <w:rPr>
                <w:sz w:val="20"/>
                <w:lang w:val="en-GB"/>
              </w:rPr>
              <w:t>x</w:t>
            </w:r>
          </w:p>
          <w:p w14:paraId="0AF7E250" w14:textId="3620DC58" w:rsidR="005E0E7F" w:rsidRPr="00A04DD6" w:rsidRDefault="00377A50" w:rsidP="00D62E44">
            <w:pPr>
              <w:jc w:val="center"/>
              <w:rPr>
                <w:sz w:val="20"/>
                <w:lang w:val="en-GB"/>
              </w:rPr>
            </w:pPr>
            <w:r w:rsidRPr="00A04DD6">
              <w:rPr>
                <w:sz w:val="20"/>
                <w:lang w:val="en-GB"/>
              </w:rPr>
              <w:t>x</w:t>
            </w:r>
          </w:p>
          <w:p w14:paraId="62B1D3AD" w14:textId="77777777" w:rsidR="005E0E7F" w:rsidRPr="00A04DD6" w:rsidRDefault="005E0E7F" w:rsidP="00D62E44">
            <w:pPr>
              <w:jc w:val="center"/>
              <w:rPr>
                <w:sz w:val="20"/>
                <w:lang w:val="en-GB"/>
              </w:rPr>
            </w:pPr>
          </w:p>
          <w:p w14:paraId="5B129207" w14:textId="378EB39B" w:rsidR="005E0E7F" w:rsidRPr="00A04DD6" w:rsidRDefault="00377A50" w:rsidP="00D62E44">
            <w:pPr>
              <w:jc w:val="center"/>
              <w:rPr>
                <w:sz w:val="20"/>
                <w:lang w:val="en-GB"/>
              </w:rPr>
            </w:pPr>
            <w:r w:rsidRPr="00A04DD6">
              <w:rPr>
                <w:sz w:val="20"/>
                <w:lang w:val="en-GB"/>
              </w:rPr>
              <w:t>x</w:t>
            </w:r>
          </w:p>
          <w:p w14:paraId="7278EBE2" w14:textId="55241755" w:rsidR="005E0E7F" w:rsidRPr="00A04DD6" w:rsidRDefault="00377A50" w:rsidP="00D62E44">
            <w:pPr>
              <w:jc w:val="center"/>
              <w:rPr>
                <w:sz w:val="20"/>
                <w:lang w:val="en-GB"/>
              </w:rPr>
            </w:pPr>
            <w:r w:rsidRPr="00A04DD6">
              <w:rPr>
                <w:sz w:val="20"/>
                <w:lang w:val="en-GB"/>
              </w:rPr>
              <w:t>x</w:t>
            </w:r>
          </w:p>
          <w:p w14:paraId="23FE3909" w14:textId="6A84096C" w:rsidR="005E0E7F" w:rsidRPr="00A04DD6" w:rsidRDefault="00377A50" w:rsidP="00D62E44">
            <w:pPr>
              <w:jc w:val="center"/>
              <w:rPr>
                <w:sz w:val="20"/>
                <w:lang w:val="en-GB"/>
              </w:rPr>
            </w:pPr>
            <w:r w:rsidRPr="00A04DD6">
              <w:rPr>
                <w:sz w:val="20"/>
                <w:lang w:val="en-GB"/>
              </w:rPr>
              <w:t>x</w:t>
            </w:r>
          </w:p>
          <w:p w14:paraId="6ADED287" w14:textId="1B35D30E" w:rsidR="005E0E7F" w:rsidRPr="00A04DD6" w:rsidRDefault="00377A50" w:rsidP="00D62E44">
            <w:pPr>
              <w:jc w:val="center"/>
              <w:rPr>
                <w:sz w:val="20"/>
                <w:lang w:val="en-GB"/>
              </w:rPr>
            </w:pPr>
            <w:r w:rsidRPr="00A04DD6">
              <w:rPr>
                <w:sz w:val="20"/>
                <w:lang w:val="en-GB"/>
              </w:rPr>
              <w:t>x</w:t>
            </w:r>
          </w:p>
          <w:p w14:paraId="013F7118" w14:textId="29D6E159" w:rsidR="005E0E7F" w:rsidRPr="00A04DD6" w:rsidRDefault="00377A50" w:rsidP="00D62E44">
            <w:pPr>
              <w:jc w:val="center"/>
              <w:rPr>
                <w:sz w:val="20"/>
                <w:lang w:val="en-GB"/>
              </w:rPr>
            </w:pPr>
            <w:r w:rsidRPr="00A04DD6">
              <w:rPr>
                <w:sz w:val="20"/>
                <w:lang w:val="en-GB"/>
              </w:rPr>
              <w:t>x</w:t>
            </w:r>
          </w:p>
          <w:p w14:paraId="79E2567E" w14:textId="2FA22FAA" w:rsidR="005E0E7F" w:rsidRPr="00A04DD6" w:rsidRDefault="00377A50" w:rsidP="00D62E44">
            <w:pPr>
              <w:jc w:val="center"/>
              <w:rPr>
                <w:sz w:val="20"/>
                <w:lang w:val="en-GB"/>
              </w:rPr>
            </w:pPr>
            <w:r w:rsidRPr="00A04DD6">
              <w:rPr>
                <w:sz w:val="20"/>
                <w:lang w:val="en-GB"/>
              </w:rPr>
              <w:t>x</w:t>
            </w:r>
          </w:p>
          <w:p w14:paraId="7B1D297D" w14:textId="58CE36E5" w:rsidR="005E0E7F" w:rsidRPr="00A04DD6" w:rsidRDefault="00377A50" w:rsidP="00D62E44">
            <w:pPr>
              <w:jc w:val="center"/>
              <w:rPr>
                <w:sz w:val="20"/>
                <w:lang w:val="en-GB"/>
              </w:rPr>
            </w:pPr>
            <w:r w:rsidRPr="00A04DD6">
              <w:rPr>
                <w:sz w:val="20"/>
                <w:lang w:val="en-GB"/>
              </w:rPr>
              <w:t>x</w:t>
            </w:r>
          </w:p>
        </w:tc>
      </w:tr>
      <w:tr w:rsidR="005E0E7F" w:rsidRPr="00A04DD6" w14:paraId="5B88F756" w14:textId="77777777" w:rsidTr="00746DB3">
        <w:trPr>
          <w:jc w:val="center"/>
        </w:trPr>
        <w:tc>
          <w:tcPr>
            <w:tcW w:w="1471" w:type="pct"/>
          </w:tcPr>
          <w:p w14:paraId="747D6E6F" w14:textId="77777777" w:rsidR="005E0E7F" w:rsidRPr="00A04DD6" w:rsidRDefault="005E0E7F" w:rsidP="00D62E44">
            <w:pPr>
              <w:rPr>
                <w:b/>
                <w:sz w:val="20"/>
                <w:lang w:val="en-GB"/>
              </w:rPr>
            </w:pPr>
            <w:r w:rsidRPr="00A04DD6">
              <w:rPr>
                <w:b/>
                <w:sz w:val="20"/>
                <w:lang w:val="en-GB"/>
              </w:rPr>
              <w:t>Total</w:t>
            </w:r>
          </w:p>
        </w:tc>
        <w:tc>
          <w:tcPr>
            <w:tcW w:w="1764" w:type="pct"/>
          </w:tcPr>
          <w:p w14:paraId="0B028845" w14:textId="77777777" w:rsidR="005E0E7F" w:rsidRPr="00A04DD6" w:rsidRDefault="005E0E7F" w:rsidP="00D62E44">
            <w:pPr>
              <w:jc w:val="center"/>
              <w:rPr>
                <w:b/>
                <w:sz w:val="20"/>
                <w:lang w:val="en-GB"/>
              </w:rPr>
            </w:pPr>
            <w:r w:rsidRPr="00A04DD6">
              <w:rPr>
                <w:b/>
                <w:sz w:val="20"/>
                <w:lang w:val="en-GB"/>
              </w:rPr>
              <w:t>7</w:t>
            </w:r>
          </w:p>
        </w:tc>
        <w:tc>
          <w:tcPr>
            <w:tcW w:w="1765" w:type="pct"/>
          </w:tcPr>
          <w:p w14:paraId="7B3280ED" w14:textId="77777777" w:rsidR="005E0E7F" w:rsidRPr="00A04DD6" w:rsidRDefault="005E0E7F" w:rsidP="00D62E44">
            <w:pPr>
              <w:keepNext/>
              <w:jc w:val="center"/>
              <w:rPr>
                <w:b/>
                <w:sz w:val="20"/>
                <w:lang w:val="en-GB"/>
              </w:rPr>
            </w:pPr>
            <w:r w:rsidRPr="00A04DD6">
              <w:rPr>
                <w:b/>
                <w:sz w:val="20"/>
                <w:lang w:val="en-GB"/>
              </w:rPr>
              <w:t>17</w:t>
            </w:r>
          </w:p>
        </w:tc>
      </w:tr>
    </w:tbl>
    <w:p w14:paraId="3085862B" w14:textId="77777777" w:rsidR="005E0E7F" w:rsidRPr="00A04DD6" w:rsidRDefault="005E0E7F" w:rsidP="005E0E7F">
      <w:pPr>
        <w:spacing w:line="480" w:lineRule="auto"/>
        <w:rPr>
          <w:lang w:val="en-GB"/>
        </w:rPr>
      </w:pPr>
    </w:p>
    <w:p w14:paraId="0D78F6FE" w14:textId="34BE6C06" w:rsidR="005E0E7F" w:rsidRPr="00A04DD6" w:rsidRDefault="005E0E7F" w:rsidP="005E0E7F">
      <w:pPr>
        <w:spacing w:after="240" w:line="360" w:lineRule="auto"/>
        <w:jc w:val="both"/>
        <w:rPr>
          <w:lang w:val="en-GB" w:bidi="en-US"/>
        </w:rPr>
      </w:pPr>
      <w:r w:rsidRPr="00A04DD6">
        <w:rPr>
          <w:lang w:val="en-GB" w:bidi="en-US"/>
        </w:rPr>
        <w:t xml:space="preserve">Considering the “Share” macro category (Table </w:t>
      </w:r>
      <w:r w:rsidR="008F6A43">
        <w:rPr>
          <w:lang w:val="en-GB" w:bidi="en-US"/>
        </w:rPr>
        <w:t>8</w:t>
      </w:r>
      <w:r w:rsidRPr="00A04DD6">
        <w:rPr>
          <w:lang w:val="en-GB" w:bidi="en-US"/>
        </w:rPr>
        <w:t xml:space="preserve">), aimed at sharing the full use of goods and eliminate waste and duplication, use-oriented PSSs are the most common </w:t>
      </w:r>
      <w:r w:rsidR="00BC755A">
        <w:rPr>
          <w:lang w:val="en-GB" w:bidi="en-US"/>
        </w:rPr>
        <w:t>CBM</w:t>
      </w:r>
      <w:r w:rsidRPr="00A04DD6">
        <w:rPr>
          <w:lang w:val="en-GB" w:bidi="en-US"/>
        </w:rPr>
        <w:t>, followed by reuse. Instead, the simple co-ownership and co-access deserved less attention among researchers, probably since these actions were considered as two sub-options of the use-oriented PSSs, constituting a more generic and structured concept. Also repair, aimed at slowing down th</w:t>
      </w:r>
      <w:r w:rsidR="008F324A">
        <w:rPr>
          <w:lang w:val="en-GB" w:bidi="en-US"/>
        </w:rPr>
        <w:t>e</w:t>
      </w:r>
      <w:r w:rsidRPr="00A04DD6">
        <w:rPr>
          <w:lang w:val="en-GB" w:bidi="en-US"/>
        </w:rPr>
        <w:t xml:space="preserve"> speed of </w:t>
      </w:r>
      <w:r w:rsidR="008F324A">
        <w:rPr>
          <w:lang w:val="en-GB" w:bidi="en-US"/>
        </w:rPr>
        <w:t>product</w:t>
      </w:r>
      <w:r w:rsidR="00F94842">
        <w:rPr>
          <w:lang w:val="en-GB" w:bidi="en-US"/>
        </w:rPr>
        <w:t>s’</w:t>
      </w:r>
      <w:r w:rsidR="008F324A">
        <w:rPr>
          <w:lang w:val="en-GB" w:bidi="en-US"/>
        </w:rPr>
        <w:t xml:space="preserve"> </w:t>
      </w:r>
      <w:r w:rsidRPr="00A04DD6">
        <w:rPr>
          <w:lang w:val="en-GB" w:bidi="en-US"/>
        </w:rPr>
        <w:t>lifecycle</w:t>
      </w:r>
      <w:r w:rsidR="008F324A">
        <w:rPr>
          <w:lang w:val="en-GB" w:bidi="en-US"/>
        </w:rPr>
        <w:t>s</w:t>
      </w:r>
      <w:r w:rsidRPr="00A04DD6">
        <w:rPr>
          <w:lang w:val="en-GB" w:bidi="en-US"/>
        </w:rPr>
        <w:t>, were not analysed exhaustively in literature.</w:t>
      </w:r>
    </w:p>
    <w:p w14:paraId="74A819CE" w14:textId="29221552" w:rsidR="005E0E7F" w:rsidRPr="00A04DD6" w:rsidRDefault="005E0E7F" w:rsidP="005E0E7F">
      <w:pPr>
        <w:pStyle w:val="Didascalia"/>
        <w:spacing w:line="360" w:lineRule="auto"/>
        <w:jc w:val="center"/>
        <w:rPr>
          <w:b w:val="0"/>
          <w:caps w:val="0"/>
          <w:sz w:val="24"/>
          <w:lang w:val="en-GB"/>
        </w:rPr>
      </w:pPr>
      <w:r w:rsidRPr="00A04DD6">
        <w:rPr>
          <w:caps w:val="0"/>
          <w:sz w:val="24"/>
          <w:lang w:val="en-GB"/>
        </w:rPr>
        <w:t xml:space="preserve">Table </w:t>
      </w:r>
      <w:r w:rsidRPr="00A04DD6">
        <w:rPr>
          <w:sz w:val="24"/>
          <w:lang w:val="en-GB"/>
        </w:rPr>
        <w:fldChar w:fldCharType="begin"/>
      </w:r>
      <w:r w:rsidRPr="008F6A43">
        <w:rPr>
          <w:sz w:val="24"/>
          <w:lang w:val="en-GB"/>
        </w:rPr>
        <w:instrText xml:space="preserve"> SEQ Table \* ARABIC </w:instrText>
      </w:r>
      <w:r w:rsidRPr="00A04DD6">
        <w:rPr>
          <w:sz w:val="24"/>
          <w:lang w:val="en-GB"/>
        </w:rPr>
        <w:fldChar w:fldCharType="separate"/>
      </w:r>
      <w:r w:rsidR="008F7F15">
        <w:rPr>
          <w:noProof/>
          <w:sz w:val="24"/>
          <w:lang w:val="en-GB"/>
        </w:rPr>
        <w:t>8</w:t>
      </w:r>
      <w:r w:rsidRPr="00A04DD6">
        <w:rPr>
          <w:sz w:val="24"/>
          <w:lang w:val="en-GB"/>
        </w:rPr>
        <w:fldChar w:fldCharType="end"/>
      </w:r>
      <w:r w:rsidRPr="00A04DD6">
        <w:rPr>
          <w:sz w:val="24"/>
          <w:lang w:val="en-GB"/>
        </w:rPr>
        <w:t>.</w:t>
      </w:r>
      <w:r w:rsidRPr="00A04DD6">
        <w:rPr>
          <w:b w:val="0"/>
          <w:caps w:val="0"/>
          <w:sz w:val="24"/>
          <w:lang w:val="en-GB"/>
        </w:rPr>
        <w:t xml:space="preserve"> Circular business models: share actions (adapted from </w:t>
      </w:r>
      <w:r w:rsidRPr="00A04DD6">
        <w:rPr>
          <w:b w:val="0"/>
          <w:caps w:val="0"/>
          <w:sz w:val="24"/>
          <w:lang w:val="en-GB"/>
        </w:rPr>
        <w:fldChar w:fldCharType="begin" w:fldLock="1"/>
      </w:r>
      <w:r w:rsidR="003445CC">
        <w:rPr>
          <w:b w:val="0"/>
          <w:caps w:val="0"/>
          <w:sz w:val="24"/>
          <w:lang w:val="en-GB"/>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id":"ITEM-2","itemData":{"author":[{"dropping-particle":"","family":"OECD","given":"","non-dropping-particle":"","parse-names":false,"suffix":""}],"id":"ITEM-2","issue":"June","issued":{"date-parts":[["2017"]]},"number-of-pages":"1-73","title":"New Business Models for the Circular Economy - Opportunities and Challenges from a Policy Perspective","type":"report"},"uris":["http://www.mendeley.com/documents/?uuid=451a73ce-eb83-45f7-bb85-3165f4ff0b8f"]}],"mendeley":{"formattedCitation":"(OECD, 2017; The Ellen MacArthur Foundation, 2015)","plainTextFormattedCitation":"(OECD, 2017; The Ellen MacArthur Foundation, 2015)","previouslyFormattedCitation":"(OECD, 2017; The Ellen MacArthur Foundation, 2015)"},"properties":{"noteIndex":0},"schema":"https://github.com/citation-style-language/schema/raw/master/csl-citation.json"}</w:instrText>
      </w:r>
      <w:r w:rsidRPr="00A04DD6">
        <w:rPr>
          <w:b w:val="0"/>
          <w:caps w:val="0"/>
          <w:sz w:val="24"/>
          <w:lang w:val="en-GB"/>
        </w:rPr>
        <w:fldChar w:fldCharType="separate"/>
      </w:r>
      <w:r w:rsidRPr="00A04DD6">
        <w:rPr>
          <w:b w:val="0"/>
          <w:caps w:val="0"/>
          <w:noProof/>
          <w:sz w:val="24"/>
          <w:lang w:val="en-GB"/>
        </w:rPr>
        <w:t>(OECD, 2017; The Ellen MacArthur Foundation, 2015)</w:t>
      </w:r>
      <w:r w:rsidRPr="00A04DD6">
        <w:rPr>
          <w:b w:val="0"/>
          <w:caps w:val="0"/>
          <w:sz w:val="24"/>
          <w:lang w:val="en-GB"/>
        </w:rPr>
        <w:fldChar w:fldCharType="end"/>
      </w:r>
      <w:r w:rsidRPr="00A04DD6">
        <w:rPr>
          <w:b w:val="0"/>
          <w:caps w:val="0"/>
          <w:sz w:val="24"/>
          <w:lang w:val="en-GB"/>
        </w:rPr>
        <w:t>)</w:t>
      </w:r>
    </w:p>
    <w:p w14:paraId="6FF2E221" w14:textId="77777777" w:rsidR="005E0E7F" w:rsidRPr="00A04DD6" w:rsidRDefault="005E0E7F" w:rsidP="005E0E7F">
      <w:pPr>
        <w:rPr>
          <w:lang w:val="en-GB"/>
        </w:rPr>
      </w:pPr>
    </w:p>
    <w:tbl>
      <w:tblPr>
        <w:tblStyle w:val="Grigliatabella"/>
        <w:tblW w:w="5000" w:type="pct"/>
        <w:jc w:val="center"/>
        <w:tblLook w:val="01E0" w:firstRow="1" w:lastRow="1" w:firstColumn="1" w:lastColumn="1" w:noHBand="0" w:noVBand="0"/>
      </w:tblPr>
      <w:tblGrid>
        <w:gridCol w:w="3113"/>
        <w:gridCol w:w="1301"/>
        <w:gridCol w:w="1303"/>
        <w:gridCol w:w="1301"/>
        <w:gridCol w:w="1303"/>
        <w:gridCol w:w="1301"/>
      </w:tblGrid>
      <w:tr w:rsidR="005E0E7F" w:rsidRPr="00A04DD6" w14:paraId="5C95CF34" w14:textId="77777777" w:rsidTr="00746DB3">
        <w:trPr>
          <w:jc w:val="center"/>
        </w:trPr>
        <w:tc>
          <w:tcPr>
            <w:tcW w:w="1618" w:type="pct"/>
            <w:vMerge w:val="restart"/>
            <w:vAlign w:val="center"/>
          </w:tcPr>
          <w:p w14:paraId="53D9F436" w14:textId="77777777" w:rsidR="005E0E7F" w:rsidRPr="00746DB3" w:rsidRDefault="005E0E7F" w:rsidP="00D62E44">
            <w:pPr>
              <w:rPr>
                <w:b/>
                <w:szCs w:val="20"/>
                <w:lang w:val="en-GB"/>
              </w:rPr>
            </w:pPr>
            <w:r w:rsidRPr="00746DB3">
              <w:rPr>
                <w:b/>
                <w:szCs w:val="20"/>
                <w:lang w:val="en-GB"/>
              </w:rPr>
              <w:t>Author</w:t>
            </w:r>
          </w:p>
        </w:tc>
        <w:tc>
          <w:tcPr>
            <w:tcW w:w="3382" w:type="pct"/>
            <w:gridSpan w:val="5"/>
            <w:vAlign w:val="center"/>
          </w:tcPr>
          <w:p w14:paraId="6B7AAEEE" w14:textId="25A36E89" w:rsidR="005E0E7F" w:rsidRPr="00746DB3" w:rsidRDefault="005E0E7F" w:rsidP="00D62E44">
            <w:pPr>
              <w:jc w:val="center"/>
              <w:rPr>
                <w:b/>
                <w:szCs w:val="20"/>
                <w:lang w:val="en-GB"/>
              </w:rPr>
            </w:pPr>
            <w:r w:rsidRPr="00746DB3">
              <w:rPr>
                <w:b/>
                <w:szCs w:val="20"/>
                <w:lang w:val="en-GB"/>
              </w:rPr>
              <w:t>Share</w:t>
            </w:r>
            <w:r w:rsidR="00A52511">
              <w:rPr>
                <w:b/>
                <w:szCs w:val="20"/>
                <w:lang w:val="en-GB"/>
              </w:rPr>
              <w:t xml:space="preserve"> actions</w:t>
            </w:r>
          </w:p>
        </w:tc>
      </w:tr>
      <w:tr w:rsidR="005E0E7F" w:rsidRPr="00A04DD6" w14:paraId="73B6DD50" w14:textId="77777777" w:rsidTr="00746DB3">
        <w:trPr>
          <w:jc w:val="center"/>
        </w:trPr>
        <w:tc>
          <w:tcPr>
            <w:tcW w:w="1618" w:type="pct"/>
            <w:vMerge/>
            <w:vAlign w:val="center"/>
          </w:tcPr>
          <w:p w14:paraId="7A3AE9B6" w14:textId="77777777" w:rsidR="005E0E7F" w:rsidRPr="00746DB3" w:rsidRDefault="005E0E7F" w:rsidP="00D62E44">
            <w:pPr>
              <w:rPr>
                <w:b/>
                <w:szCs w:val="20"/>
                <w:lang w:val="en-GB"/>
              </w:rPr>
            </w:pPr>
          </w:p>
        </w:tc>
        <w:tc>
          <w:tcPr>
            <w:tcW w:w="676" w:type="pct"/>
            <w:vAlign w:val="center"/>
          </w:tcPr>
          <w:p w14:paraId="4124D391" w14:textId="77777777" w:rsidR="005E0E7F" w:rsidRPr="00746DB3" w:rsidRDefault="005E0E7F" w:rsidP="00D62E44">
            <w:pPr>
              <w:jc w:val="center"/>
              <w:rPr>
                <w:b/>
                <w:szCs w:val="20"/>
                <w:lang w:val="en-GB"/>
              </w:rPr>
            </w:pPr>
            <w:r w:rsidRPr="00746DB3">
              <w:rPr>
                <w:b/>
                <w:szCs w:val="20"/>
                <w:lang w:val="en-GB"/>
              </w:rPr>
              <w:t>Co-ownership</w:t>
            </w:r>
          </w:p>
        </w:tc>
        <w:tc>
          <w:tcPr>
            <w:tcW w:w="677" w:type="pct"/>
            <w:vAlign w:val="center"/>
          </w:tcPr>
          <w:p w14:paraId="3CD5439C" w14:textId="77777777" w:rsidR="005E0E7F" w:rsidRPr="00746DB3" w:rsidRDefault="005E0E7F" w:rsidP="00D62E44">
            <w:pPr>
              <w:jc w:val="center"/>
              <w:rPr>
                <w:b/>
                <w:szCs w:val="20"/>
                <w:lang w:val="en-GB"/>
              </w:rPr>
            </w:pPr>
            <w:r w:rsidRPr="00746DB3">
              <w:rPr>
                <w:b/>
                <w:szCs w:val="20"/>
                <w:lang w:val="en-GB"/>
              </w:rPr>
              <w:t>Co-access</w:t>
            </w:r>
          </w:p>
        </w:tc>
        <w:tc>
          <w:tcPr>
            <w:tcW w:w="676" w:type="pct"/>
            <w:vAlign w:val="center"/>
          </w:tcPr>
          <w:p w14:paraId="5C8F7AA8" w14:textId="77777777" w:rsidR="005E0E7F" w:rsidRPr="00746DB3" w:rsidRDefault="005E0E7F" w:rsidP="00D62E44">
            <w:pPr>
              <w:jc w:val="center"/>
              <w:rPr>
                <w:b/>
                <w:szCs w:val="20"/>
                <w:lang w:val="en-GB"/>
              </w:rPr>
            </w:pPr>
            <w:r w:rsidRPr="00746DB3">
              <w:rPr>
                <w:b/>
                <w:szCs w:val="20"/>
                <w:lang w:val="en-GB"/>
              </w:rPr>
              <w:t>Use-oriented PSSs</w:t>
            </w:r>
          </w:p>
        </w:tc>
        <w:tc>
          <w:tcPr>
            <w:tcW w:w="677" w:type="pct"/>
            <w:vAlign w:val="center"/>
          </w:tcPr>
          <w:p w14:paraId="076167B6" w14:textId="77777777" w:rsidR="005E0E7F" w:rsidRPr="00746DB3" w:rsidRDefault="005E0E7F" w:rsidP="00D62E44">
            <w:pPr>
              <w:jc w:val="center"/>
              <w:rPr>
                <w:b/>
                <w:szCs w:val="20"/>
                <w:lang w:val="en-GB"/>
              </w:rPr>
            </w:pPr>
            <w:r w:rsidRPr="00746DB3">
              <w:rPr>
                <w:b/>
                <w:szCs w:val="20"/>
                <w:lang w:val="en-GB"/>
              </w:rPr>
              <w:t>Reuse</w:t>
            </w:r>
          </w:p>
        </w:tc>
        <w:tc>
          <w:tcPr>
            <w:tcW w:w="677" w:type="pct"/>
            <w:vAlign w:val="center"/>
          </w:tcPr>
          <w:p w14:paraId="3ED45B14" w14:textId="77777777" w:rsidR="005E0E7F" w:rsidRPr="00746DB3" w:rsidRDefault="005E0E7F" w:rsidP="00D62E44">
            <w:pPr>
              <w:jc w:val="center"/>
              <w:rPr>
                <w:b/>
                <w:szCs w:val="20"/>
                <w:lang w:val="en-GB"/>
              </w:rPr>
            </w:pPr>
            <w:r w:rsidRPr="00746DB3">
              <w:rPr>
                <w:b/>
                <w:szCs w:val="20"/>
                <w:lang w:val="en-GB"/>
              </w:rPr>
              <w:t>Repair</w:t>
            </w:r>
          </w:p>
        </w:tc>
      </w:tr>
      <w:tr w:rsidR="005E0E7F" w:rsidRPr="00A04DD6" w14:paraId="483571B5" w14:textId="77777777" w:rsidTr="00746DB3">
        <w:trPr>
          <w:jc w:val="center"/>
        </w:trPr>
        <w:tc>
          <w:tcPr>
            <w:tcW w:w="1618" w:type="pct"/>
            <w:vAlign w:val="center"/>
          </w:tcPr>
          <w:p w14:paraId="4955381A" w14:textId="27A636FE" w:rsidR="005E0E7F" w:rsidRPr="003B528D"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{"citationItems":[{"id":"ITEM-1","itemData":{"DOI":"http://dx.doi.org/10.2139/ssrn.2908107","ISBN":"9589721869","ISSN":"9780983648703","abstract":"The traditional “take-make-dispose” consumption model cannot sustain in the long run and companies need to adapt their business models to find more sustainable ways to create, deliver and capture value. Business models that decouple economic growth from raw material input, using a circular approach, will become essential in the near future. This idea has come to be known as the circular economy. In the circular economy, recourses are kept in use for as long as possible, by for example reusing or repairing products that would have been thrown away in a linear economy. To illustrate how companies can implement circular business models in practice, we provide examples from the do-it-yourself-construction retail industry in Norway - a traditional industry known for its wasteful “take-make-dispose” approach. We propose four business model designs that offer different ways for companies to become more circular rooted in the ideas of product life extension, resource recovery and product-as-service logic. As we will discuss, while some of these practices can be added to the retailer's existing business model, others require a more radical change in the traditional business model. By means of our findings, we intend to encourage retailers to change their business models towards greater sustainability and eventually steer their suppliers and customers towards more sustainable production and consumption patterns. -","author":[{"dropping-particle":"","family":"Adam","given":"Sunniva","non-dropping-particle":"","parse-names":false,"suffix":""},{"dropping-particle":"","family":"Bücker","given":"Christian","non-dropping-particle":"","parse-names":false,"suffix":""},{"dropping-particle":"","family":"Desguin","given":"Samuel","non-dropping-particle":"","parse-names":false,"suffix":""},{"dropping-particle":"","family":"Madsen","given":"Nicolai","non-dropping-particle":"","parse-names":false,"suffix":""},{"dropping-particle":"","family":"Saebi","given":"Tina","non-dropping-particle":"","parse-names":false,"suffix":""}],"container-title":"SSRN Electronic Journal","id":"ITEM-1","issued":{"date-parts":[["2017"]]},"page":"1-21","title":"Taking part in the circular economy: four ways to designing circular business models","type":"article-journal"},"uris":["http://www.mendeley.com/documents/?uuid=d9f89004-426d-4ed4-99f3-9968f703df49"]}],"mendeley":{"formattedCitation":"(Adam et al., 2017)","plainTextFormattedCitation":"(Adam et al., 2017)","previouslyFormattedCitation":"(Adam et al., 2017)"},"properties":{"noteIndex":0},"schema":"https://github.com/citation-style-language/schema/raw/master/csl-citation.json"}</w:instrText>
            </w:r>
            <w:r w:rsidRPr="00A04DD6">
              <w:rPr>
                <w:sz w:val="20"/>
                <w:szCs w:val="20"/>
                <w:lang w:val="en-GB"/>
              </w:rPr>
              <w:fldChar w:fldCharType="separate"/>
            </w:r>
            <w:r w:rsidRPr="003B528D">
              <w:rPr>
                <w:noProof/>
                <w:sz w:val="20"/>
                <w:szCs w:val="20"/>
                <w:lang w:val="en-GB"/>
              </w:rPr>
              <w:t>(Adam et al., 2017)</w:t>
            </w:r>
            <w:r w:rsidRPr="00A04DD6">
              <w:rPr>
                <w:sz w:val="20"/>
                <w:szCs w:val="20"/>
                <w:lang w:val="en-GB"/>
              </w:rPr>
              <w:fldChar w:fldCharType="end"/>
            </w:r>
          </w:p>
          <w:p w14:paraId="655628F7" w14:textId="1A2F38EE" w:rsidR="005E0E7F" w:rsidRPr="003B528D"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{"citationItems":[{"id":"ITEM-1","itemData":{"DOI":"10.3233/978-1-61499-820-4-41","ISBN":"9781614998204","author":[{"dropping-particle":"","family":"Bocken","given":"Nancy M.P.","non-dropping-particle":"","parse-names":false,"suffix":""},{"dropping-particle":"","family":"Bom","given":"C.A.","non-dropping-particle":"","parse-names":false,"suffix":""},{"dropping-particle":"","family":"Lemstra","given":"H.J.","non-dropping-particle":"","parse-names":false,"suffix":""}],"container-title":"PLATE 2017 - Product Lifetimes And The Environment Conference","id":"ITEM-1","issued":{"date-parts":[["2017"]]},"page":"1-7","publisher":"TU Delft","publisher-place":"Delft","title":"Business experiments as an approach to drive sustainable consumption: the case of HOMIE","type":"paper-conference"},"uris":["http://www.mendeley.com/documents/?uuid=4f80fc05-2d85-441b-a337-9e9393ab2069"]}],"mendeley":{"formattedCitation":"(Bocken et al., 2017)","plainTextFormattedCitation":"(Bocken et al., 2017)","previouslyFormattedCitation":"(Bocken et al., 2017)"},"properties":{"noteIndex":0},"schema":"https://github.com/citation-style-language/schema/raw/master/csl-citation.json"}</w:instrText>
            </w:r>
            <w:r w:rsidRPr="00A04DD6">
              <w:rPr>
                <w:sz w:val="20"/>
                <w:szCs w:val="20"/>
                <w:lang w:val="en-GB"/>
              </w:rPr>
              <w:fldChar w:fldCharType="separate"/>
            </w:r>
            <w:r w:rsidRPr="003B528D">
              <w:rPr>
                <w:noProof/>
                <w:sz w:val="20"/>
                <w:szCs w:val="20"/>
                <w:lang w:val="en-GB"/>
              </w:rPr>
              <w:t>(Bocken et al., 2017)</w:t>
            </w:r>
            <w:r w:rsidRPr="00A04DD6">
              <w:rPr>
                <w:sz w:val="20"/>
                <w:szCs w:val="20"/>
                <w:lang w:val="en-GB"/>
              </w:rPr>
              <w:fldChar w:fldCharType="end"/>
            </w:r>
          </w:p>
          <w:p w14:paraId="356E7EAC" w14:textId="0D9DB86A"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{"citationItems":[{"id":"ITEM-1","itemData":{"DOI":"10.1016/j.procir.2017.03.065","ISBN":"22128271 (ISSN)","ISSN":"22128271","abstract":"Although circular economy is usually indicated as a way to reconcile economic growth and sustainability, circular business models and related product-service systems are not implemented on a large scale yet. Providing information about how to develop circular business models and methods to evaluate their expected impacts, can support stakeholders to embrace this transition. To this regard, the aim of this paper is to propose and discuss the actions required for reshaping the washing machine industry towards a circular economy scenario. The paper, based on a recently launched research project, describes a set of actions and develops very preliminary computations of their expected impact. Results show that customers could benefit from an average yearly saving of almost 30% of the current washing cost, while country total electricity generation and water consumption could be reduced of about 0.6% and 1% respectively. Albeit they are only preliminary estimates and further research and empirical validation are certainly needed, these outcomes gives an idea about the order of magnitude of benefits gathered by a circular economy transition for a mass durable consumer goods industry such as washing machines.","author":[{"dropping-particle":"","family":"Bressanelli","given":"Gianmarco","non-dropping-particle":"","parse-names":false,"suffix":""},{"dropping-particle":"","family":"Perona","given":"Marco","non-dropping-particle":"","parse-names":false,"suffix":""},{"dropping-particle":"","family":"Saccani","given":"Nicola","non-dropping-particle":"","parse-names":false,"suffix":""}],"container-title":"Procedia CIRP","id":"ITEM-1","issued":{"date-parts":[["2017"]]},"page":"43-48","publisher":"The Author(s)","title":"Reshaping the Washing Machine Industry through Circular Economy and Product-Service System Business Models","type":"article-journal","volume":"64"},"uris":["http://www.mendeley.com/documents/?uuid=e3011812-e5c5-4920-ac49-f3032dfd4b5b"]}],"mendeley":{"formattedCitation":"(Bressanelli et al., 2017)","plainTextFormattedCitation":"(Bressanelli et al., 2017)","previouslyFormattedCitation":"(Bressanelli et al., 2017)"},"properties":{"noteIndex":0},"schema":"https://github.com/citation-style-language/schema/raw/master/csl-citation.json"}</w:instrText>
            </w:r>
            <w:r w:rsidRPr="00A04DD6">
              <w:rPr>
                <w:sz w:val="20"/>
                <w:szCs w:val="20"/>
                <w:lang w:val="en-GB"/>
              </w:rPr>
              <w:fldChar w:fldCharType="separate"/>
            </w:r>
            <w:r w:rsidRPr="00746DB3">
              <w:rPr>
                <w:noProof/>
                <w:sz w:val="20"/>
                <w:szCs w:val="20"/>
              </w:rPr>
              <w:t>(Bressanelli et al., 2017)</w:t>
            </w:r>
            <w:r w:rsidRPr="00A04DD6">
              <w:rPr>
                <w:sz w:val="20"/>
                <w:szCs w:val="20"/>
                <w:lang w:val="en-GB"/>
              </w:rPr>
              <w:fldChar w:fldCharType="end"/>
            </w:r>
          </w:p>
          <w:p w14:paraId="6AFE5862" w14:textId="084DED0B" w:rsidR="005E0E7F" w:rsidRPr="00746DB3" w:rsidRDefault="005E0E7F" w:rsidP="00D62E44">
            <w:pPr>
              <w:rPr>
                <w:sz w:val="20"/>
                <w:szCs w:val="20"/>
              </w:rPr>
            </w:pPr>
            <w:r w:rsidRPr="00A04DD6">
              <w:rPr>
                <w:sz w:val="20"/>
                <w:szCs w:val="20"/>
                <w:lang w:val="en-GB"/>
              </w:rPr>
              <w:fldChar w:fldCharType="begin" w:fldLock="1"/>
            </w:r>
            <w:r w:rsidR="003027D4">
              <w:rPr>
                <w:sz w:val="20"/>
                <w:szCs w:val="20"/>
              </w:rPr>
              <w:instrText>ADDIN CSL_CITATION {"citationItems":[{"id":"ITEM-1","itemData":{"DOI":"10.1109/EGG.2016.7829845","ISBN":"9781509052080","abstract":"Circular business models are considered to be one of the key building blocks in the transition to a Circular Economy, but the viability of such business models is often dependent upon supporting policies. Relevant policies include support for waste infrastructure, regulatory frameworks, taxes and charges, and various informative instruments. This contribution reviews the literature on circular economy policies and discusses how current and new policies can support circular business models. Two companies who sell reconditioned ICT products are used as case studies in order to get a more detailed picture of the main barriers, and the need for policy support to overcome the barriers. The cases are built on semi-structured interviews with company representatives. The two companies both identify high taxes on labour and consumer perceptions among the most important barriers. The two companies differ in their opinions regarding the need for political support and whether waste rules are a major barrier, reflecting differences in their markets and supply chains.","author":[{"dropping-particle":"","family":"Dalhammar","given":"Carl","non-dropping-particle":"","parse-names":false,"suffix":""},{"dropping-particle":"","family":"Milios","given":"Leonidas","non-dropping-particle":"","parse-names":false,"suffix":""}],"container-title":"EGG 2016 - Electronics Goes Green 2016+","id":"ITEM-1","issued":{"date-parts":[["2016"]]},"page":"1-9","title":"Policies to support reconditioning and reuse of ICT","type":"paper-conference"},"uris":["http://www.mendeley.com/documents/?uuid=6a817822-c40a-4ec7-9763-78c59cd94547","http://www.mendeley.com/documents/?uuid=4440498f-83d4-4b55-b696-a9213d20223a"]}],"mendeley":{"formattedCitation":"(Dalhammar and Milios, 2016)","plainTextFormattedCitation":"(Dalhammar and Milios, 2016)","previouslyFormattedCitation":"(Dalhammar and Milios, 2016)"},"properties":{"noteIndex":0},"schema":"https://github.com/citation-style-language/schema/raw/master/csl-citation.json"}</w:instrText>
            </w:r>
            <w:r w:rsidRPr="00A04DD6">
              <w:rPr>
                <w:sz w:val="20"/>
                <w:szCs w:val="20"/>
                <w:lang w:val="en-GB"/>
              </w:rPr>
              <w:fldChar w:fldCharType="separate"/>
            </w:r>
            <w:r w:rsidR="003445CC" w:rsidRPr="003445CC">
              <w:rPr>
                <w:noProof/>
                <w:sz w:val="20"/>
                <w:szCs w:val="20"/>
              </w:rPr>
              <w:t>(Dalhammar and Milios, 2016)</w:t>
            </w:r>
            <w:r w:rsidRPr="00A04DD6">
              <w:rPr>
                <w:sz w:val="20"/>
                <w:szCs w:val="20"/>
                <w:lang w:val="en-GB"/>
              </w:rPr>
              <w:fldChar w:fldCharType="end"/>
            </w:r>
          </w:p>
          <w:p w14:paraId="3A91A7E1" w14:textId="489646D5" w:rsidR="005E0E7F" w:rsidRPr="003B528D"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{"citationItems":[{"id":"ITEM-1","itemData":{"DOI":"10.1016/j.jclepro.2016.10.130","ISBN":"9788578110796","ISSN":"09596526","PMID":"25246403","abstract":"Implementing practices for a circular economy transforms the way companies do business, notably in the manufacturing industry. However, a circular economy requires a transformation of both production and consumption systems; the standard approach for creation, fabrication, and commerce of products is challenged. Authors repeatedly call for the development of new proficiencies to attend to system transformations, but these so far have not been described for design and engineering. Given that the design of a product directly influences the way a value chain will be managed, building circular, globally sustainable value chains inevitably signifies a fundamental change in the practice of design. Comprehensive analyses were conducted on case studies from a variety of multinational enterprises that are transforming their product strategies for climate change. Changes in design processes were identified, revealing a growing necessity for industry to employ new proficiencies that support closure of material loops. This paper contributes to existing literature by depicting successful practices being implemented in industry. A variety of new capabilities are key to design for a sustainable future; these range from deeper knowledge of material composition to rich understanding of social behaviour. Resulting from this research, learning goals are proposed to serve as guidance for manufacturing companies seeking to tackle climate change. Conclusions aim to encourage researchers and academics to respond to emerging needs by re-thinking education in design and engineering.","author":[{"dropping-particle":"","family":"los Rios","given":"Irel Carolina","non-dropping-particle":"De","parse-names":false,"suffix":""},{"dropping-particle":"","family":"Charnley","given":"Fiona J.S.","non-dropping-particle":"","parse-names":false,"suffix":""}],"container-title":"Journal of Cleaner Production","id":"ITEM-1","issued":{"date-parts":[["2017"]]},"page":"109-122","publisher":"Elsevier Ltd","title":"Skills and capabilities for a sustainable and circular economy: The changing role of design","type":"article-journal","volume":"160"},"uris":["http://www.mendeley.com/documents/?uuid=488e3ef2-73ec-4d73-ab4f-ed82ad29e295"]}],"mendeley":{"formattedCitation":"(De los Rios and Charnley, 2017)","plainTextFormattedCitation":"(De los Rios and Charnley, 2017)","previouslyFormattedCitation":"(De los Rios and Charnley, 2017)"},"properties":{"noteIndex":0},"schema":"https://github.com/citation-style-language/schema/raw/master/csl-citation.json"}</w:instrText>
            </w:r>
            <w:r w:rsidRPr="00A04DD6">
              <w:rPr>
                <w:sz w:val="20"/>
                <w:szCs w:val="20"/>
                <w:lang w:val="en-GB"/>
              </w:rPr>
              <w:fldChar w:fldCharType="separate"/>
            </w:r>
            <w:r w:rsidR="008E630B" w:rsidRPr="003B528D">
              <w:rPr>
                <w:noProof/>
                <w:sz w:val="20"/>
                <w:szCs w:val="20"/>
                <w:lang w:val="en-GB"/>
              </w:rPr>
              <w:t>(De los Rios and Charnley, 2017)</w:t>
            </w:r>
            <w:r w:rsidRPr="00A04DD6">
              <w:rPr>
                <w:sz w:val="20"/>
                <w:szCs w:val="20"/>
                <w:lang w:val="en-GB"/>
              </w:rPr>
              <w:fldChar w:fldCharType="end"/>
            </w:r>
          </w:p>
          <w:p w14:paraId="00E23B62" w14:textId="24E7967A" w:rsidR="005E0E7F" w:rsidRPr="003B528D"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author":[{"dropping-particle":"","family":"Dewberry","given":"Emma","non-dropping-particle":"","parse-names":false,"suffix":""},{"dropping-particle":"","family":"Saca","given":"Lourdes","non-dropping-particle":"","parse-names":false,"suffix":""},{"dropping-particle":"","family":"Moreno","given":"Mariale","non-dropping-particle":"","parse-names":false,"suffix":""},{"dropping-particle":"","family":"Sheldrick","given":"Leila","non-dropping-particle":"","parse-names":false,"suffix":""},{"dropping-particle":"","family":"Sinclair","given":"Matt A.","non-dropping-particle":"","parse-names":false,"suffix":""}],"container-title":"Sustainable Innovation 2016","id":"ITEM-1","issued":{"date-parts":[["2016"]]},"page":"76-85","title":"A Landscape of Repair","type":"paper-conference"},"uris":["http://www.mendeley.com/documents/?uuid=c4a0d12b-71ca-417f-8a60-56de481d9f2a"]}],"mendeley":{"formattedCitation":"(Dewberry et al., 2016)","plainTextFormattedCitation":"(Dewberry et al., 2016)","previouslyFormattedCitation":"(Dewberry et al., 2016)"},"properties":{"noteIndex":0},"schema":"https://github.com/citation-style-language/schema/raw/master/csl-citation.json"}</w:instrText>
            </w:r>
            <w:r w:rsidRPr="00A04DD6">
              <w:rPr>
                <w:sz w:val="20"/>
                <w:szCs w:val="20"/>
                <w:lang w:val="en-GB"/>
              </w:rPr>
              <w:fldChar w:fldCharType="separate"/>
            </w:r>
            <w:r w:rsidRPr="003B528D">
              <w:rPr>
                <w:noProof/>
                <w:sz w:val="20"/>
                <w:szCs w:val="20"/>
                <w:lang w:val="en-GB"/>
              </w:rPr>
              <w:t>(Dewberry et al., 2016)</w:t>
            </w:r>
            <w:r w:rsidRPr="00A04DD6">
              <w:rPr>
                <w:sz w:val="20"/>
                <w:szCs w:val="20"/>
                <w:lang w:val="en-GB"/>
              </w:rPr>
              <w:fldChar w:fldCharType="end"/>
            </w:r>
          </w:p>
          <w:p w14:paraId="020CCD83" w14:textId="018EE01D"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{"citationItems":[{"id":"ITEM-1","itemData":{"DOI":"10.1515/cks-2015-0009","ISSN":"1338-5283","abstract":"&lt;p&gt;is to partially describe underpinning economics for the circular economy. A circular economy (closed-loop system) is an advancement from the linear economy (open-loop system) which behaves according to the hierarchy of 6R, preferring reuse, remanufacture or recycle solutions insead of disposal (known also as a „linear dead-end“).&lt;/p&gt;","author":[{"dropping-particle":"","family":"Dolinsky","given":"Martin","non-dropping-particle":"","parse-names":false,"suffix":""},{"dropping-particle":"","family":"Maier","given":"Stephan","non-dropping-particle":"","parse-names":false,"suffix":""}],"container-title":"Creative and Knowledge Society","id":"ITEM-1","issue":"2","issued":{"date-parts":[["2015"]]},"page":"1-10","title":"Market-based Approach in Shift from Linear Economy Towards Circular Economy Supported by Game Theory Analysis","type":"article-journal","volume":"5"},"uris":["http://www.mendeley.com/documents/?uuid=cebf0799-a036-48b2-8f59-ad91b3e85544"]}],"mendeley":{"formattedCitation":"(Dolinsky and Maier, 2015)","plainTextFormattedCitation":"(Dolinsky and Maier, 2015)","previouslyFormattedCitation":"(Dolinsky and Maier, 2015)"},"properties":{"noteIndex":0},"schema":"https://github.com/citation-style-language/schema/raw/master/csl-citation.json"}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(Dolinsky and Maier, 2015)</w:t>
            </w:r>
            <w:r w:rsidRPr="00A04DD6">
              <w:rPr>
                <w:sz w:val="20"/>
                <w:szCs w:val="20"/>
                <w:lang w:val="en-GB"/>
              </w:rPr>
              <w:fldChar w:fldCharType="end"/>
            </w:r>
          </w:p>
          <w:p w14:paraId="4034C2D4" w14:textId="1B55DC8F"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{"citationItems":[{"id":"ITEM-1","itemData":{"DOI":"10.1098/rsta.2016.0367","ISBN":"0000000347310","ISSN":"1364-503X","PMID":"28461431","abstract":"The sudden rise of the sharing economy has sparked an intense public debate about its definition, its effects and its future regulation. Here, I attempt to provide analytical guidance by defining the sharing economy as the practice that consumers grant each other temporary access to their under-utilized physical assets. Using this definition, the rise of the sharing economy can be understood as occurring at the intersection of three salient economic trends: peer-to-peer exchange, access over ownership and circular business models. I shortly discuss some of the environmental impacts of online sharing platforms and then articulate three possible futures of the sharing economy: a capitalist future cumulating in monopolistic super-platforms allowing for seamless services, a state-led future that shifts taxation from labour to capital and redistributes the gains of sharing from winners to losers, and a citizen-led future based on cooperatively owned platforms under democratic control. The nature and size of the social and environmental impacts are expected to differ greatly in each of the three scenarios.This article is part of the themed issue 'Material demand reduction'.","author":[{"dropping-particle":"","family":"Frenken","given":"Koen","non-dropping-particle":"","parse-names":false,"suffix":""}],"container-title":"Philosophical Transactions of the Royal Society A: Mathematical, Physical and Engineering Sciences","id":"ITEM-1","issued":{"date-parts":[["2017"]]},"page":"1-15","title":"Political economies and environmental futures for the sharing economy","type":"article-journal","volume":"375"},"uris":["http://www.mendeley.com/documents/?uuid=efe3c4b8-3170-4ed6-a637-51af698bc56d","http://www.mendeley.com/documents/?uuid=af414e1c-b1dd-4875-b967-bb8eb71e81db"]}],"mendeley":{"formattedCitation":"(Frenken, 2017)","plainTextFormattedCitation":"(Frenken, 2017)","previouslyFormattedCitation":"(Frenken,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(Frenken, 2017)</w:t>
            </w:r>
            <w:r w:rsidRPr="00A04DD6">
              <w:rPr>
                <w:sz w:val="20"/>
                <w:szCs w:val="20"/>
                <w:lang w:val="en-GB"/>
              </w:rPr>
              <w:fldChar w:fldCharType="end"/>
            </w:r>
          </w:p>
          <w:p w14:paraId="432312BF" w14:textId="4673A0FB"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{"citationItems":[{"id":"ITEM-1","itemData":{"DOI":"10.1177/0734242X16628981","ISBN":"0734-242X","ISSN":"10963669","PMID":"26917561","abstract":"Earth’s natural resources are finite. To be environmentally sustainable, it may not only be necessary to use them ‘efficiently’ but also ‘effectively’. While we consider ‘repair’, ‘recondition’, ‘refurbish’ and ‘remanufacture’ to be ‘reuse’ options, not all researchers agree. Also, there is lack of clarity between the different options that are likely to be challenging for both; the policy makers who formulate policies aimed to encourage ‘reuse’ of ‘waste’ products and for decision makers to initiate appropriate action for recovering ‘reusable resources’ from ‘waste streams’. This dichotomy could result into more ‘waste’ to landfill. A systematic analysis of peer reviewed literature is conducted to understand inconsistencies and/or lack of clarity that exist between the definitions or descriptions of identified `reuse’ options. This article proposes a ‘hierarchy of reuse options’ that plots the relative positions of identified ‘reuse’ options vis-à-vis five variables, namely work content, energy requireme...","author":[{"dropping-particle":"","family":"Gharfalkar","given":"Mangesh","non-dropping-particle":"","parse-names":false,"suffix":""},{"dropping-particle":"","family":"Ali","given":"Zulfiqur","non-dropping-particle":"","parse-names":false,"suffix":""},{"dropping-particle":"","family":"Hillier","given":"Graham","non-dropping-particle":"","parse-names":false,"suffix":""}],"container-title":"Waste Management &amp; Research","id":"ITEM-1","issue":"10","issued":{"date-parts":[["2016"]]},"page":"995-1005","title":"Clarifying the disagreements on various reuse options: Repair, recondition, refurbish and remanufacture","type":"article-journal","volume":"34"},"uris":["http://www.mendeley.com/documents/?uuid=f168eb74-899e-4b8f-a970-b9175684823a"]}],"mendeley":{"formattedCitation":"(Gharfalkar et al., 2016)","plainTextFormattedCitation":"(Gharfalkar et al., 2016)","previouslyFormattedCitation":"(Gharfalkar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(Gharfalkar et al., 2016)</w:t>
            </w:r>
            <w:r w:rsidRPr="00A04DD6">
              <w:rPr>
                <w:sz w:val="20"/>
                <w:szCs w:val="20"/>
                <w:lang w:val="en-GB"/>
              </w:rPr>
              <w:fldChar w:fldCharType="end"/>
            </w:r>
          </w:p>
          <w:p w14:paraId="3392FECE"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{"citationItems":[{"id":"ITEM-1","itemData":{"DOI":"10.1016/j.jclepro.2015.09.007","ISBN":"0959-6526","ISSN":"09596526","PMID":"24910141","abstract":"In the last few years Circular Economy (CE) is receiving increasing attention worldwide as a way to overcome the current production and consumption model based on continuous growth and increasing resource throughput. By promoting the adoption of closing-the-loop production patterns within an economic system CE aims to increase the efficiency of resource use, with special focus on urban and industrial waste, to achieve a better balance and harmony between economy, environment and society. This study provides an extensive review of the literature of last two decades, with the purpose of grasping the main CE features and perspectives: origins, basic principles, advantages and disadvantages, modelling and implementation of CE at the different levels (micro, meso and macro) worldwide. Results evidence that CE origins are mainly rooted in ecological and environmental economics and industrial ecology. In China CE is promoted as a top-down national political objective while in other areas and countries as European Union, Japan and USA it is a tool to design bottom-up environmental and waste management policies. The ultimate goal of promoting CE is the decoupling of environmental pressure from economic growth. The implementation of CE worldwide still seems in the early stages, mainly focused on recycle rather than reuse. Important results have been achieved in some activity sectors (e.g. in waste management, where large waste recycling rates are achieved in selected developed countries). CE implies the adoption of cleaner production patterns at company level, an increase of producers and consumers responsibility and awareness, the use of renewable technologies and materials (wherever possible) as well as the adoption of suitable, clear and stable policies and tools. The lesson learned from successful experiences is that the transition towards CE comes from the involvement of all actors of the society and their capacity to link and create suitable collaboration and exchange patterns. Success stories also point out the need for an economic return on investment, in order to provide suitable motivation to companies and investors. In summary, the CE transition has just started. Moreover, the interdisciplinary framework underpinning CE offers good prospects for gradual improvement of the present production and consumption models, no longer adequate because of their environmental load and social inequity, a clear indicator of resource use inefficiency.","author":[{"dropping-particle":"","family":"Ghisellini","given":"Patrizia","non-dropping-particle":"","parse-names":false,"suffix":""},{"dropping-particle":"","family":"Cialani","given":"Catia","non-dropping-particle":"","parse-names":false,"suffix":""},{"dropping-particle":"","family":"Ulgiati","given":"Sergio","non-dropping-particle":"","parse-names":false,"suffix":""}],"container-title":"Journal of Cleaner Production","id":"ITEM-1","issued":{"date-parts":[["2016"]]},"page":"11-32","publisher":"Elsevier Ltd","title":"A review on circular economy: The expected transition to a balanced interplay of environmental and economic systems","type":"article-journal","volume":"114"},"uris":["http://www.mendeley.com/documents/?uuid=b16925b9-4d4d-4329-9dc2-0e6055369931","http://www.mendeley.com/documents/?uuid=6a5baf73-6887-4320-aac1-94fe927a80f4"]}],"mendeley":{"formattedCitation":"(Ghisellini et al., 2016)","plainTextFormattedCitation":"(Ghisellini et al., 2016)","previouslyFormattedCitation":"(Ghisellini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(Ghisellini et al., 2016)</w:t>
            </w:r>
            <w:r w:rsidRPr="00A04DD6">
              <w:rPr>
                <w:sz w:val="20"/>
                <w:szCs w:val="20"/>
                <w:lang w:val="en-GB"/>
              </w:rPr>
              <w:fldChar w:fldCharType="end"/>
            </w:r>
          </w:p>
          <w:p w14:paraId="29460160" w14:textId="7FF48FF3"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{"citationItems":[{"id":"ITEM-1","itemData":{"DOI":"10.1016/j.procir.2017.03.018","ISBN":"22128271 (ISSN)","ISSN":"22128271","abstract":"The circular economy paradigm is being widely studied as a possible path to a sustainable development, decoupling economic growth from material consumption and environmental impacts. The introduction of new business models, based on use rather than ownership, has been identified as one of the possible enabling actions for the implementation of circular economy strategies. Thus, product-service systems (PSS) can represent a viable way for companies and customers to switch from a linear to a circular scheme, keeping together the advantages of a customer-oriented offer to those of dematerialization. In this work, an example of innovative, circular business model for the large appliances sector is proposed, based on a PSS and a closed-loop supply chain. A context study, supported by a deep literature analysis, is performed to identify the main changes involved in the transition from a traditional to a circular supply chain in the sector, as well as the main impacts on the actors involved, through causal loop diagrams. The study is a first step for the realization of a system dynamics model, for a further research on impact assessment.","author":[{"dropping-particle":"","family":"Gnoni","given":"Maria Grazia","non-dropping-particle":"","parse-names":false,"suffix":""},{"dropping-particle":"","family":"Mossa","given":"Giorgio","non-dropping-particle":"","parse-names":false,"suffix":""},{"dropping-particle":"","family":"Mummolo","given":"Giovanni","non-dropping-particle":"","parse-names":false,"suffix":""},{"dropping-particle":"","family":"Tornese","given":"Fabiana","non-dropping-particle":"","parse-names":false,"suffix":""},{"dropping-particle":"","family":"Verriello","given":"Rossella","non-dropping-particle":"","parse-names":false,"suffix":""}],"container-title":"Procedia CIRP","id":"ITEM-1","issued":{"date-parts":[["2017"]]},"page":"49-54","publisher":"The Author(s)","title":"Supporting Circular Economy through Use-Based Business Models: The Washing Machines Case","type":"article-journal","volume":"64"},"uris":["http://www.mendeley.com/documents/?uuid=f3ace924-c39f-4a29-8cfe-524aa08ea77b"]}],"mendeley":{"formattedCitation":"(Gnoni et al., 2017)","plainTextFormattedCitation":"(Gnoni et al., 2017)","previouslyFormattedCitation":"(Gnoni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(Gnoni et al., 2017)</w:t>
            </w:r>
            <w:r w:rsidRPr="00A04DD6">
              <w:rPr>
                <w:sz w:val="20"/>
                <w:szCs w:val="20"/>
                <w:lang w:val="en-GB"/>
              </w:rPr>
              <w:fldChar w:fldCharType="end"/>
            </w:r>
          </w:p>
          <w:p w14:paraId="7DAF7FDC" w14:textId="1CE0F27C"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{"citationItems":[{"id":"ITEM-1","itemData":{"DOI":"10.1002/tie","ISBN":"10964762","ISSN":"10964762","PMID":"84540683","abstract":"The article presents a case study to examine the Vietnamese business custom of gift giving to mark the beginning or end of a business relationship. A group of American businesspeople visiting Vietnam to scout for investment opportunities. Face to face meetings are considered a vital prelude to business dealings in Vietnam, and the American group had a positive experience. At the final meeting between the group and the Vietnamese officials with whom they had met, however, the group committed several social gaffes in the matter of their parting gift for the woman government employee who had been their tour guide and handled all its arrangements. It is suggested that Americans visting Vietnam need to plan gift-giving and similar social acknowledgements before leaving the U.S. It is also advised that American groups should appoint one person to act as their group's social spokesman.","author":[{"dropping-particle":"","family":"Goyal","given":"Sandeep","non-dropping-particle":"","parse-names":false,"suffix":""},{"dropping-particle":"","family":"Esposito","given":"Mark","non-dropping-particle":"","parse-names":false,"suffix":""},{"dropping-particle":"","family":"Kapoor","given":"Amit","non-dropping-particle":"","parse-names":false,"suffix":""}],"container-title":"Thunderbird International Business Review","id":"ITEM-1","issued":{"date-parts":[["2016"]]},"page":"1-15","title":"Circular Economy Business Models in Developing Economies: Lessons from India on Reduce, Recycle, and Reuse Paradigms","type":"article-journal"},"uris":["http://www.mendeley.com/documents/?uuid=2fe6ad3e-efc5-4a85-abfe-c04e1d2c40e2"]}],"mendeley":{"formattedCitation":"(Goyal et al., 2016)","plainTextFormattedCitation":"(Goyal et al., 2016)","previouslyFormattedCitation":"(Goyal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(Goyal et al., 2016)</w:t>
            </w:r>
            <w:r w:rsidRPr="00A04DD6">
              <w:rPr>
                <w:sz w:val="20"/>
                <w:szCs w:val="20"/>
                <w:lang w:val="en-GB"/>
              </w:rPr>
              <w:fldChar w:fldCharType="end"/>
            </w:r>
          </w:p>
          <w:p w14:paraId="50C91FC5" w14:textId="420489F6"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{"citationItems":[{"id":"ITEM-1","itemData":{"ISBN":"9788793435865","abstract":"Best practice examples of circular business models are presented in this report. The purpose is to inform and inspire interested readers, in particular companies that aspire to examine the potentials of the circular economy. Circular business models in two different sectors are examined, namely the textile and clothing sector as well as the durable goods sector. In order to appreciate the notion of circular business models, the basics of the circular economy are outlined along with three frameworks for categorizing the various types of circular business models. The frameworks take point of departure in resource loops, value bases and business model archetypes respectively, and they are applied for analysing and organizing the business models that are presented throughout the report. The investigations in the report show that circular business models are relevant to businesses because they hold the potential to provide significant economic benefits in addition to new ways of forming partnerships with suppliers and connecting with customers. Furthermore, circular business models generate essential environmental benefits as a result of the improved resource productivity they offer. These benefits are, however, not the key focus of the current report. The point of the study is to describe the diverse and unique circular business models that companies around the globe have established already within the textile and clothing sector and within the durable goods sector. Even though these two sectors are different, circular business models can be found in both. These models operate in both young and mature firms, small and large, which points to the fact that circular business models can be successfully implemented in a wide range of business settings as long as they are individually tailored to each company. The notion of individually tailored business models is important. Hence, the business models are found to be versatile in both industries, and speading across all of the aforementioned resource loops, value bases and business model archetypes. Some companies choose to focus on just one resource loop, while others are involved in several loops. Some work with resource loops in relation to their supply chain, invisible to the end-user, but others built relationships with end-users through new circular offerings. Moreover, in some of the best practice examples presented, resource loops are tightly closed, whereas in other cases they are more open due to initia…","author":[{"dropping-particle":"","family":"Guldmann","given":"Eva","non-dropping-particle":"","parse-names":false,"suffix":""}],"id":"ITEM-1","issued":{"date-parts":[["2016"]]},"number-of-pages":"56","title":"Best Practice Examples of Circular Business Models","type":"report"},"uris":["http://www.mendeley.com/documents/?uuid=6258e57f-2f23-4b2e-a719-8d90db390f3e"]}],"mendeley":{"formattedCitation":"(Guldmann, 2016)","plainTextFormattedCitation":"(Guldmann, 2016)","previouslyFormattedCitation":"(Guldmann,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(Guldmann, 2016)</w:t>
            </w:r>
            <w:r w:rsidRPr="00A04DD6">
              <w:rPr>
                <w:sz w:val="20"/>
                <w:szCs w:val="20"/>
                <w:lang w:val="en-GB"/>
              </w:rPr>
              <w:fldChar w:fldCharType="end"/>
            </w:r>
          </w:p>
          <w:p w14:paraId="4ED4A45A"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{"citationItems":[{"id":"ITEM-1","itemData":{"DOI":"10.1016/j.desal.2016.04.002","ISBN":"0011-9164","ISSN":"00119164","abstract":"Reverse osmosis (RO) is the most employed technology for water desalination. Energy consumption and membrane fouling represent some of the major concerns in membrane technology because they increase the costs associated with treated water. Membrane lifespan is mainly correlated to the quality of the water and the operation condition and it is estimated that often membrane lifespan is 5 to 10 years. Remarkable advances have been made improving the reverse osmosis desalination by integrating pretreatment and cleaning processes. Attending to the membrane active layer, substantial research efforts have been conducted in preparing new antifouling RO membranes to i) enhance antifouling properties, ii) obtain high recovery flux and iii) have low energy requirements. However, scarce research has been detected in literature regarding end-of-life membrane management. This review summarizes the most representative research activities conducted to prevent membrane fouling. In addition, it highlights alternative routes to discarded end-of-life-membranes in order to prevent the uncontrolled disposal of fouled membranes in landfills. In this way, this review aims at summarizing research efforts found in literature in order to approach a more circular economy society, covering the whole life cycle of RO membranes: from the new development of antifouling membranes to the membrane waste management.","author":[{"dropping-particle":"","family":"Landaburu-Aguirre","given":"Junkal","non-dropping-particle":"","parse-names":false,"suffix":""},{"dropping-particle":"","family":"García-Pacheco","given":"Raquel","non-dropping-particle":"","parse-names":false,"suffix":""},{"dropping-particle":"","family":"Molina","given":"Serena","non-dropping-particle":"","parse-names":false,"suffix":""},{"dropping-particle":"","family":"Rodríguez-Sáez","given":"Laura","non-dropping-particle":"","parse-names":false,"suffix":""},{"dropping-particle":"","family":"Rabadán","given":"Javier","non-dropping-particle":"","parse-names":false,"suffix":""},{"dropping-particle":"","family":"García-Calvo","given":"Eloy","non-dropping-particle":"","parse-names":false,"suffix":""}],"container-title":"Desalination","id":"ITEM-1","issued":{"date-parts":[["2016"]]},"page":"16-30","publisher":"Elsevier B.V.","title":"Fouling prevention, preparing for re-use and membrane recycling. Towards circular economy in RO desalination","type":"article-journal","volume":"393"},"uris":["http://www.mendeley.com/documents/?uuid=48c93363-3511-4fae-80c9-44c3e9bdc6ce","http://www.mendeley.com/documents/?uuid=8ce2456f-f955-4824-af2b-965730ac6a08"]}],"mendeley":{"formattedCitation":"(Landaburu-Aguirre et al., 2016)","plainTextFormattedCitation":"(Landaburu-Aguirre et al., 2016)","previouslyFormattedCitation":"(Landaburu-Aguirre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(Landaburu-Aguirre et al., 2016)</w:t>
            </w:r>
            <w:r w:rsidRPr="00A04DD6">
              <w:rPr>
                <w:sz w:val="20"/>
                <w:szCs w:val="20"/>
                <w:lang w:val="en-GB"/>
              </w:rPr>
              <w:fldChar w:fldCharType="end"/>
            </w:r>
          </w:p>
          <w:p w14:paraId="4EB1FE17" w14:textId="125CC4B3" w:rsidR="005E0E7F" w:rsidRPr="00A04DD6" w:rsidRDefault="005E0E7F" w:rsidP="00D62E44">
            <w:pPr>
              <w:rPr>
                <w:sz w:val="20"/>
                <w:szCs w:val="20"/>
                <w:lang w:val="en-GB"/>
              </w:rPr>
            </w:pPr>
            <w:r w:rsidRPr="00A04DD6">
              <w:rPr>
                <w:sz w:val="20"/>
                <w:szCs w:val="20"/>
                <w:lang w:val="en-GB"/>
              </w:rPr>
              <w:lastRenderedPageBreak/>
              <w:fldChar w:fldCharType="begin" w:fldLock="1"/>
            </w:r>
            <w:r w:rsidR="003445CC">
              <w:rPr>
                <w:sz w:val="20"/>
                <w:szCs w:val="20"/>
                <w:lang w:val="en-GB"/>
              </w:rPr>
              <w:instrText>ADDIN CSL_CITATION {"citationItems":[{"id":"ITEM-1","itemData":{"DOI":"10.1016/j.envint.2016.05.012","ISBN":"0160-4120","ISSN":"18736750","PMID":"27262786","abstract":"The Stockholm Convention bans toxic chemicals on its persistent organic pollutants (POPs) list in order to promote cleaner production and prevent POPs accumulation in the global environment. The original 'dirty dozen' set of POPs has been expanded to include some of the brominated diphenyl ether flame retardants (POP-BDEs). In addition to cleaner production, there is an urgent need for increased resource efficiency to address the finite amount of raw materials on Earth. Recycling plastic enhances resource efficiency and is part of the circular economy approach, but how clean are the materials we are recycling? With the help of a new screening method and detailed analyses, we set out to investigate where these largely obsolete BDEs were showing up in Dutch automotive and electronics waste streams, calculate mass flows and determine to what extent they are entering the new product chains. Our study revealed that banned BDEs and other toxic flame retardants are found at high concentrations in certain plastic materials destined for recycling markets. They were also found in a variety of new consumer products, including children's toys. A mass flow analysis showed that 22% of all the POP-BDE in waste electrical and electronic equipment (WEEE) is expected to end up in recycled plastics because these toxic, bioaccumulative and persistent substances are currently not effectively separated out of plastic waste streams. In the automotive sector, this is 14%, while an additional 19% is expected to end up in second-hand parts (reuse). These results raise the issue of delicate trade-offs between consumer safety/cleaner production and resource efficiency. As petroleum intensive materials, plastic products ought to be repaired, reused, remanufactured and recycled, making good use of the 'inner circles' of the circular economy. Keeping hazardous substances - whether they are well known POPs or emerging contaminants - out of products and plastic waste streams could make these cycles work better for businesses, people and nature.","author":[{"dropping-particle":"","family":"Leslie","given":"H.A.","non-dropping-particle":"","parse-names":false,"suffix":""},{"dropping-particle":"","family":"Leonards","given":"P.E.G.","non-dropping-particle":"","parse-names":false,"suffix":""},{"dropping-particle":"","family":"Brandsma","given":"S.H.","non-dropping-particle":"","parse-names":false,"suffix":""},{"dropping-particle":"","family":"Boer","given":"J.","non-dropping-particle":"de","parse-names":false,"suffix":""},{"dropping-particle":"","family":"Jonkers","given":"N.","non-dropping-particle":"","parse-names":false,"suffix":""}],"container-title":"Environment International","id":"ITEM-1","issued":{"date-parts":[["2016"]]},"page":"230-234","publisher":"Elsevier Ltd","title":"Propelling plastics into the circular economy - weeding out the toxics first","type":"article-journal","volume":"94"},"uris":["http://www.mendeley.com/documents/?uuid=1aa0b29f-64c0-4901-b754-1c506ac46d2a","http://www.mendeley.com/documents/?uuid=bed93ff2-0667-4957-9e2f-be1e00556584"]}],"mendeley":{"formattedCitation":"(Leslie et al., 2016)","plainTextFormattedCitation":"(Leslie et al., 2016)","previouslyFormattedCitation":"(Leslie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(Leslie et al., 2016)</w:t>
            </w:r>
            <w:r w:rsidRPr="00A04DD6">
              <w:rPr>
                <w:sz w:val="20"/>
                <w:szCs w:val="20"/>
                <w:lang w:val="en-GB"/>
              </w:rPr>
              <w:fldChar w:fldCharType="end"/>
            </w:r>
          </w:p>
          <w:p w14:paraId="1D6D99B1" w14:textId="58E89EB7"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{"citationItems":[{"id":"ITEM-1","itemData":{"DOI":"10.1007/s10458-017-9365-9","ISSN":"1387-2532","abstract":"This paper introduces an agent-based approach to study customer behavior in terms of their acceptance of new business models in Circular Economy (CE) context. In a CE customers are perceived as integral part of the business and therefore customer acceptance of new business models becomes crucial as it determines the successful implementation of CE. However, tools or methods are missing to capture customer behavior to assess how customers will react if an organization introduces a new business model such as leasing or functional sales. The purpose of this research is to bring forward a quantitative analysis tool for identifying proper marketing and pricing strategies to obtain best fit demand behavior for the chosen new business model. This tool will support decision makers in determining the impact of introducing new (circular) business models. The model has been developed using an agent-based modeling approach which delivers results based on socio-demographic factors of a population and customers’ relative preferences of product attributes price, environmental friendliness and service-orientation. The implementation of the model has been tested using the practical business example of a washing machine. This research presents the first agent-based tool that can assess customer behavior and determine whether introduction of new business models will be accepted or not and how customer acceptance can be influenced to accelerate CE implementation. The tool integrates socio-demographic factors, product utility functions, social network structures and inter-agent communication in order to comprehensively describe behavior on individual customer level. In addition to the tool itself the results of this research indicates the need for systematic marketing strategies which emphasize CE value propositions in order to accelerate customer acceptance and shorten the transition time from linear to circular. Agent-based models are emphasized as highly capable to fill the gap between diffusion-based penetration of information and resulting behavior in the form of purchase decisions","author":[{"dropping-particle":"","family":"Lieder","given":"Michael","non-dropping-particle":"","parse-names":false,"suffix":""},{"dropping-particle":"","family":"Asif","given":"Farazee M.A.","non-dropping-particle":"","parse-names":false,"suffix":""},{"dropping-particle":"","family":"Rashid","given":"Amir","non-dropping-particle":"","parse-names":false,"suffix":""}],"container-title":"Autonomous Agents and Multi-Agent Systems","id":"ITEM-1","issued":{"date-parts":[["2017"]]},"page":"1-26","publisher":"Springer US","title":"Towards Circular Economy implementation: an agent-based simulation approach for business model changes","type":"article-journal"},"uris":["http://www.mendeley.com/documents/?uuid=40bdedbe-87e8-4d08-bdbb-acb36f04f684","http://www.mendeley.com/documents/?uuid=2205d4b7-c518-43d0-bffb-d26c2bade05d"]}],"mendeley":{"formattedCitation":"(Lieder et al., 2017a)","plainTextFormattedCitation":"(Lieder et al., 2017a)","previouslyFormattedCitation":"(Lieder et al., 2017a)"},"properties":{"noteIndex":0},"schema":"https://github.com/citation-style-language/schema/raw/master/csl-citation.json"}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(Lieder et al., 2017a)</w:t>
            </w:r>
            <w:r w:rsidRPr="00A04DD6">
              <w:rPr>
                <w:sz w:val="20"/>
                <w:szCs w:val="20"/>
                <w:lang w:val="en-GB"/>
              </w:rPr>
              <w:fldChar w:fldCharType="end"/>
            </w:r>
          </w:p>
          <w:p w14:paraId="10ADCCE8" w14:textId="546CFC67" w:rsidR="005E0E7F" w:rsidRPr="003B528D"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{"citationItems":[{"id":"ITEM-1","itemData":{"DOI":"10.1007/s00170-017-0610-9","ISBN":"0017001706","ISSN":"14333015","abstract":"The recent circular economy movement has raised awareness and interest about untapped environmental and economic potential in the manufacturing industry. One of the crucial aspects in the implementation of circular or closed-loop manufacturing approach is the design of circular products. While it is obvious that three post-use strategies, i.e., reuse, remanufacturing, and recycling, are highly relevant to achieve loop closure, it is enormously challenging to choose “the right” strategy (if at all) during the early design stage and especially at the single component level. One reason is that economic and environmental impacts of adapting these strategies are not explicit as they vary depending on the chosen business model and associated supply chains. In this scenario, decision support is essential to motivate adaptation of regenerative design strategies. The main purpose of this paper is to provide reliable decision support at the intersection of multiple lifecycle design and business models in the circular economy context to identify effects on cost and CO2 emissions. The development of this work consists of a systematic method to quantify design effort for different circular design options through a multi-method simulation approach. The simulation model combines an agent-based product architecture and a discrete event closed-loop supply chain model. Feasibility of the model is tested using a case of a washing machine provided by Gorenje d.d. Firstly, design efforts for reuse, remanufacturing, and recycling are quantified. Secondly, cost and emissions of different design options are explored with different business model configurations. Finally, an optimization experiment is run to identify the most cost-effective combination of reused, remanufactured, and recycled components for a business model chosen on the basis of the explorative study results. © 2017 The Author(s)","author":[{"dropping-particle":"","family":"Lieder","given":"Michael","non-dropping-particle":"","parse-names":false,"suffix":""},{"dropping-particle":"","family":"Asif","given":"Farazee M.A.","non-dropping-particle":"","parse-names":false,"suffix":""},{"dropping-particle":"","family":"Rashid","given":"Amir","non-dropping-particle":"","parse-names":false,"suffix":""},{"dropping-particle":"","family":"Mihelič","given":"Aleš","non-dropping-particle":"","parse-names":false,"suffix":""},{"dropping-particle":"","family":"Kotnik","given":"Simon","non-dropping-particle":"","parse-names":false,"suffix":""}],"container-title":"International Journal of Advanced Manufacturing Technology","id":"ITEM-1","issue":"5-8","issued":{"date-parts":[["2017"]]},"page":"1953-1970","title":"Towards circular economy implementation in manufacturing systems using a multi-method simulation approach to link design and business strategy","type":"article-journal","volume":"93"},"uris":["http://www.mendeley.com/documents/?uuid=1c6b055f-f5f4-462b-aed9-8e35091db7ab"]}],"mendeley":{"formattedCitation":"(Lieder et al., 2017b)","plainTextFormattedCitation":"(Lieder et al., 2017b)","previouslyFormattedCitation":"(Lieder et al., 2017b)"},"properties":{"noteIndex":0},"schema":"https://github.com/citation-style-language/schema/raw/master/csl-citation.json"}</w:instrText>
            </w:r>
            <w:r w:rsidRPr="00A04DD6">
              <w:rPr>
                <w:sz w:val="20"/>
                <w:szCs w:val="20"/>
                <w:lang w:val="en-GB"/>
              </w:rPr>
              <w:fldChar w:fldCharType="separate"/>
            </w:r>
            <w:r w:rsidRPr="003B528D">
              <w:rPr>
                <w:noProof/>
                <w:sz w:val="20"/>
                <w:szCs w:val="20"/>
                <w:lang w:val="en-GB"/>
              </w:rPr>
              <w:t>(Lieder et al., 2017b)</w:t>
            </w:r>
            <w:r w:rsidRPr="00A04DD6">
              <w:rPr>
                <w:sz w:val="20"/>
                <w:szCs w:val="20"/>
                <w:lang w:val="en-GB"/>
              </w:rPr>
              <w:fldChar w:fldCharType="end"/>
            </w:r>
          </w:p>
          <w:p w14:paraId="769A9D32" w14:textId="77777777" w:rsidR="005E0E7F" w:rsidRPr="003B528D" w:rsidRDefault="005E0E7F" w:rsidP="00D62E44">
            <w:pPr>
              <w:rPr>
                <w:sz w:val="20"/>
                <w:szCs w:val="20"/>
                <w:lang w:val="en-GB"/>
              </w:rPr>
            </w:pPr>
            <w:r w:rsidRPr="00A04DD6">
              <w:rPr>
                <w:sz w:val="20"/>
                <w:szCs w:val="20"/>
                <w:lang w:val="en-GB"/>
              </w:rPr>
              <w:fldChar w:fldCharType="begin" w:fldLock="1"/>
            </w:r>
            <w:r w:rsidRPr="003B528D">
              <w:rPr>
                <w:sz w:val="20"/>
                <w:szCs w:val="20"/>
                <w:lang w:val="en-GB"/>
              </w:rPr>
              <w:instrText>ADDIN CSL_CITATION {"citationItems":[{"id":"ITEM-1","itemData":{"DOI":"10.1002/bse.1906","ISBN":"1099-0836","ISSN":"10990836","abstract":"Circular business models based on remanufacturing and reuse promise significant cost savings as well as radical reductions in environmental impact. Variants of such business models have been suggested for decades, and there are notable success stories such as the Xerox product–service offering based on photocopiers that are remanufactured. Still, we are not seeing widespread adoption in industry. This paper examines causes for reluctance. Drawing on a hypothesis-testing framework of business model innovation, we show that circular business models imply significant challenges to proactive uncertainty reduction for the entrepreneur. Moreover, we show that many product–service system variants that facilitate return flow control in circular business models further aggravate the potential negative effects of failed uncertainty reduction because of increased capital commitments. Through a longitudinal action research study we also provide a counterexample to many of the challenges identified in previous studies, which could be overcome in the studied case. Copyright © 2015 John Wiley &amp; Sons, Ltd and ERP Environment","author":[{"dropping-particle":"","family":"Linder","given":"Marcus","non-dropping-particle":"","parse-names":false,"suffix":""},{"dropping-particle":"","family":"Williander","given":"Mats","non-dropping-particle":"","parse-names":false,"suffix":""}],"container-title":"Business Strategy and the Environment","id":"ITEM-1","issue":"2","issued":{"date-parts":[["2017"]]},"page":"182-196","title":"Circular Business Model Innovation: Inherent Uncertainties","type":"article-journal","volume":"26"},"uris":["http://www.mendeley.com/documents/?uuid=bdb7f87c-693a-4e41-94b6-7eaa593e7503","http://www.mendeley.com/documents/?uuid=fdfb012a-62da-49aa-87ee-73fa0d1e24c2"]}],"mendeley":{"formattedCitation":"(Linder and Williander, 2017)","plainTextFormattedCitation":"(Linder and Williander, 2017)","previouslyFormattedCitation":"(Linder and Williander, 2017)"},"properties":{"noteIndex":0},"schema":"https://github.com/citation-style-language/schema/raw/master/csl-citation.json"}</w:instrText>
            </w:r>
            <w:r w:rsidRPr="00A04DD6">
              <w:rPr>
                <w:sz w:val="20"/>
                <w:szCs w:val="20"/>
                <w:lang w:val="en-GB"/>
              </w:rPr>
              <w:fldChar w:fldCharType="separate"/>
            </w:r>
            <w:r w:rsidRPr="003B528D">
              <w:rPr>
                <w:noProof/>
                <w:sz w:val="20"/>
                <w:szCs w:val="20"/>
                <w:lang w:val="en-GB"/>
              </w:rPr>
              <w:t>(Linder and Williander, 2017)</w:t>
            </w:r>
            <w:r w:rsidRPr="00A04DD6">
              <w:rPr>
                <w:sz w:val="20"/>
                <w:szCs w:val="20"/>
                <w:lang w:val="en-GB"/>
              </w:rPr>
              <w:fldChar w:fldCharType="end"/>
            </w:r>
          </w:p>
          <w:p w14:paraId="248D7ADB" w14:textId="25E69F88" w:rsidR="005E0E7F" w:rsidRPr="003B528D"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{"citationItems":[{"id":"ITEM-1","itemData":{"DOI":"10.1016/j.procir.2016.03.027","ISSN":"22128271","abstract":"The paper concerns which sustainability-oriented Functional Products (FP) customer values companies, who also provide products and services, consider as important to communicate to customers when offering or planning to offer FP. Currently, the manufacturing industry is showing increasing interest in adding offerings based on additionally complex business models as opposed to merely offering products and services. This is considered necessary if companies are to continue to be able to innovate and stay competitive and profitable in global competition. A considerable focus is directed towards performance- or result-based business models. FP is one such business model, where the provider offers a function to customers at an agreed-upon level of availability, productivity or efficiency. FP comprise the following four main constituents: hardware, software, service support system and management of operation, which together deliver value to customers on a long-term basis. The paper proposes a set of FP sustainability-oriented customer values which are categorized according to the sustainability aspects: economic, ecological and societal, and the set is further analyzed from a regulatory and legal perspective.","author":[{"dropping-particle":"","family":"Lindström","given":"John","non-dropping-particle":"","parse-names":false,"suffix":""}],"container-title":"Procedia CIRP","id":"ITEM-1","issued":{"date-parts":[["2016"]]},"page":"16-21","publisher":"Elsevier B.V.","title":"When Moving from Products and Services towards Functional Products: Which Sustainability-oriented Customer Values are of Interest?","type":"article-journal","volume":"48"},"uris":["http://www.mendeley.com/documents/?uuid=6ebdd227-7661-40ae-8b37-4e37ec389c77","http://www.mendeley.com/documents/?uuid=a5b81c44-fa47-46fe-8118-9ae482156011"]}],"mendeley":{"formattedCitation":"(Lindström, 2016)","plainTextFormattedCitation":"(Lindström, 2016)","previouslyFormattedCitation":"(Lindström, 2016)"},"properties":{"noteIndex":0},"schema":"https://github.com/citation-style-language/schema/raw/master/csl-citation.json"}</w:instrText>
            </w:r>
            <w:r w:rsidRPr="00A04DD6">
              <w:rPr>
                <w:sz w:val="20"/>
                <w:szCs w:val="20"/>
                <w:lang w:val="en-GB"/>
              </w:rPr>
              <w:fldChar w:fldCharType="separate"/>
            </w:r>
            <w:r w:rsidRPr="003B528D">
              <w:rPr>
                <w:noProof/>
                <w:sz w:val="20"/>
                <w:szCs w:val="20"/>
                <w:lang w:val="en-GB"/>
              </w:rPr>
              <w:t>(Lindström, 2016)</w:t>
            </w:r>
            <w:r w:rsidRPr="00A04DD6">
              <w:rPr>
                <w:sz w:val="20"/>
                <w:szCs w:val="20"/>
                <w:lang w:val="en-GB"/>
              </w:rPr>
              <w:fldChar w:fldCharType="end"/>
            </w:r>
          </w:p>
          <w:p w14:paraId="62AEE86A" w14:textId="57A41DE5" w:rsidR="005E0E7F" w:rsidRPr="003B528D"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{"citationItems":[{"id":"ITEM-1","itemData":{"DOI":"10.1016/j.procir.2016.11.169","ISSN":"22128271","abstract":"Electronics plays an essential role in many products and this leads to a larger production of e-wastes, currently recovered through impactful recycling processes. This paper proposes a web-based platform to implement reuse scenarios for electronic components. The objective is to create a structured portal where all the stakeholders can collaborate to extend the components lifespan and implement new circular business models. The final goal is to \"close the gap\" between the beginning and the end of life. The case study (industrial application) shows relevant benefits for the involved electronics manufacturer both in terms of environmental impact and economic savings.","author":[{"dropping-particle":"","family":"Marconi","given":"Marco","non-dropping-particle":"","parse-names":false,"suffix":""},{"dropping-particle":"","family":"Favi","given":"Claudio","non-dropping-particle":"","parse-names":false,"suffix":""},{"dropping-particle":"","family":"Germani","given":"Michele","non-dropping-particle":"","parse-names":false,"suffix":""},{"dropping-particle":"","family":"Mandolini","given":"Marco","non-dropping-particle":"","parse-names":false,"suffix":""},{"dropping-particle":"","family":"Mengarelli","given":"Marco","non-dropping-particle":"","parse-names":false,"suffix":""}],"container-title":"Procedia CIRP","id":"ITEM-1","issued":{"date-parts":[["2017"]]},"page":"166-171","publisher":"The Author(s)","title":"A Collaborative End of Life platform to Favour the Reuse of Electronic Components","type":"article-journal","volume":"61"},"uris":["http://www.mendeley.com/documents/?uuid=8f078081-dd83-4e00-be07-430a621d2df5"]}],"mendeley":{"formattedCitation":"(Marconi et al., 2017)","plainTextFormattedCitation":"(Marconi et al., 2017)","previouslyFormattedCitation":"(Marconi et al., 2017)"},"properties":{"noteIndex":0},"schema":"https://github.com/citation-style-language/schema/raw/master/csl-citation.json"}</w:instrText>
            </w:r>
            <w:r w:rsidRPr="00A04DD6">
              <w:rPr>
                <w:sz w:val="20"/>
                <w:szCs w:val="20"/>
                <w:lang w:val="en-GB"/>
              </w:rPr>
              <w:fldChar w:fldCharType="separate"/>
            </w:r>
            <w:r w:rsidRPr="003B528D">
              <w:rPr>
                <w:noProof/>
                <w:sz w:val="20"/>
                <w:szCs w:val="20"/>
                <w:lang w:val="en-GB"/>
              </w:rPr>
              <w:t>(Marconi et al., 2017)</w:t>
            </w:r>
            <w:r w:rsidRPr="00A04DD6">
              <w:rPr>
                <w:sz w:val="20"/>
                <w:szCs w:val="20"/>
                <w:lang w:val="en-GB"/>
              </w:rPr>
              <w:fldChar w:fldCharType="end"/>
            </w:r>
          </w:p>
          <w:p w14:paraId="6B1727EF"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{"citationItems":[{"id":"ITEM-1","itemData":{"DOI":"10.1016/j.jclepro.2006.01.028","ISBN":"0959-6526","ISSN":"09596526","abstract":"The Sustainable Product and/or Service Development (SPSD) approach is a pragmatic industry support encompassing a range of strategies aimed at maximising environmental and social performance in all types of \"offerings\" whether they are \"products\", \"services\" or Product Service Systems (PSS). Implementation of the approach was tested in industry and conclusions reached on the effectiveness of the strategies included in terms of developing an offering with improved sustainability performance as well as practical use as an industry approach. Two strategies incorporated are functional and systems thinking, as these are seen as key for increasing the environmental benefits of offerings. This paper summarises the SPSD approach, general industry testing results, describes how and why functional and systems strategies are incorporated in it and industry testing results relating to their use. This provides valuable information on how functional and systems related considerations can be practically and effectively included in sustainable offering development. © 2006 Elsevier Ltd. All rights reserved.","author":[{"dropping-particle":"","family":"Maxwell","given":"Dorothy","non-dropping-particle":"","parse-names":false,"suffix":""},{"dropping-particle":"","family":"Sheate","given":"William","non-dropping-particle":"","parse-names":false,"suffix":""},{"dropping-particle":"","family":"Vorst","given":"Rita","non-dropping-particle":"van der","parse-names":false,"suffix":""}],"container-title":"Journal of Cleaner Production","id":"ITEM-1","issue":"17","issued":{"date-parts":[["2006"]]},"page":"1466-1479","title":"Functional and systems aspects of the sustainable product and service development approach for industry","type":"article-journal","volume":"14"},"uris":["http://www.mendeley.com/documents/?uuid=3fcad2be-b332-4c3f-8da5-a49a5f13aa18","http://www.mendeley.com/documents/?uuid=6e472486-da9e-4c70-8ad7-61617f8915b7"]}],"mendeley":{"formattedCitation":"(Maxwell et al., 2006)","plainTextFormattedCitation":"(Maxwell et al., 2006)","previouslyFormattedCitation":"(Maxwell et al., 2006)"},"properties":{"noteIndex":0},"schema":"https://github.com/citation-style-language/schema/raw/master/csl-citation.json"}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(Maxwell et al., 2006)</w:t>
            </w:r>
            <w:r w:rsidRPr="00A04DD6">
              <w:rPr>
                <w:sz w:val="20"/>
                <w:szCs w:val="20"/>
                <w:lang w:val="en-GB"/>
              </w:rPr>
              <w:fldChar w:fldCharType="end"/>
            </w:r>
          </w:p>
          <w:p w14:paraId="7263FE92" w14:textId="37BEBD43"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{"citationItems":[{"id":"ITEM-1","itemData":{"DOI":"10.1111/jiec.12590","ISSN":"15309290","abstract":"The circular economy (CE) is essential for decoupling economic growth from resource consumption and environmental impacts. However, effective implementation requires a systemic change across supply chains, involving both technological and nontechnological innovations. Frameworks are beginning to emerge to foster CE thinking in organizations. However, literature review carried out as part of this research has revealed gaps in their ability to fulfil CE requirements. Furthermore, few frameworks provide support on how CE requirements may be implemented. To address these issues, this article presents a new framework, BECE (backcasting and eco-design for the circular economy), to ensure that businesses can implement CE requirements more readily. BECE empowers organizations to tackle the CE holistically by embedding the concept into corporate decision making and by bringing operational and systems thinking together, thus increasing the likelihood of successful implementation. The potential of the BECE framework was tested through a pilot workshop focusing on the development of a CE business model through redesign of products and supply chains. Using vacuum cleaners as an illustrative case study, several product design and supply-chain alternatives were identified, including the development of scenarios and action plans for their implementation at the business level. Although the case study focuses on a particular product, the BECE framework is generic and applicable across different products and business sectors.","author":[{"dropping-particle":"","family":"Mendoza","given":"Joan Manuel F.","non-dropping-particle":"","parse-names":false,"suffix":""},{"dropping-particle":"","family":"Sharmina","given":"Maria","non-dropping-particle":"","parse-names":false,"suffix":""},{"dropping-particle":"","family":"Gallego-Schmid","given":"Alejandro","non-dropping-particle":"","parse-names":false,"suffix":""},{"dropping-particle":"","family":"Heyes","given":"Graeme","non-dropping-particle":"","parse-names":false,"suffix":""},{"dropping-particle":"","family":"Azapagic","given":"Adisa","non-dropping-particle":"","parse-names":false,"suffix":""}],"container-title":"Journal of Industrial Ecology","id":"ITEM-1","issue":"3","issued":{"date-parts":[["2017"]]},"page":"526-544","title":"Integrating Backcasting and Eco-Design for the Circular Economy: The BECE Framework","type":"article-journal","volume":"21"},"uris":["http://www.mendeley.com/documents/?uuid=0dcf7c41-0a95-49dc-83a6-fa6306310b97"]}],"mendeley":{"formattedCitation":"(Mendoza et al., 2017)","plainTextFormattedCitation":"(Mendoza et al., 2017)","previouslyFormattedCitation":"(Mendoza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(Mendoza et al., 2017)</w:t>
            </w:r>
            <w:r w:rsidRPr="00A04DD6">
              <w:rPr>
                <w:sz w:val="20"/>
                <w:szCs w:val="20"/>
                <w:lang w:val="en-GB"/>
              </w:rPr>
              <w:fldChar w:fldCharType="end"/>
            </w:r>
          </w:p>
          <w:p w14:paraId="012A25E6" w14:textId="7D06996B"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{"citationItems":[{"id":"ITEM-1","itemData":{"author":[{"dropping-particle":"","family":"Milios","given":"Leonidas","non-dropping-particle":"","parse-names":false,"suffix":""}],"container-title":"ERSCP 2017 - 18th European Roundtable on Sustainable Consumption and Production Conference","id":"ITEM-1","issued":{"date-parts":[["2017"]]},"page":"1-11","title":"The 'circular' building materials challenge : a case-based policy approach policy approach","type":"paper-conference"},"uris":["http://www.mendeley.com/documents/?uuid=d765cb74-e10c-44bd-ac93-aa15cd79ce63","http://www.mendeley.com/documents/?uuid=f245ad80-84bd-4ecb-9698-772ab61bfa13"]}],"mendeley":{"formattedCitation":"(Milios, 2017)","plainTextFormattedCitation":"(Milios, 2017)","previouslyFormattedCitation":"(Milios,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(Milios, 2017)</w:t>
            </w:r>
            <w:r w:rsidRPr="00A04DD6">
              <w:rPr>
                <w:sz w:val="20"/>
                <w:szCs w:val="20"/>
                <w:lang w:val="en-GB"/>
              </w:rPr>
              <w:fldChar w:fldCharType="end"/>
            </w:r>
          </w:p>
          <w:p w14:paraId="48FC8999" w14:textId="6CB8E901"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{"citationItems":[{"id":"ITEM-1","itemData":{"ISSN":"22204342","author":[{"dropping-particle":"","family":"Nystrom","given":"Thomas","non-dropping-particle":"","parse-names":false,"suffix":""},{"dropping-particle":"","family":"Svengren Holm","given":"Lisbeth","non-dropping-particle":"","parse-names":false,"suffix":""},{"dropping-particle":"","family":"Loon","given":"Patricia","non-dropping-particle":"Van","parse-names":false,"suffix":""}],"container-title":"ICED'17- 21th International Conference on Engineering Design","id":"ITEM-1","issue":"Design for X","issued":{"date-parts":[["2017"]]},"page":"269-277","publisher":"University of British Columbia","publisher-place":"Vancouver","title":"Future-Adaptability for energy and resource efficient vehicles","type":"paper-conference","volume":"5"},"uris":["http://www.mendeley.com/documents/?uuid=57231c2c-3a28-4025-a3f3-c1de0a97067f","http://www.mendeley.com/documents/?uuid=99af11dc-d5e0-4894-a9e0-96e417618190"]}],"mendeley":{"formattedCitation":"(Nystrom et al., 2017)","plainTextFormattedCitation":"(Nystrom et al., 2017)","previouslyFormattedCitation":"(Nystrom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(Nystrom et al., 2017)</w:t>
            </w:r>
            <w:r w:rsidRPr="00A04DD6">
              <w:rPr>
                <w:sz w:val="20"/>
                <w:szCs w:val="20"/>
                <w:lang w:val="en-GB"/>
              </w:rPr>
              <w:fldChar w:fldCharType="end"/>
            </w:r>
          </w:p>
          <w:p w14:paraId="1B379065" w14:textId="7F24E09C"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{"citationItems":[{"id":"ITEM-1","itemData":{"DOI":"10.1016/j.procir.2017.02.047","ISBN":"22128271 (ISSN)","ISSN":"22128271","abstract":"Digital technologies have enabled the formulation of multiple Product Service-Systems (PSS) with considerable economic, environmental and societal benefits. One of the most promising paradigms, which is inspired by business models and value propositions that have already been described in the PSS literature, is the concept of Circular Economy. Circular Economy is characterized as an economy that is restorative and regenerative by design and is attracting significant attention from researchers and policy makers alike. In light of the recent proliferation of digital technologies such as Big Data and the Internet of Things, this article attempts to identify how can digital technologies support the transition to Circular Economy. This article conducted a systematic review of the literature based on a review protocol, in an effort to evaluate the application of key digital technologies in Circular Economy. The study concludes by identifying research gaps, reflecting on the application of digital technologies in the field of PSS and proposing suggestions for future research.","author":[{"dropping-particle":"","family":"Pagoropoulos","given":"Aris","non-dropping-particle":"","parse-names":false,"suffix":""},{"dropping-particle":"","family":"Pigosso","given":"Daniela C.A.","non-dropping-particle":"","parse-names":false,"suffix":""},{"dropping-particle":"","family":"McAloone","given":"Tim C.","non-dropping-particle":"","parse-names":false,"suffix":""}],"container-title":"Procedia CIRP","id":"ITEM-1","issued":{"date-parts":[["2017"]]},"page":"19-24","publisher":"The Author(s)","title":"The Emergent Role of Digital Technologies in the Circular Economy: A Review","type":"article-journal","volume":"64"},"uris":["http://www.mendeley.com/documents/?uuid=a6537701-1686-4062-8bf3-04468577418c"]}],"mendeley":{"formattedCitation":"(Pagoropoulos et al., 2017)","plainTextFormattedCitation":"(Pagoropoulos et al., 2017)","previouslyFormattedCitation":"(Pagoropoulos et al., 2017)"},"properties":{"noteIndex":0},"schema":"https://github.com/citation-style-language/schema/raw/master/csl-citation.json"}</w:instrText>
            </w:r>
            <w:r w:rsidRPr="00A04DD6">
              <w:rPr>
                <w:sz w:val="20"/>
                <w:szCs w:val="20"/>
                <w:lang w:val="en-GB"/>
              </w:rPr>
              <w:fldChar w:fldCharType="separate"/>
            </w:r>
            <w:r w:rsidRPr="00746DB3">
              <w:rPr>
                <w:noProof/>
                <w:sz w:val="20"/>
                <w:szCs w:val="20"/>
              </w:rPr>
              <w:t>(Pagoropoulos et al., 2017)</w:t>
            </w:r>
            <w:r w:rsidRPr="00A04DD6">
              <w:rPr>
                <w:sz w:val="20"/>
                <w:szCs w:val="20"/>
                <w:lang w:val="en-GB"/>
              </w:rPr>
              <w:fldChar w:fldCharType="end"/>
            </w:r>
          </w:p>
          <w:p w14:paraId="3DAB4184" w14:textId="110955C4"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{"citationItems":[{"id":"ITEM-1","itemData":{"DOI":"10.1016/j.procir.2017.03.026","ISBN":"22128271 (ISSN)","ISSN":"22128271","abstract":"Due to ever increasing challenges faced by our global society, circular design and the idea of product-service systems (PSS) is gaining traction within businesses. However, 'predicting' the value of a future PSS solution in the early design phases is difficult, since it requires the ability to balance long term potential with short term decisions. Modelling and simulation is believed to be able to support this challenging task. A simulation framework for circular design of PSS is presented. The simulation process enables the comparison between functional and non-functional performances and their life cycle contributions depending on a defined PSS-like business model strategy. Such integrated simulation framework is intended to exploit engineering models outside their specific discipline, enabling cross-functional collaboration and help decision makers understand how a design can contribute in satisfying customer and stakeholders needs during the lifecycle of a PSS.","author":[{"dropping-particle":"","family":"Panarotto","given":"Massimo","non-dropping-particle":"","parse-names":false,"suffix":""},{"dropping-particle":"","family":"Wall","given":"Johan","non-dropping-particle":"","parse-names":false,"suffix":""},{"dropping-particle":"","family":"Larsson","given":"Tobias C.","non-dropping-particle":"","parse-names":false,"suffix":""}],"container-title":"Procedia CIRP","id":"ITEM-1","issued":{"date-parts":[["2017"]]},"page":"25-30","publisher":"The Author(s)","title":"Simulation-driven Design for Assessing Strategic Decisions in the Conceptual Design of Circular PSS Business Models","type":"article-journal","volume":"64"},"uris":["http://www.mendeley.com/documents/?uuid=a974dc47-9661-4992-b707-be9b569222db"]}],"mendeley":{"formattedCitation":"(Panarotto et al., 2017)","plainTextFormattedCitation":"(Panarotto et al., 2017)","previouslyFormattedCitation":"(Panarotto et al., 2017)"},"properties":{"noteIndex":0},"schema":"https://github.com/citation-style-language/schema/raw/master/csl-citation.json"}</w:instrText>
            </w:r>
            <w:r w:rsidRPr="00A04DD6">
              <w:rPr>
                <w:sz w:val="20"/>
                <w:szCs w:val="20"/>
                <w:lang w:val="en-GB"/>
              </w:rPr>
              <w:fldChar w:fldCharType="separate"/>
            </w:r>
            <w:r w:rsidRPr="00746DB3">
              <w:rPr>
                <w:noProof/>
                <w:sz w:val="20"/>
                <w:szCs w:val="20"/>
              </w:rPr>
              <w:t>(Panarotto et al., 2017)</w:t>
            </w:r>
            <w:r w:rsidRPr="00A04DD6">
              <w:rPr>
                <w:sz w:val="20"/>
                <w:szCs w:val="20"/>
                <w:lang w:val="en-GB"/>
              </w:rPr>
              <w:fldChar w:fldCharType="end"/>
            </w:r>
          </w:p>
          <w:p w14:paraId="6DFD4216" w14:textId="54A7354A"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{"citationItems":[{"id":"ITEM-1","itemData":{"author":[{"dropping-particle":"","family":"Piciu","given":"Gabriela Cornelia","non-dropping-particle":"","parse-names":false,"suffix":""}],"container-title":"The Journal Contemporary Economy","id":"ITEM-1","issue":"2","issued":{"date-parts":[["2016"]]},"page":"85-117","title":"Business Models of Circular Economy","type":"article-journal","volume":"1"},"uris":["http://www.mendeley.com/documents/?uuid=5c62b1d8-a549-4407-8b61-3aa5add58135"]}],"mendeley":{"formattedCitation":"(Piciu, 2016)","plainTextFormattedCitation":"(Piciu, 2016)","previouslyFormattedCitation":"(Piciu, 2016)"},"properties":{"noteIndex":0},"schema":"https://github.com/citation-style-language/schema/raw/master/csl-citation.json"}</w:instrText>
            </w:r>
            <w:r w:rsidRPr="00A04DD6">
              <w:rPr>
                <w:sz w:val="20"/>
                <w:szCs w:val="20"/>
                <w:lang w:val="en-GB"/>
              </w:rPr>
              <w:fldChar w:fldCharType="separate"/>
            </w:r>
            <w:r w:rsidRPr="00746DB3">
              <w:rPr>
                <w:noProof/>
                <w:sz w:val="20"/>
                <w:szCs w:val="20"/>
              </w:rPr>
              <w:t>(Piciu, 2016)</w:t>
            </w:r>
            <w:r w:rsidRPr="00A04DD6">
              <w:rPr>
                <w:sz w:val="20"/>
                <w:szCs w:val="20"/>
                <w:lang w:val="en-GB"/>
              </w:rPr>
              <w:fldChar w:fldCharType="end"/>
            </w:r>
          </w:p>
          <w:p w14:paraId="27DD3DBB" w14:textId="1843ECEE"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{"citationItems":[{"id":"ITEM-1","itemData":{"DOI":"10.1016/j.jclepro.2017.08.170","ISBN":"09596526 (ISSN)","ISSN":"09596526","abstract":"Sustainable business models are intended to create economic value while benefitting the environment and society. Their wider adoption and diffusion is necessary to tackle pressing societal problems. How they are implemented and what determines their success (or lack thereof) in the market is not yet well understood, however, and deserves further exploration. To help fill the gap in knowledge, this study examines an emerging and innovative type of sustainable business model based on the peer-to-peer (P2P) sharing of underutilised assets facilitated by digital platforms. Its aim is to identify possible reasons for their commercial success or failure. In particular, the study investigates the values of users of a successful P2P goods-sharing platform and to what extent they differ from values of users of a comparable, yet unsuccessful, platform. Previous research on a UK-based online marketplace, Ecomodo, measured people's motivations for joining and the value priorities of users using Schwartz's Portrait Value Questionnaire. Results were compared with data from a representative sample of the UK population and used to explain the platform's low market uptake. The same study is here replicated with members of Peerby, an online marketplace where people rent, lend and borrow their possessions with each other. The analysis shows similar value priorities and orientation in Ecomodo and Peerby respondents, which suggests that the failure of the former platform and the success of the latter may be more directly attributed to differences in their business model design and execution than the types of user.","author":[{"dropping-particle":"","family":"Piscicelli","given":"Laura","non-dropping-particle":"","parse-names":false,"suffix":""},{"dropping-particle":"","family":"Ludden","given":"Geke Dina Simone","non-dropping-particle":"","parse-names":false,"suffix":""},{"dropping-particle":"","family":"Cooper","given":"Tim","non-dropping-particle":"","parse-names":false,"suffix":""}],"container-title":"Journal of Cleaner Production","id":"ITEM-1","issued":{"date-parts":[["2018"]]},"page":"4580-4591","publisher":"Elsevier Ltd","title":"What makes a sustainable business model successful? An empirical comparison of two peer-to-peer goods-sharing platforms","type":"article-journal","volume":"172"},"uris":["http://www.mendeley.com/documents/?uuid=d3b05ca2-adc1-4c66-989f-e4af53f1d60f"]}],"mendeley":{"formattedCitation":"(Piscicelli et al., 2018)","plainTextFormattedCitation":"(Piscicelli et al., 2018)","previouslyFormattedCitation":"(Piscicelli et al., 2018)"},"properties":{"noteIndex":0},"schema":"https://github.com/citation-style-language/schema/raw/master/csl-citation.json"}</w:instrText>
            </w:r>
            <w:r w:rsidRPr="00A04DD6">
              <w:rPr>
                <w:sz w:val="20"/>
                <w:szCs w:val="20"/>
                <w:lang w:val="en-GB"/>
              </w:rPr>
              <w:fldChar w:fldCharType="separate"/>
            </w:r>
            <w:r w:rsidRPr="00746DB3">
              <w:rPr>
                <w:noProof/>
                <w:sz w:val="20"/>
                <w:szCs w:val="20"/>
              </w:rPr>
              <w:t>(Piscicelli et al., 2018)</w:t>
            </w:r>
            <w:r w:rsidRPr="00A04DD6">
              <w:rPr>
                <w:sz w:val="20"/>
                <w:szCs w:val="20"/>
                <w:lang w:val="en-GB"/>
              </w:rPr>
              <w:fldChar w:fldCharType="end"/>
            </w:r>
          </w:p>
          <w:p w14:paraId="6D95EC99" w14:textId="6A2FA341" w:rsidR="005E0E7F" w:rsidRPr="00746DB3" w:rsidRDefault="005E0E7F" w:rsidP="00D62E44">
            <w:pPr>
              <w:rPr>
                <w:sz w:val="20"/>
                <w:szCs w:val="20"/>
              </w:rPr>
            </w:pPr>
            <w:r w:rsidRPr="00A04DD6">
              <w:rPr>
                <w:sz w:val="20"/>
                <w:szCs w:val="20"/>
                <w:lang w:val="en-GB"/>
              </w:rPr>
              <w:fldChar w:fldCharType="begin" w:fldLock="1"/>
            </w:r>
            <w:r w:rsidR="003027D4">
              <w:rPr>
                <w:sz w:val="20"/>
                <w:szCs w:val="20"/>
              </w:rPr>
              <w:instrText>ADDIN CSL_CITATION {"citationItems":[{"id":"ITEM-1","itemData":{"DOI":"10.1016/j.eist.2017.03.002","ISBN":"22104224 (ISSN)","ISSN":"22104224","abstract":"Urbanisation and climate change are urging cities to chart novel paths towards sustainable futures. Many cities are turning to the alluring 'circular economy' (CE) concept to guide this redirection. The CE concept re-imagines how flows of resources moving through economies might be 'closed'. Here, we explore this new 'circular city' agenda by asking: How are cities adopting CE as a strategy?. We found that political leadership, building adaptable future visions, using experimental approaches (such as living labs), developing contextual knowledge about resource use, and engaging with diverse stakeholders to be important. However, we also expose that there is a lack of consensus on what a circular city constitutes and a need to further untangle the how and why of the circular city concept. The research contributes to the field by outlining emergent cases, identifying a set of common policy strategies, conceptualising a circular city and identifying areas for future research.","author":[{"dropping-particle":"","family":"Prendeville","given":"Sharon","non-dropping-particle":"","parse-names":false,"suffix":""},{"dropping-particle":"","family":"Cherim","given":"Emma","non-dropping-particle":"","parse-names":false,"suffix":""},{"dropping-particle":"","family":"Bocken","given":"Nancy M.P.","non-dropping-particle":"","parse-names":false,"suffix":""}],"container-title":"Environmental Innovation and Societal Transitions","id":"ITEM-1","issued":{"date-parts":[["2018"]]},"page":"171-194","publisher":"Elsevier B.V.","title":"Circular Cities: Mapping Six Cities in Transition","type":"article-journal","volume":"26"},"uris":["http://www.mendeley.com/documents/?uuid=a29a7de1-9e3c-4d22-ab19-6c04999bfab9","http://www.mendeley.com/documents/?uuid=e4c6b37d-0133-4e9c-ac7f-5091ecbfcd40"]}],"mendeley":{"formattedCitation":"(Prendeville et al., 2018)","plainTextFormattedCitation":"(Prendeville et al., 2018)","previouslyFormattedCitation":"(Prendeville et al., 2018)"},"properties":{"noteIndex":0},"schema":"https://github.com/citation-style-language/schema/raw/master/csl-citation.json"}</w:instrText>
            </w:r>
            <w:r w:rsidRPr="00A04DD6">
              <w:rPr>
                <w:sz w:val="20"/>
                <w:szCs w:val="20"/>
                <w:lang w:val="en-GB"/>
              </w:rPr>
              <w:fldChar w:fldCharType="separate"/>
            </w:r>
            <w:r w:rsidR="003445CC" w:rsidRPr="003445CC">
              <w:rPr>
                <w:noProof/>
                <w:sz w:val="20"/>
                <w:szCs w:val="20"/>
              </w:rPr>
              <w:t>(Prendeville et al., 2018)</w:t>
            </w:r>
            <w:r w:rsidRPr="00A04DD6">
              <w:rPr>
                <w:sz w:val="20"/>
                <w:szCs w:val="20"/>
                <w:lang w:val="en-GB"/>
              </w:rPr>
              <w:fldChar w:fldCharType="end"/>
            </w:r>
          </w:p>
          <w:p w14:paraId="2BA2963B" w14:textId="2BD6287B" w:rsidR="005E0E7F" w:rsidRPr="00746DB3" w:rsidRDefault="005E0E7F" w:rsidP="00D62E44">
            <w:pPr>
              <w:rPr>
                <w:sz w:val="20"/>
                <w:szCs w:val="20"/>
              </w:rPr>
            </w:pPr>
            <w:r w:rsidRPr="00A04DD6">
              <w:rPr>
                <w:sz w:val="20"/>
                <w:szCs w:val="20"/>
                <w:lang w:val="en-GB"/>
              </w:rPr>
              <w:fldChar w:fldCharType="begin" w:fldLock="1"/>
            </w:r>
            <w:r w:rsidR="003027D4">
              <w:rPr>
                <w:sz w:val="20"/>
                <w:szCs w:val="20"/>
              </w:rPr>
              <w:instrText>ADDIN CSL_CITATION {"citationItems":[{"id":"ITEM-1","itemData":{"DOI":"10.1080/19397038.2017.1317876","ISSN":"19397046","abstract":"Makerspaces – open access design and fabrication workshops – provide new contexts for design practice through 'distributed production' . The global community of makerspaces has evolved quickly and in turn, substantial hype is attributed to its potential for radical sustainable innovation. In this article, we explore this potential in the context of the new 'circular economy' agenda. We focus the research on the critical role of makerspace managers/founders who are recognised as gatekeepers to circular practices. The research method is action-led including expert interviews (academics and founders/managers) as well as two generative context-mapping workshops, run at selected makerspaces in collaboration with their founders/ managers. We unearth everyday 'how-to' guidance to interweave circular practices within makerspaces from the outset by: fostering an enabling culture; building local connections; nurturing individual/ community capacities; and stimulating practical know-how. However, while the research reveals immense opportunities to cultivate circular literacy from within makerspaces, the prospects to ask more profound questions about our economy, through makerspace practices, are found to be compromised by day-to-day concerns. The insights from this research can act as a starting point for future work in this emerging research area.","author":[{"dropping-particle":"","family":"Prendeville","given":"Sharon","non-dropping-particle":"","parse-names":false,"suffix":""},{"dropping-particle":"","family":"Hartung","given":"Grit","non-dropping-particle":"","parse-names":false,"suffix":""},{"dropping-particle":"","family":"Brass","given":"Clare","non-dropping-particle":"","parse-names":false,"suffix":""},{"dropping-particle":"","family":"Purvis","given":"Erica","non-dropping-particle":"","parse-names":false,"suffix":""},{"dropping-particle":"","family":"Hall","given":"Ashley","non-dropping-particle":"","parse-names":false,"suffix":""}],"container-title":"International Journal of Sustainable Engineering","id":"ITEM-1","issue":"4-5","issued":{"date-parts":[["2017"]]},"page":"272-288","publisher":"Taylor &amp; Francis","title":"Circular Makerspaces: the founder’s view","type":"article-journal","volume":"10"},"uris":["http://www.mendeley.com/documents/?uuid=bc38cf62-a4fe-4204-92c4-2833cf884f77"]}],"mendeley":{"formattedCitation":"(Prendeville et al., 2017)","plainTextFormattedCitation":"(Prendeville et al., 2017)","previouslyFormattedCitation":"(Prendeville et al., 2017)"},"properties":{"noteIndex":0},"schema":"https://github.com/citation-style-language/schema/raw/master/csl-citation.json"}</w:instrText>
            </w:r>
            <w:r w:rsidRPr="00A04DD6">
              <w:rPr>
                <w:sz w:val="20"/>
                <w:szCs w:val="20"/>
                <w:lang w:val="en-GB"/>
              </w:rPr>
              <w:fldChar w:fldCharType="separate"/>
            </w:r>
            <w:r w:rsidR="003445CC" w:rsidRPr="003445CC">
              <w:rPr>
                <w:noProof/>
                <w:sz w:val="20"/>
                <w:szCs w:val="20"/>
              </w:rPr>
              <w:t>(Prendeville et al., 2017)</w:t>
            </w:r>
            <w:r w:rsidRPr="00A04DD6">
              <w:rPr>
                <w:sz w:val="20"/>
                <w:szCs w:val="20"/>
                <w:lang w:val="en-GB"/>
              </w:rPr>
              <w:fldChar w:fldCharType="end"/>
            </w:r>
          </w:p>
          <w:p w14:paraId="176A1799" w14:textId="3C416949"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{"citationItems":[{"id":"ITEM-1","itemData":{"DOI":"10.1016/j.promfg.2017.02.037","ISBN":"2351-9789","ISSN":"23519789","abstract":"In the face of growing sustainability challenges, pressure on businesses to decouple environmental impacts from growth is mounting. New sustainable business models can be a systemic driver for change in industry and the wider business innovation literature suggests that strategic design approaches can be at the heart of business model innovation. One such approach, service design, involves solving problems through a service response, which unlocks value for each stakeholder in a value chain. Nevertheless, the value of service design to sustainable business is still often overlooked. Through a literature review and five illustrative case studies this paper systematically analyses how businesses can leverage service design for sustainable business model innovation. The research highlights how service design can support sustainable business model innovation by uncovering strategic as well as operational synergies between these complementary fields.","author":[{"dropping-particle":"","family":"Prendeville","given":"Sharon","non-dropping-particle":"","parse-names":false,"suffix":""},{"dropping-particle":"","family":"Bocken","given":"Nancy M.P.","non-dropping-particle":"","parse-names":false,"suffix":""}],"container-title":"GCSM 2016 - 14th Global Conference on Sustainable Manufacturing","id":"ITEM-1","issued":{"date-parts":[["2016"]]},"page":"292-299","publisher":"Elsevier","publisher-place":"Stellenbosch, South Africa","title":"Sustainable Business Models through Service Design","type":"paper-conference"},"uris":["http://www.mendeley.com/documents/?uuid=c0370c89-21f1-4ffc-ad27-133197eb5668"]}],"mendeley":{"formattedCitation":"(Prendeville and Bocken, 2016)","plainTextFormattedCitation":"(Prendeville and Bocken, 2016)","previouslyFormattedCitation":"(Prendeville and Bocken, 2016)"},"properties":{"noteIndex":0},"schema":"https://github.com/citation-style-language/schema/raw/master/csl-citation.json"}</w:instrText>
            </w:r>
            <w:r w:rsidRPr="00A04DD6">
              <w:rPr>
                <w:sz w:val="20"/>
                <w:szCs w:val="20"/>
                <w:lang w:val="en-GB"/>
              </w:rPr>
              <w:fldChar w:fldCharType="separate"/>
            </w:r>
            <w:r w:rsidRPr="00746DB3">
              <w:rPr>
                <w:noProof/>
                <w:sz w:val="20"/>
                <w:szCs w:val="20"/>
              </w:rPr>
              <w:t>(Prendeville and Bocken, 2016)</w:t>
            </w:r>
            <w:r w:rsidRPr="00A04DD6">
              <w:rPr>
                <w:sz w:val="20"/>
                <w:szCs w:val="20"/>
                <w:lang w:val="en-GB"/>
              </w:rPr>
              <w:fldChar w:fldCharType="end"/>
            </w:r>
          </w:p>
          <w:p w14:paraId="5C180AF8" w14:textId="3F271E8D"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{"citationItems":[{"id":"ITEM-1","itemData":{"DOI":"10.1016/j.procir.2017.03.034","ISBN":"22128271 (ISSN)","ISSN":"22128271","abstract":"Circular Economy (CE) is an alternative to achieve more sustainability and to improve the current economic system through the transformation of the linear and semi-circular flows to circulate ones, keeping products at a higher level of utility and for a longer period of time. Ellen McArthur Foundation (EMF) and IDEO developed a Circular Design Guide (CE toolkit) intended to support companies to apply the circular principles on their own organizations. In this context, some authors noted that the development of a product-service system (PSS) initiative can help in the transition to a CE. The aim of this paper is to evaluate the objectives of the CE Toolkit joint with a PSS methodology already existent in literature. A matrix was applied to analyse the CE toolkit versus the PSS methodology, and a Likert scale was applied to characterize the relation between each stage of the methodology and each objective of the toolkit. The most important findings are related to the absence of CE concepts and its connection to PSS in previously existent methodology, which lacks methods to support the application of it, and lacks the incentive to use recovery techniques as recycling, remanufacturing and reuse of parts on PSS. At the same time, the toolkit lacks some practical aspects of the transition to PSS, such as identifying the competitors and the definition of a very detailed list of equipment and infrastructure required for the business.","author":[{"dropping-particle":"","family":"Reigado Rodrigues","given":"Carolina","non-dropping-particle":"","parse-names":false,"suffix":""},{"dropping-particle":"","family":"Costa Fernandes","given":"Sânia","non-dropping-particle":"da","parse-names":false,"suffix":""},{"dropping-particle":"","family":"Barrera Saavedra","given":"Yovana Maria","non-dropping-particle":"","parse-names":false,"suffix":""},{"dropping-particle":"","family":"Ometto","given":"Aldo Roberto","non-dropping-particle":"","parse-names":false,"suffix":""},{"dropping-particle":"","family":"Hornos da Costa","given":"Janaina Mascarenhas","non-dropping-particle":"","parse-names":false,"suffix":""}],"container-title":"Procedia CIRP","id":"ITEM-1","issued":{"date-parts":[["2017"]]},"page":"37-42","publisher":"The Author(s)","title":"A Circular Economy Toolkit as an Alternative to Improve the Application of PSS Methodologies","type":"article-journal","volume":"64"},"uris":["http://www.mendeley.com/documents/?uuid=b7349228-1915-4353-b953-983dfcc26bbd"]}],"mendeley":{"formattedCitation":"(Reigado Rodrigues et al., 2017)","plainTextFormattedCitation":"(Reigado Rodrigues et al., 2017)","previouslyFormattedCitation":"(Reigado Rodrigues et al., 2017)"},"properties":{"noteIndex":0},"schema":"https://github.com/citation-style-language/schema/raw/master/csl-citation.json"}</w:instrText>
            </w:r>
            <w:r w:rsidRPr="00A04DD6">
              <w:rPr>
                <w:sz w:val="20"/>
                <w:szCs w:val="20"/>
                <w:lang w:val="en-GB"/>
              </w:rPr>
              <w:fldChar w:fldCharType="separate"/>
            </w:r>
            <w:r w:rsidR="008E630B" w:rsidRPr="008E630B">
              <w:rPr>
                <w:noProof/>
                <w:sz w:val="20"/>
                <w:szCs w:val="20"/>
                <w:lang w:val="en-GB"/>
              </w:rPr>
              <w:t>(Reigado Rodrigues et al., 2017)</w:t>
            </w:r>
            <w:r w:rsidRPr="00A04DD6">
              <w:rPr>
                <w:sz w:val="20"/>
                <w:szCs w:val="20"/>
                <w:lang w:val="en-GB"/>
              </w:rPr>
              <w:fldChar w:fldCharType="end"/>
            </w:r>
          </w:p>
          <w:p w14:paraId="2169A363" w14:textId="077A1906"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{"citationItems":[{"id":"ITEM-1","itemData":{"DOI":"10.1016/j.procir.2017.03.133","ISBN":"22128271 (ISSN)","ISSN":"22128271","abstract":"Circular Lean Product-Service Systems (CLPSSs) are a new type of PSS, a combination of a tangible circular product with intangible value-added service elements, and its related supporting closed-loop networks and infrastructure. CLPSSs can lead to dematerialization through reducing the creation of waste in manufacturing and services operations, and the consumption of virgin materials, thanks to a restorative and regenerative operational system by design that can satisfy customers' needs, decouple economic growth from environmental impact and create new revenue streams out of extending the residual value of products. This paper aims to demonstrate the compatibility of circular economy and lean principles in the context of PSSs and contribute to their integration in order to create customer-oriented solutions that minimize resources consumption and enhance the ultimate value-added to the end-user.","author":[{"dropping-particle":"","family":"Romero","given":"David","non-dropping-particle":"","parse-names":false,"suffix":""},{"dropping-particle":"","family":"Rossi","given":"Monica","non-dropping-particle":"","parse-names":false,"suffix":""}],"container-title":"Procedia CIRP","id":"ITEM-1","issued":{"date-parts":[["2017"]]},"page":"13-18","publisher":"The Author(s)","title":"Towards Circular Lean Product-Service Systems","type":"article-journal","volume":"64"},"uris":["http://www.mendeley.com/documents/?uuid=2302cd52-3606-4c11-9cd2-e60e271edc3f"]}],"mendeley":{"formattedCitation":"(Romero and Rossi, 2017)","plainTextFormattedCitation":"(Romero and Rossi, 2017)","previouslyFormattedCitation":"(Romero and Rossi,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(Romero and Rossi, 2017)</w:t>
            </w:r>
            <w:r w:rsidRPr="00A04DD6">
              <w:rPr>
                <w:sz w:val="20"/>
                <w:szCs w:val="20"/>
                <w:lang w:val="en-GB"/>
              </w:rPr>
              <w:fldChar w:fldCharType="end"/>
            </w:r>
          </w:p>
          <w:p w14:paraId="6CADD7E4" w14:textId="50F31927" w:rsidR="005E0E7F" w:rsidRPr="00A04DD6" w:rsidRDefault="005E0E7F" w:rsidP="00D62E44">
            <w:pPr>
              <w:rPr>
                <w:sz w:val="20"/>
                <w:szCs w:val="20"/>
                <w:lang w:val="en-GB"/>
              </w:rPr>
            </w:pPr>
            <w:r w:rsidRPr="00A04DD6">
              <w:rPr>
                <w:sz w:val="20"/>
                <w:szCs w:val="20"/>
                <w:lang w:val="en-GB"/>
              </w:rPr>
              <w:fldChar w:fldCharType="begin" w:fldLock="1"/>
            </w:r>
            <w:r w:rsidR="003027D4">
              <w:rPr>
                <w:sz w:val="20"/>
                <w:szCs w:val="20"/>
                <w:lang w:val="en-GB"/>
              </w:rPr>
              <w:instrText>ADDIN CSL_CITATION {"citationItems":[{"id":"ITEM-1","itemData":{"DOI":"10.1016/j.resconrec.2017.10.033","ISBN":"09213449 (ISSN)","ISSN":"18790658","abstract":"The shift to a circular economy (CE) is associated with the need to implement innovative business models, but the adoption of circular business strategies in the industry has been limited. In fact, manufacturing companies face a range of challenges when transitioning toward such strategies, yet these challenges are rarely discussed in practice. This paper investigates the challenges faced by a manufacturing firm when implementing a circular business model and the solutions adopted to overcome them. A case-based research design was adopted in this study. The main challenges for circular business implementation faced by companies were identified in the literature and applied as lenses for examining the transition to a new circular business strategy in the company under analysis. Data analysis involved working with the data from the ground up to identify solutions for overcoming the challenges. The main findings reveal that changes needed for implementing a circular business model are achieved by integrating and engaging multiple organizational functions, each of which is complementary and mutually supportive. The involvement and collaboration of multiple stakeholders play an important role in circular business model implementation and operation. Moreover, the implementation of such models should consider specific contextual aspects of the business in question, i.e., alignment between external conditions and the business model should occur. A deeper understanding of the development of other types of circular business models in distinct contexts, and the capabilities necessary to develop and implement them, is recommended for further research.","author":[{"dropping-particle":"","family":"Sousa-Zomer","given":"Thayla T.","non-dropping-particle":"","parse-names":false,"suffix":""},{"dropping-particle":"","family":"Magalhães","given":"Lucas","non-dropping-particle":"","parse-names":false,"suffix":""},{"dropping-particle":"","family":"Zancul","given":"Eduardo","non-dropping-particle":"","parse-names":false,"suffix":""},{"dropping-particle":"","family":"Cauchick-Miguel","given":"Paulo A.","non-dropping-particle":"","parse-names":false,"suffix":""}],"container-title":"Resources, Conservation and Recycling","id":"ITEM-1","issued":{"date-parts":[["2018"]]},"page":"3-13","publisher":"Elsevier","title":"Exploring the challenges for circular business implementation in manufacturing companies: An empirical investigation of a pay-per-use service provider","type":"article-journal","volume":"135"},"uris":["http://www.mendeley.com/documents/?uuid=5197b388-8813-44f6-a50d-d269fc418745"]}],"mendeley":{"formattedCitation":"(Sousa-Zomer et al., 2018)","plainTextFormattedCitation":"(Sousa-Zomer et al., 2018)","previouslyFormattedCitation":"(Sousa-Zomer et al., 2018)"},"properties":{"noteIndex":0},"schema":"https://github.com/citation-style-language/schema/raw/master/csl-citation.json"}</w:instrText>
            </w:r>
            <w:r w:rsidRPr="00A04DD6">
              <w:rPr>
                <w:sz w:val="20"/>
                <w:szCs w:val="20"/>
                <w:lang w:val="en-GB"/>
              </w:rPr>
              <w:fldChar w:fldCharType="separate"/>
            </w:r>
            <w:r w:rsidR="003445CC" w:rsidRPr="003445CC">
              <w:rPr>
                <w:noProof/>
                <w:sz w:val="20"/>
                <w:szCs w:val="20"/>
                <w:lang w:val="en-GB"/>
              </w:rPr>
              <w:t>(Sousa-Zomer et al., 2018)</w:t>
            </w:r>
            <w:r w:rsidRPr="00A04DD6">
              <w:rPr>
                <w:sz w:val="20"/>
                <w:szCs w:val="20"/>
                <w:lang w:val="en-GB"/>
              </w:rPr>
              <w:fldChar w:fldCharType="end"/>
            </w:r>
          </w:p>
          <w:p w14:paraId="6440383E" w14:textId="4DA512DD" w:rsidR="005E0E7F" w:rsidRPr="00A04DD6" w:rsidRDefault="005E0E7F" w:rsidP="00D62E44">
            <w:pPr>
              <w:rPr>
                <w:sz w:val="20"/>
                <w:szCs w:val="20"/>
                <w:lang w:val="en-GB"/>
              </w:rPr>
            </w:pPr>
            <w:r w:rsidRPr="00A04DD6">
              <w:rPr>
                <w:sz w:val="20"/>
                <w:szCs w:val="20"/>
                <w:lang w:val="en-GB"/>
              </w:rPr>
              <w:fldChar w:fldCharType="begin" w:fldLock="1"/>
            </w:r>
            <w:r w:rsidR="003027D4">
              <w:rPr>
                <w:sz w:val="20"/>
                <w:szCs w:val="20"/>
                <w:lang w:val="en-GB"/>
              </w:rPr>
              <w:instrText>ADDIN CSL_CITATION {"citationItems":[{"id":"ITEM-1","itemData":{"DOI":"10.1016/j.procir.2017.03.041","ISBN":"22128271 (ISSN)","ISSN":"22128271","abstract":"Product-Service Systems (PSS) have been discussed as promising business strategies towards a circular economy (CE). However, PSS solutions are not necessarily more sustainable. PSS lifecycle management may play an important role to improve the offering and achieve sustainability benefits. Nevertheless, bottom-up issues for CE implementation in the industry such as lifecycle management are still little discussed in the literature. In this sense, this paper aims to explore a PSS business strategy adopted by a large white goods manufacturer that transitioned from a linear to a circular business, and the practices applied throughout the entire lifecycle that may be valuable to achieve CE requirements. A case-based approach was employed in this study and multiple sources of evidence were considered. Data were analyzed in the light of the literature, considering an inductive approach. The main preliminary findings suggest that resources consumption reduction and cost savings can be obtained through lifecycle management practices that take into consideration CE issues since the beginning of life of the PSS offering. Design practices, the adoption of different strategies at the end of life (reuse/remanufacturing or recycle), and the implementation of cleaner production practices are some of the identified practices that can contribute to achieve resource efficiency and CE requirements. This is a work in progress and further work is going to focus on a quantitative analysis of the environmental and economic performance of this PSS. In addition, as this study focused on a use-oriented PSS, future research may compare lifecycle management practices adopted by other and distinct PSS categories, and how different lifecycle management practices may contribute to achieving resource efficiency.","author":[{"dropping-particle":"","family":"Sousa-Zomer","given":"Thayla T.","non-dropping-particle":"","parse-names":false,"suffix":""},{"dropping-particle":"","family":"Magalhães","given":"Lucas","non-dropping-particle":"","parse-names":false,"suffix":""},{"dropping-particle":"","family":"Zancul","given":"Eduardo","non-dropping-particle":"","parse-names":false,"suffix":""},{"dropping-particle":"","family":"Cauchick-Miguel","given":"Paulo A.","non-dropping-particle":"","parse-names":false,"suffix":""}],"container-title":"Procedia CIRP","id":"ITEM-1","issued":{"date-parts":[["2017"]]},"page":"31-36","publisher":"The Author(s)","title":"Lifecycle Management of Product-service Systems: A Preliminary Investigation of a White Goods Manufacturer","type":"article-journal","volume":"64"},"uris":["http://www.mendeley.com/documents/?uuid=05d94f98-8107-48d9-ac4b-174f7818f727"]}],"mendeley":{"formattedCitation":"(Sousa-Zomer et al., 2017)","plainTextFormattedCitation":"(Sousa-Zomer et al., 2017)","previouslyFormattedCitation":"(Sousa-Zomer et al., 2017)"},"properties":{"noteIndex":0},"schema":"https://github.com/citation-style-language/schema/raw/master/csl-citation.json"}</w:instrText>
            </w:r>
            <w:r w:rsidRPr="00A04DD6">
              <w:rPr>
                <w:sz w:val="20"/>
                <w:szCs w:val="20"/>
                <w:lang w:val="en-GB"/>
              </w:rPr>
              <w:fldChar w:fldCharType="separate"/>
            </w:r>
            <w:r w:rsidR="003445CC" w:rsidRPr="003445CC">
              <w:rPr>
                <w:noProof/>
                <w:sz w:val="20"/>
                <w:szCs w:val="20"/>
                <w:lang w:val="en-GB"/>
              </w:rPr>
              <w:t>(Sousa-Zomer et al., 2017)</w:t>
            </w:r>
            <w:r w:rsidRPr="00A04DD6">
              <w:rPr>
                <w:sz w:val="20"/>
                <w:szCs w:val="20"/>
                <w:lang w:val="en-GB"/>
              </w:rPr>
              <w:fldChar w:fldCharType="end"/>
            </w:r>
          </w:p>
          <w:p w14:paraId="0EBA8A74" w14:textId="0AD94831"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{"citationItems":[{"id":"ITEM-1","itemData":{"DOI":"10.1016/j.indmarman.2016.07.001","ISBN":"0169-5347","ISSN":"00198501","PMID":"21227342","abstract":"This paper questions the assumption in much of the marketing and product-service literature that products can be treated as stable platforms for the delivery of services. Instead, it uses the notion of the product biography to argue that products are chronically unstable, both physically and institutionally, and focusses on the managerial and institutional effort required to temporarily stabilise and qualify products for exchange or service value-creation. The context of the circular economy, which presents particularly acute challenges of qualification, is used to stimulate insights into how the product biography approach can inform the servitization debate. In particular, the circular economy perspective emphasises the need to see products as qualified by and constitutive of a distributed network, rather than defined once and for all by their producer, and points to entrepreneurial opportunity in the moments of transition between singularised, unique specimens and general, commodified, manageable objects – and vice versa. The wider and multiple product biographies occasioned by the circular economy also lead to reconfiguration of networks, as new potential valuations give rise to new entrepreneurial spaces.","author":[{"dropping-particle":"","family":"Spring","given":"Martin","non-dropping-particle":"","parse-names":false,"suffix":""},{"dropping-particle":"","family":"Araujo","given":"Luis","non-dropping-particle":"","parse-names":false,"suffix":""}],"container-title":"Industrial Marketing Management","id":"ITEM-1","issued":{"date-parts":[["2017"]]},"page":"126-137","publisher":"Elsevier Inc.","title":"Product biographies in servitization and the circular economy","type":"article-journal","volume":"60"},"uris":["http://www.mendeley.com/documents/?uuid=a78a9b8b-7a06-4473-b224-2e106e567f8d"]}],"mendeley":{"formattedCitation":"(Spring and Araujo, 2017)","plainTextFormattedCitation":"(Spring and Araujo, 2017)","previouslyFormattedCitation":"(Spring and Araujo, 2017)"},"properties":{"noteIndex":0},"schema":"https://github.com/citation-style-language/schema/raw/master/csl-citation.json"}</w:instrText>
            </w:r>
            <w:r w:rsidRPr="00A04DD6">
              <w:rPr>
                <w:sz w:val="20"/>
                <w:szCs w:val="20"/>
                <w:lang w:val="en-GB"/>
              </w:rPr>
              <w:fldChar w:fldCharType="separate"/>
            </w:r>
            <w:r w:rsidR="008E630B" w:rsidRPr="008E630B">
              <w:rPr>
                <w:noProof/>
                <w:sz w:val="20"/>
                <w:szCs w:val="20"/>
                <w:lang w:val="en-GB"/>
              </w:rPr>
              <w:t>(Spring and Araujo, 2017)</w:t>
            </w:r>
            <w:r w:rsidRPr="00A04DD6">
              <w:rPr>
                <w:sz w:val="20"/>
                <w:szCs w:val="20"/>
                <w:lang w:val="en-GB"/>
              </w:rPr>
              <w:fldChar w:fldCharType="end"/>
            </w:r>
          </w:p>
          <w:p w14:paraId="255E3525" w14:textId="22F3FC14"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{"citationItems":[{"id":"ITEM-1","itemData":{"DOI":"10.1016/j.jclepro.2017.09.249","ISBN":"0959-6526","ISSN":"09596526","abstract":"Drawing on the concept of decoupling, from institutional theory in organizational studies, this paper explains how organizations mitigate demands for circularity. Seven Swedish apparel companies that have started collecting used clothes as a form of engagement with circular business models serve as case studies. The paper shows how outsourcing and internal separation allow these companies to buffer their business model and core way of creating value from emerging demands. It also shows how companies pro-actively work at influencing institutional demands for circularity by making these demands compatible with their own interests. The concept of decoupling thereby provides key insights into the development and implementation, or absence thereof, of circular business models.","author":[{"dropping-particle":"","family":"Stål","given":"Herman I.","non-dropping-particle":"","parse-names":false,"suffix":""},{"dropping-particle":"","family":"Corvellec","given":"Hervé","non-dropping-particle":"","parse-names":false,"suffix":""}],"container-title":"Journal of Cleaner Production","id":"ITEM-1","issued":{"date-parts":[["2018"]]},"page":"630-643","title":"A decoupling perspective on circular business model implementation: Illustrations from Swedish apparel","type":"article-journal","volume":"171"},"uris":["http://www.mendeley.com/documents/?uuid=7f713222-415b-4334-9953-e9c25199158b"]}],"mendeley":{"formattedCitation":"(Stål and Corvellec, 2018)","plainTextFormattedCitation":"(Stål and Corvellec, 2018)","previouslyFormattedCitation":"(Stål and Corvellec, 2018)"},"properties":{"noteIndex":0},"schema":"https://github.com/citation-style-language/schema/raw/master/csl-citation.json"}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(Stål and Corvellec, 2018)</w:t>
            </w:r>
            <w:r w:rsidRPr="00A04DD6">
              <w:rPr>
                <w:sz w:val="20"/>
                <w:szCs w:val="20"/>
                <w:lang w:val="en-GB"/>
              </w:rPr>
              <w:fldChar w:fldCharType="end"/>
            </w:r>
          </w:p>
          <w:p w14:paraId="2A299E57" w14:textId="35031B55"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ISBN":"1","author":[{"dropping-particle":"","family":"Svatikova","given":"Katarina","non-dropping-particle":"","parse-names":false,"suffix":""},{"dropping-particle":"","family":"Artola","given":"Irati","non-dropping-particle":"","parse-names":false,"suffix":""},{"dropping-particle":"","family":"Slingerland","given":"Stephan","non-dropping-particle":"","parse-names":false,"suffix":""},{"dropping-particle":"","family":"Fischer","given":"Susanne","non-dropping-particle":"","parse-names":false,"suffix":""}],"id":"ITEM-1","issue":"1","issued":{"date-parts":[["2015"]]},"number-of-pages":"1-8","title":"Selling Solar Services as a Contribution to a Circular Economy","type":"report"},"uris":["http://www.mendeley.com/documents/?uuid=e9f932d9-3d84-4ec3-9b91-b9281f77f780"]}],"mendeley":{"formattedCitation":"(Svatikova et al., 2015)","plainTextFormattedCitation":"(Svatikova et al., 2015)","previouslyFormattedCitation":"(Svatikova et al., 2015)"},"properties":{"noteIndex":0},"schema":"https://github.com/citation-style-language/schema/raw/master/csl-citation.json"}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(Svatikova et al., 2015)</w:t>
            </w:r>
            <w:r w:rsidRPr="00A04DD6">
              <w:rPr>
                <w:sz w:val="20"/>
                <w:szCs w:val="20"/>
                <w:lang w:val="en-GB"/>
              </w:rPr>
              <w:fldChar w:fldCharType="end"/>
            </w:r>
          </w:p>
          <w:p w14:paraId="19AC378A" w14:textId="5D09AA7B"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author":[{"dropping-particle":"","family":"Tyl","given":"Benjamin","non-dropping-particle":"","parse-names":false,"suffix":""},{"dropping-particle":"","family":"Allais","given":"Romain","non-dropping-particle":"","parse-names":false,"suffix":""},{"dropping-particle":"","family":"Gobert","given":"Julie","non-dropping-particle":"","parse-names":false,"suffix":""},{"dropping-particle":"","family":"Bocken","given":"Nancy M.P.","non-dropping-particle":"","parse-names":false,"suffix":""},{"dropping-particle":"","family":"Prendeville","given":"Sharon","non-dropping-particle":"","parse-names":false,"suffix":""},{"dropping-particle":"","family":"Pichler","given":"Peter-Paul","non-dropping-particle":"","parse-names":false,"suffix":""},{"dropping-particle":"","family":"Lüdeke-Freund","given":"Florian","non-dropping-particle":"","parse-names":false,"suffix":""},{"dropping-particle":"","family":"Alvarès","given":"Delphine Lévi","non-dropping-particle":"","parse-names":false,"suffix":""},{"dropping-particle":"","family":"Len","given":"Michal","non-dropping-particle":"","parse-names":false,"suffix":""},{"dropping-particle":"","family":"Fernani","given":"Valérie","non-dropping-particle":"","parse-names":false,"suffix":""},{"dropping-particle":"","family":"Gheorghica","given":"Anca","non-dropping-particle":"","parse-names":false,"suffix":""},{"dropping-particle":"","family":"Masson","given":"Guillaume","non-dropping-particle":"","parse-names":false,"suffix":""},{"dropping-particle":"","family":"Kubbinga","given":"Ben","non-dropping-particle":"","parse-names":false,"suffix":""},{"dropping-particle":"","family":"Baldacchino","given":"Cyril","non-dropping-particle":"","parse-names":false,"suffix":""},{"dropping-particle":"","family":"Hamwi","given":"Michael","non-dropping-particle":"","parse-names":false,"suffix":""},{"dropping-particle":"","family":"Brass","given":"Clare","non-dropping-particle":"","parse-names":false,"suffix":""},{"dropping-particle":"","family":"Berlingen","given":"Flore","non-dropping-particle":"","parse-names":false,"suffix":""},{"dropping-particle":"","family":"Kruk","given":"Klaske","non-dropping-particle":"","parse-names":false,"suffix":""},{"dropping-particle":"","family":"Whalen","given":"Katherine A.","non-dropping-particle":"","parse-names":false,"suffix":""}],"id":"ITEM-1","issued":{"date-parts":[["2006"]]},"title":"Towards synergies between local repairers, citizens, designers, and public actors: the REVALUE project","type":"report"},"uris":["http://www.mendeley.com/documents/?uuid=4813d094-b16f-4ba6-8a5e-902b511f63c3","http://www.mendeley.com/documents/?uuid=5ed98214-c8e2-4305-b1f6-2f0714258065"]}],"mendeley":{"formattedCitation":"(Tyl et al., 2006)","plainTextFormattedCitation":"(Tyl et al., 2006)","previouslyFormattedCitation":"(Tyl et al., 2006)"},"properties":{"noteIndex":0},"schema":"https://github.com/citation-style-language/schema/raw/master/csl-citation.json"}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(Tyl et al., 2006)</w:t>
            </w:r>
            <w:r w:rsidRPr="00A04DD6">
              <w:rPr>
                <w:sz w:val="20"/>
                <w:szCs w:val="20"/>
                <w:lang w:val="en-GB"/>
              </w:rPr>
              <w:fldChar w:fldCharType="end"/>
            </w:r>
          </w:p>
          <w:p w14:paraId="7EDB6AFE" w14:textId="535BE8D7"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{"citationItems":[{"id":"ITEM-1","itemData":{"DOI":"10.1080/00207543.2017.1398429","ISBN":"00207543 (ISSN)","ISSN":"1366588X","abstract":"This paper explores the role of the second-hand market when transitioning to a closed-loop system where products are leased multiple times. The total cost of ownership for consumers and profitability for manufacturers are compared in circular and linear business cases. We find that while second-hand markets were beneficial for manufacturers of durable goods in a linear system, since they increased the consumers? willingness-to-pay for new products, the same second-hand markets might restrict the profitability of a closed-loop business model. A high resale value results in a relatively low cost of ownership in the sales system and additional activities in the closed-loop model (such as managing the lease contracts and refurbishment) add significant costs to the supply chain. Consequently, the economic (and environmental) benefits of leasing products already traded on second-hand markets in the linear system are often limited. Our simple analytical model allows a quick and dirty analysis of multiple scenarios with a minimum of inputs. We argue that manufacturers lack these kinds of models to guide them in navigating circular economy business models.","author":[{"dropping-particle":"","family":"Loon","given":"Patricia","non-dropping-particle":"van","parse-names":false,"suffix":""},{"dropping-particle":"","family":"Delagarde","given":"Charles","non-dropping-particle":"","parse-names":false,"suffix":""},{"dropping-particle":"","family":"Wassenhove","given":"Luk N.","non-dropping-particle":"Van","parse-names":false,"suffix":""}],"container-title":"International Journal of Production Research","id":"ITEM-1","issued":{"date-parts":[["2017"]]},"page":"1-14","publisher":"Taylor &amp; Francis","title":"The role of second-hand markets in circular business: a simple model for leasing versus selling consumer products","type":"article-journal","volume":"7543"},"uris":["http://www.mendeley.com/documents/?uuid=f410270c-4557-4803-9842-e1b0adf49d9b"]}],"mendeley":{"formattedCitation":"(van Loon et al., 2017)","plainTextFormattedCitation":"(van Loon et al., 2017)","previouslyFormattedCitation":"(van Loon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(van Loon et al., 2017)</w:t>
            </w:r>
            <w:r w:rsidRPr="00A04DD6">
              <w:rPr>
                <w:sz w:val="20"/>
                <w:szCs w:val="20"/>
                <w:lang w:val="en-GB"/>
              </w:rPr>
              <w:fldChar w:fldCharType="end"/>
            </w:r>
          </w:p>
          <w:p w14:paraId="42A48583" w14:textId="75B37D15"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{"citationItems":[{"id":"ITEM-1","itemData":{"author":[{"dropping-particle":"","family":"Venselaar","given":"Jan","non-dropping-particle":"","parse-names":false,"suffix":""},{"dropping-particle":"","family":"Kelft","given":"Dimitri","non-dropping-particle":"van de","parse-names":false,"suffix":""}],"container-title":"TII 2014 - Technology, Innovation, International Annual Conference","id":"ITEM-1","issued":{"date-parts":[["2014"]]},"page":"1-4","publisher-place":"Utrecht","title":"A practice based approach to further high level reuse in equipment manufacturing offering business opportunities in a circular economy","type":"paper-conference"},"uris":["http://www.mendeley.com/documents/?uuid=e72bb440-bebf-4dfd-bd3a-29256e761386"]}],"mendeley":{"formattedCitation":"(Venselaar and van de Kelft, 2014)","plainTextFormattedCitation":"(Venselaar and van de Kelft, 2014)","previouslyFormattedCitation":"(Venselaar and van de Kelft, 2014)"},"properties":{"noteIndex":0},"schema":"https://github.com/citation-style-language/schema/raw/master/csl-citation.json"}</w:instrText>
            </w:r>
            <w:r w:rsidRPr="00A04DD6">
              <w:rPr>
                <w:sz w:val="20"/>
                <w:szCs w:val="20"/>
                <w:lang w:val="en-GB"/>
              </w:rPr>
              <w:fldChar w:fldCharType="separate"/>
            </w:r>
            <w:r w:rsidR="008E630B" w:rsidRPr="008E630B">
              <w:rPr>
                <w:noProof/>
                <w:sz w:val="20"/>
                <w:szCs w:val="20"/>
                <w:lang w:val="en-GB"/>
              </w:rPr>
              <w:t>(Venselaar and van de Kelft, 2014)</w:t>
            </w:r>
            <w:r w:rsidRPr="00A04DD6">
              <w:rPr>
                <w:sz w:val="20"/>
                <w:szCs w:val="20"/>
                <w:lang w:val="en-GB"/>
              </w:rPr>
              <w:fldChar w:fldCharType="end"/>
            </w:r>
          </w:p>
          <w:p w14:paraId="3CA2DA84" w14:textId="6ECCA780"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{"citationItems":[{"id":"ITEM-1","itemData":{"DOI":"10.1007/s13243-017-0031-9","ISSN":"22104690","abstract":"Eco-efficient Value Creation is a method to analyse innovative product and service design together with circular business strategies. The method is based on combined analyses of the costs, market value (perceived customer value) and eco-costs. This provides a prevention-based single indicator for ‘external environmental costs’ in LCA. The remanufacturing of products is an environmental and sustainable approach, in the circular economy, and can deliver lower eco-costs of materials depletion and pollution. From a business point of view, however, remanufacturing seems to be viable in B2B niche markets only. In consumer markets, remanufacturing is less common. The question is how can remanufacturing become a viable business solution for mainstream consumer markets. Traditional ‘green’ marketing approaches are not enough: green has a positive, but also negative connotations, so marketing approaches are complex. By using the Eco-efficient Value Creation method, marketing strategies for the roll-out of remanufacturing in mainstream consumer markets, can be revealed. This approach has led to the development of five aspects, which are key to innovative circular business models, for remanufacturing: (1) buyers differ from the buyers of the ‘new product’ (2) quality must be emphasised in all communications (3) risk must be taken away from the buyer (4) top level service is required to convince the buyer (5) a ‘green’ brand may support the remanufactured product image. © 2017 Springer Science+Business Media Dordrecht","author":[{"dropping-particle":"","family":"Vogtländer","given":"Joost G.","non-dropping-particle":"","parse-names":false,"suffix":""},{"dropping-particle":"","family":"Scheepens","given":"Arno E.","non-dropping-particle":"","parse-names":false,"suffix":""},{"dropping-particle":"","family":"Bocken","given":"Nancy M.P.","non-dropping-particle":"","parse-names":false,"suffix":""},{"dropping-particle":"","family":"Peck","given":"David","non-dropping-particle":"","parse-names":false,"suffix":""}],"container-title":"Journal of Remanufacturing","id":"ITEM-1","issue":"1","issued":{"date-parts":[["2017"]]},"page":"1-17","publisher":"Journal of Remanufacturing","title":"Combined analyses of costs, market value and eco-costs in circular business models: eco-efficient value creation in remanufacturing","type":"article-journal","volume":"7"},"uris":["http://www.mendeley.com/documents/?uuid=2cb5d35c-d5ac-42d8-beb3-abbd4bd63095"]}],"mendeley":{"formattedCitation":"(Vogtländer et al., 2017)","plainTextFormattedCitation":"(Vogtländer et al., 2017)","previouslyFormattedCitation":"(Vogtländer et al., 2017)"},"properties":{"noteIndex":0},"schema":"https://github.com/citation-style-language/schema/raw/master/csl-citation.json"}</w:instrText>
            </w:r>
            <w:r w:rsidRPr="00A04DD6">
              <w:rPr>
                <w:sz w:val="20"/>
                <w:szCs w:val="20"/>
                <w:lang w:val="en-GB"/>
              </w:rPr>
              <w:fldChar w:fldCharType="separate"/>
            </w:r>
            <w:r w:rsidR="008E630B" w:rsidRPr="008E630B">
              <w:rPr>
                <w:noProof/>
                <w:sz w:val="20"/>
                <w:szCs w:val="20"/>
                <w:lang w:val="en-GB"/>
              </w:rPr>
              <w:t>(Vogtländer et al., 2017)</w:t>
            </w:r>
            <w:r w:rsidRPr="00A04DD6">
              <w:rPr>
                <w:sz w:val="20"/>
                <w:szCs w:val="20"/>
                <w:lang w:val="en-GB"/>
              </w:rPr>
              <w:fldChar w:fldCharType="end"/>
            </w:r>
          </w:p>
          <w:p w14:paraId="4EA5D152" w14:textId="318DD39A"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{"citationItems":[{"id":"ITEM-1","itemData":{"DOI":"10.1016/j.resconrec.2017.07.029","ISBN":"09213449 (ISSN)","ISSN":"18790658","abstract":"This paper presents two case studies of Swedish ICT 'gap exploiter' companies to provide a nuanced perspective in the investigation of ICT reuse business models and policies. Gap exploiters are third-party firms that create value through the re-utilization of existing products. While extending product life through the gap exploiter model is promising in the transition to a circular economy, business models and policies related to ICT reuse are under-researched in literature and existing studies are characterized by general approaches. While the generalizability of this study has limitations based on size and geographic location, this paper provides an in-depth look at how circular economy strategies can be embodied in the gap exploiter business model within the ICT sector. Main findings include barriers to business operations and opportunities to address them through business model innovation and policy intervention. The study furthers understanding of ICT reuse operations and their related business models. It also contributes to the upcoming policy debate on how to encourage and create a more resource efficient and circular economy.","author":[{"dropping-particle":"","family":"Whalen","given":"Katherine A.","non-dropping-particle":"","parse-names":false,"suffix":""},{"dropping-particle":"","family":"Milios","given":"Leonidas","non-dropping-particle":"","parse-names":false,"suffix":""},{"dropping-particle":"","family":"Nußholz","given":"Julia L.K.","non-dropping-particle":"","parse-names":false,"suffix":""}],"container-title":"Resources, Conservation and Recycling","id":"ITEM-1","issued":{"date-parts":[["2017"]]},"page":"123-131","publisher":"Elsevier","title":"Bridging the gap: Barriers and potential for scaling reuse practices in the Swedish ICT sector","type":"article-journal","volume":"135"},"uris":["http://www.mendeley.com/documents/?uuid=b60a49a8-ab46-42b3-86e7-4a82a6e2c5e8"]}],"mendeley":{"formattedCitation":"(Whalen et al., 2017)","plainTextFormattedCitation":"(Whalen et al., 2017)","previouslyFormattedCitation":"(Whalen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(Whalen et al., 2017)</w:t>
            </w:r>
            <w:r w:rsidRPr="00A04DD6">
              <w:rPr>
                <w:sz w:val="20"/>
                <w:szCs w:val="20"/>
                <w:lang w:val="en-GB"/>
              </w:rPr>
              <w:fldChar w:fldCharType="end"/>
            </w:r>
          </w:p>
          <w:p w14:paraId="4A5C08AF" w14:textId="71F51EC8" w:rsidR="005E0E7F" w:rsidRPr="00A04DD6" w:rsidRDefault="005E0E7F" w:rsidP="00D62E44">
            <w:pPr>
              <w:rPr>
                <w:sz w:val="20"/>
                <w:szCs w:val="20"/>
                <w:lang w:val="en-GB"/>
              </w:rPr>
            </w:pPr>
            <w:r w:rsidRPr="00A04DD6">
              <w:rPr>
                <w:sz w:val="20"/>
                <w:szCs w:val="20"/>
                <w:lang w:val="en-GB"/>
              </w:rPr>
              <w:fldChar w:fldCharType="begin" w:fldLock="1"/>
            </w:r>
            <w:r w:rsidR="003027D4">
              <w:rPr>
                <w:sz w:val="20"/>
                <w:szCs w:val="20"/>
                <w:lang w:val="en-GB"/>
              </w:rPr>
              <w:instrText>ADDIN CSL_CITATION {"citationItems":[{"id":"ITEM-1","itemData":{"ISBN":"4989218035","author":[{"dropping-particle":"","family":"Zuidema","given":"Remko H.","non-dropping-particle":"","parse-names":false,"suffix":""}],"container-title":"Future of Open Building Conference","id":"ITEM-1","issued":{"date-parts":[["2015"]]},"page":"1-12","publisher-place":"Zurich (SWI)","title":"Open Building as the basis for Circular Economy Buildings","type":"paper-conference"},"uris":["http://www.mendeley.com/documents/?uuid=3a340cae-231e-4e5f-a1fe-d34e061c3323","http://www.mendeley.com/documents/?uuid=81056b13-7b3c-4dba-8b4e-fbb4aaab5e00"]}],"mendeley":{"formattedCitation":"(Zuidema, 2015)","plainTextFormattedCitation":"(Zuidema, 2015)","previouslyFormattedCitation":"(Zuidema, 2015)"},"properties":{"noteIndex":0},"schema":"https://github.com/citation-style-language/schema/raw/master/csl-citation.json"}</w:instrText>
            </w:r>
            <w:r w:rsidRPr="00A04DD6">
              <w:rPr>
                <w:sz w:val="20"/>
                <w:szCs w:val="20"/>
                <w:lang w:val="en-GB"/>
              </w:rPr>
              <w:fldChar w:fldCharType="separate"/>
            </w:r>
            <w:r w:rsidR="003445CC" w:rsidRPr="003445CC">
              <w:rPr>
                <w:noProof/>
                <w:sz w:val="20"/>
                <w:szCs w:val="20"/>
                <w:lang w:val="en-GB"/>
              </w:rPr>
              <w:t>(Zuidema, 2015)</w:t>
            </w:r>
            <w:r w:rsidRPr="00A04DD6">
              <w:rPr>
                <w:sz w:val="20"/>
                <w:szCs w:val="20"/>
                <w:lang w:val="en-GB"/>
              </w:rPr>
              <w:fldChar w:fldCharType="end"/>
            </w:r>
            <w:r w:rsidRPr="00A04DD6">
              <w:rPr>
                <w:sz w:val="20"/>
                <w:szCs w:val="20"/>
                <w:lang w:val="en-GB"/>
              </w:rPr>
              <w:t xml:space="preserve"> </w:t>
            </w:r>
          </w:p>
        </w:tc>
        <w:tc>
          <w:tcPr>
            <w:tcW w:w="676" w:type="pct"/>
          </w:tcPr>
          <w:p w14:paraId="47C60FDE" w14:textId="77777777" w:rsidR="005E0E7F" w:rsidRPr="00A04DD6" w:rsidRDefault="005E0E7F" w:rsidP="00D62E44">
            <w:pPr>
              <w:jc w:val="center"/>
              <w:rPr>
                <w:sz w:val="20"/>
                <w:szCs w:val="20"/>
                <w:lang w:val="en-GB"/>
              </w:rPr>
            </w:pPr>
          </w:p>
          <w:p w14:paraId="145B9FE0" w14:textId="77777777" w:rsidR="005E0E7F" w:rsidRPr="00A04DD6" w:rsidRDefault="005E0E7F" w:rsidP="00D62E44">
            <w:pPr>
              <w:jc w:val="center"/>
              <w:rPr>
                <w:sz w:val="20"/>
                <w:szCs w:val="20"/>
                <w:lang w:val="en-GB"/>
              </w:rPr>
            </w:pPr>
          </w:p>
          <w:p w14:paraId="1A112141" w14:textId="77777777" w:rsidR="005E0E7F" w:rsidRPr="00A04DD6" w:rsidRDefault="005E0E7F" w:rsidP="00D62E44">
            <w:pPr>
              <w:jc w:val="center"/>
              <w:rPr>
                <w:sz w:val="20"/>
                <w:szCs w:val="20"/>
                <w:lang w:val="en-GB"/>
              </w:rPr>
            </w:pPr>
          </w:p>
          <w:p w14:paraId="1E357C07" w14:textId="77777777" w:rsidR="005E0E7F" w:rsidRPr="00A04DD6" w:rsidRDefault="005E0E7F" w:rsidP="00D62E44">
            <w:pPr>
              <w:jc w:val="center"/>
              <w:rPr>
                <w:sz w:val="20"/>
                <w:szCs w:val="20"/>
                <w:lang w:val="en-GB"/>
              </w:rPr>
            </w:pPr>
          </w:p>
          <w:p w14:paraId="04E3E1FA" w14:textId="77777777" w:rsidR="005E0E7F" w:rsidRPr="00A04DD6" w:rsidRDefault="005E0E7F" w:rsidP="00D62E44">
            <w:pPr>
              <w:jc w:val="center"/>
              <w:rPr>
                <w:sz w:val="20"/>
                <w:szCs w:val="20"/>
                <w:lang w:val="en-GB"/>
              </w:rPr>
            </w:pPr>
          </w:p>
          <w:p w14:paraId="3560E799" w14:textId="77777777" w:rsidR="005E0E7F" w:rsidRPr="00A04DD6" w:rsidRDefault="005E0E7F" w:rsidP="00D62E44">
            <w:pPr>
              <w:jc w:val="center"/>
              <w:rPr>
                <w:sz w:val="20"/>
                <w:szCs w:val="20"/>
                <w:lang w:val="en-GB"/>
              </w:rPr>
            </w:pPr>
          </w:p>
          <w:p w14:paraId="61A19FC3" w14:textId="77777777" w:rsidR="005E0E7F" w:rsidRPr="00A04DD6" w:rsidRDefault="005E0E7F" w:rsidP="00D62E44">
            <w:pPr>
              <w:jc w:val="center"/>
              <w:rPr>
                <w:sz w:val="20"/>
                <w:szCs w:val="20"/>
                <w:lang w:val="en-GB"/>
              </w:rPr>
            </w:pPr>
          </w:p>
          <w:p w14:paraId="107AEB1D" w14:textId="40ABE34C" w:rsidR="005E0E7F" w:rsidRPr="00A04DD6" w:rsidRDefault="00377A50" w:rsidP="00D62E44">
            <w:pPr>
              <w:jc w:val="center"/>
              <w:rPr>
                <w:sz w:val="20"/>
                <w:szCs w:val="20"/>
                <w:lang w:val="en-GB"/>
              </w:rPr>
            </w:pPr>
            <w:r w:rsidRPr="00A04DD6">
              <w:rPr>
                <w:sz w:val="20"/>
                <w:szCs w:val="20"/>
                <w:lang w:val="en-GB"/>
              </w:rPr>
              <w:t>x</w:t>
            </w:r>
          </w:p>
          <w:p w14:paraId="569A60E5" w14:textId="77777777" w:rsidR="005E0E7F" w:rsidRPr="00A04DD6" w:rsidRDefault="005E0E7F" w:rsidP="00D62E44">
            <w:pPr>
              <w:jc w:val="center"/>
              <w:rPr>
                <w:sz w:val="20"/>
                <w:szCs w:val="20"/>
                <w:lang w:val="en-GB"/>
              </w:rPr>
            </w:pPr>
          </w:p>
          <w:p w14:paraId="7B841538" w14:textId="77777777" w:rsidR="005E0E7F" w:rsidRPr="00A04DD6" w:rsidRDefault="005E0E7F" w:rsidP="00D62E44">
            <w:pPr>
              <w:jc w:val="center"/>
              <w:rPr>
                <w:sz w:val="20"/>
                <w:szCs w:val="20"/>
                <w:lang w:val="en-GB"/>
              </w:rPr>
            </w:pPr>
          </w:p>
          <w:p w14:paraId="152EF1FE" w14:textId="77777777" w:rsidR="005E0E7F" w:rsidRPr="00A04DD6" w:rsidRDefault="005E0E7F" w:rsidP="00D62E44">
            <w:pPr>
              <w:jc w:val="center"/>
              <w:rPr>
                <w:sz w:val="20"/>
                <w:szCs w:val="20"/>
                <w:lang w:val="en-GB"/>
              </w:rPr>
            </w:pPr>
          </w:p>
          <w:p w14:paraId="45065F6F" w14:textId="77777777" w:rsidR="005E0E7F" w:rsidRPr="00A04DD6" w:rsidRDefault="005E0E7F" w:rsidP="00D62E44">
            <w:pPr>
              <w:jc w:val="center"/>
              <w:rPr>
                <w:sz w:val="20"/>
                <w:szCs w:val="20"/>
                <w:lang w:val="en-GB"/>
              </w:rPr>
            </w:pPr>
          </w:p>
          <w:p w14:paraId="20880E14" w14:textId="77777777" w:rsidR="005E0E7F" w:rsidRPr="00A04DD6" w:rsidRDefault="005E0E7F" w:rsidP="00D62E44">
            <w:pPr>
              <w:jc w:val="center"/>
              <w:rPr>
                <w:sz w:val="20"/>
                <w:szCs w:val="20"/>
                <w:lang w:val="en-GB"/>
              </w:rPr>
            </w:pPr>
          </w:p>
          <w:p w14:paraId="1E90C632" w14:textId="77777777" w:rsidR="005E0E7F" w:rsidRPr="00A04DD6" w:rsidRDefault="005E0E7F" w:rsidP="00D62E44">
            <w:pPr>
              <w:jc w:val="center"/>
              <w:rPr>
                <w:sz w:val="20"/>
                <w:szCs w:val="20"/>
                <w:lang w:val="en-GB"/>
              </w:rPr>
            </w:pPr>
          </w:p>
          <w:p w14:paraId="33103718" w14:textId="77777777" w:rsidR="005E0E7F" w:rsidRPr="00A04DD6" w:rsidRDefault="005E0E7F" w:rsidP="00D62E44">
            <w:pPr>
              <w:jc w:val="center"/>
              <w:rPr>
                <w:sz w:val="20"/>
                <w:szCs w:val="20"/>
                <w:lang w:val="en-GB"/>
              </w:rPr>
            </w:pPr>
          </w:p>
          <w:p w14:paraId="101E5FC6" w14:textId="77777777" w:rsidR="005E0E7F" w:rsidRPr="00A04DD6" w:rsidRDefault="005E0E7F" w:rsidP="00D62E44">
            <w:pPr>
              <w:jc w:val="center"/>
              <w:rPr>
                <w:sz w:val="20"/>
                <w:szCs w:val="20"/>
                <w:lang w:val="en-GB"/>
              </w:rPr>
            </w:pPr>
          </w:p>
          <w:p w14:paraId="784CF06A" w14:textId="77777777" w:rsidR="005E0E7F" w:rsidRPr="00A04DD6" w:rsidRDefault="005E0E7F" w:rsidP="00D62E44">
            <w:pPr>
              <w:jc w:val="center"/>
              <w:rPr>
                <w:sz w:val="20"/>
                <w:szCs w:val="20"/>
                <w:lang w:val="en-GB"/>
              </w:rPr>
            </w:pPr>
          </w:p>
          <w:p w14:paraId="3AB00945" w14:textId="77777777" w:rsidR="005E0E7F" w:rsidRPr="00A04DD6" w:rsidRDefault="005E0E7F" w:rsidP="00D62E44">
            <w:pPr>
              <w:jc w:val="center"/>
              <w:rPr>
                <w:sz w:val="20"/>
                <w:szCs w:val="20"/>
                <w:lang w:val="en-GB"/>
              </w:rPr>
            </w:pPr>
          </w:p>
          <w:p w14:paraId="0E60722A" w14:textId="77777777" w:rsidR="005E0E7F" w:rsidRPr="00A04DD6" w:rsidRDefault="005E0E7F" w:rsidP="00D62E44">
            <w:pPr>
              <w:jc w:val="center"/>
              <w:rPr>
                <w:sz w:val="20"/>
                <w:szCs w:val="20"/>
                <w:lang w:val="en-GB"/>
              </w:rPr>
            </w:pPr>
          </w:p>
          <w:p w14:paraId="25085D6C" w14:textId="77777777" w:rsidR="005E0E7F" w:rsidRPr="00A04DD6" w:rsidRDefault="005E0E7F" w:rsidP="00D62E44">
            <w:pPr>
              <w:jc w:val="center"/>
              <w:rPr>
                <w:sz w:val="20"/>
                <w:szCs w:val="20"/>
                <w:lang w:val="en-GB"/>
              </w:rPr>
            </w:pPr>
          </w:p>
          <w:p w14:paraId="4CF4B97F" w14:textId="77777777" w:rsidR="005E0E7F" w:rsidRPr="00A04DD6" w:rsidRDefault="005E0E7F" w:rsidP="00D62E44">
            <w:pPr>
              <w:jc w:val="center"/>
              <w:rPr>
                <w:sz w:val="20"/>
                <w:szCs w:val="20"/>
                <w:lang w:val="en-GB"/>
              </w:rPr>
            </w:pPr>
          </w:p>
          <w:p w14:paraId="637D1EFE" w14:textId="77777777" w:rsidR="005E0E7F" w:rsidRPr="00A04DD6" w:rsidRDefault="005E0E7F" w:rsidP="00D62E44">
            <w:pPr>
              <w:jc w:val="center"/>
              <w:rPr>
                <w:sz w:val="20"/>
                <w:szCs w:val="20"/>
                <w:lang w:val="en-GB"/>
              </w:rPr>
            </w:pPr>
          </w:p>
          <w:p w14:paraId="521AD8A7" w14:textId="77777777" w:rsidR="005E0E7F" w:rsidRPr="00A04DD6" w:rsidRDefault="005E0E7F" w:rsidP="00D62E44">
            <w:pPr>
              <w:jc w:val="center"/>
              <w:rPr>
                <w:sz w:val="20"/>
                <w:szCs w:val="20"/>
                <w:lang w:val="en-GB"/>
              </w:rPr>
            </w:pPr>
          </w:p>
          <w:p w14:paraId="6AF66B76" w14:textId="77777777" w:rsidR="005E0E7F" w:rsidRPr="00A04DD6" w:rsidRDefault="005E0E7F" w:rsidP="00D62E44">
            <w:pPr>
              <w:jc w:val="center"/>
              <w:rPr>
                <w:sz w:val="20"/>
                <w:szCs w:val="20"/>
                <w:lang w:val="en-GB"/>
              </w:rPr>
            </w:pPr>
          </w:p>
          <w:p w14:paraId="0A85842F" w14:textId="77777777" w:rsidR="005E0E7F" w:rsidRPr="00A04DD6" w:rsidRDefault="005E0E7F" w:rsidP="00D62E44">
            <w:pPr>
              <w:jc w:val="center"/>
              <w:rPr>
                <w:sz w:val="20"/>
                <w:szCs w:val="20"/>
                <w:lang w:val="en-GB"/>
              </w:rPr>
            </w:pPr>
          </w:p>
          <w:p w14:paraId="3F2CAB5B" w14:textId="77777777" w:rsidR="005E0E7F" w:rsidRPr="00A04DD6" w:rsidRDefault="005E0E7F" w:rsidP="00D62E44">
            <w:pPr>
              <w:jc w:val="center"/>
              <w:rPr>
                <w:sz w:val="20"/>
                <w:szCs w:val="20"/>
                <w:lang w:val="en-GB"/>
              </w:rPr>
            </w:pPr>
          </w:p>
          <w:p w14:paraId="2FB6A950" w14:textId="77777777" w:rsidR="005E0E7F" w:rsidRPr="00A04DD6" w:rsidRDefault="005E0E7F" w:rsidP="00D62E44">
            <w:pPr>
              <w:jc w:val="center"/>
              <w:rPr>
                <w:sz w:val="20"/>
                <w:szCs w:val="20"/>
                <w:lang w:val="en-GB"/>
              </w:rPr>
            </w:pPr>
          </w:p>
          <w:p w14:paraId="0D8A2115" w14:textId="17A5E485" w:rsidR="005E0E7F" w:rsidRPr="00A04DD6" w:rsidRDefault="00377A50" w:rsidP="00D62E44">
            <w:pPr>
              <w:jc w:val="center"/>
              <w:rPr>
                <w:sz w:val="20"/>
                <w:szCs w:val="20"/>
                <w:lang w:val="en-GB"/>
              </w:rPr>
            </w:pPr>
            <w:r w:rsidRPr="00A04DD6">
              <w:rPr>
                <w:sz w:val="20"/>
                <w:szCs w:val="20"/>
                <w:lang w:val="en-GB"/>
              </w:rPr>
              <w:t>x</w:t>
            </w:r>
          </w:p>
          <w:p w14:paraId="0723CCE4" w14:textId="75E9EE1F" w:rsidR="005E0E7F" w:rsidRPr="00A04DD6" w:rsidRDefault="00377A50" w:rsidP="00D62E44">
            <w:pPr>
              <w:jc w:val="center"/>
              <w:rPr>
                <w:sz w:val="20"/>
                <w:szCs w:val="20"/>
                <w:lang w:val="en-GB"/>
              </w:rPr>
            </w:pPr>
            <w:r w:rsidRPr="00A04DD6">
              <w:rPr>
                <w:sz w:val="20"/>
                <w:szCs w:val="20"/>
                <w:lang w:val="en-GB"/>
              </w:rPr>
              <w:t>x</w:t>
            </w:r>
          </w:p>
          <w:p w14:paraId="03780B64" w14:textId="67429A30" w:rsidR="005E0E7F" w:rsidRPr="00A04DD6" w:rsidRDefault="00377A50" w:rsidP="00D62E44">
            <w:pPr>
              <w:jc w:val="center"/>
              <w:rPr>
                <w:sz w:val="20"/>
                <w:szCs w:val="20"/>
                <w:lang w:val="en-GB"/>
              </w:rPr>
            </w:pPr>
            <w:r w:rsidRPr="00A04DD6">
              <w:rPr>
                <w:sz w:val="20"/>
                <w:szCs w:val="20"/>
                <w:lang w:val="en-GB"/>
              </w:rPr>
              <w:t>x</w:t>
            </w:r>
          </w:p>
          <w:p w14:paraId="2F59B686" w14:textId="77777777" w:rsidR="005E0E7F" w:rsidRPr="00A04DD6" w:rsidRDefault="005E0E7F" w:rsidP="00D62E44">
            <w:pPr>
              <w:jc w:val="center"/>
              <w:rPr>
                <w:sz w:val="20"/>
                <w:szCs w:val="20"/>
                <w:lang w:val="en-GB"/>
              </w:rPr>
            </w:pPr>
          </w:p>
          <w:p w14:paraId="1FBBF931" w14:textId="77777777" w:rsidR="005E0E7F" w:rsidRPr="00A04DD6" w:rsidRDefault="005E0E7F" w:rsidP="00D62E44">
            <w:pPr>
              <w:jc w:val="center"/>
              <w:rPr>
                <w:sz w:val="20"/>
                <w:szCs w:val="20"/>
                <w:lang w:val="en-GB"/>
              </w:rPr>
            </w:pPr>
          </w:p>
          <w:p w14:paraId="09537D5C" w14:textId="77777777" w:rsidR="005E0E7F" w:rsidRPr="00A04DD6" w:rsidRDefault="005E0E7F" w:rsidP="00D62E44">
            <w:pPr>
              <w:jc w:val="center"/>
              <w:rPr>
                <w:sz w:val="20"/>
                <w:szCs w:val="20"/>
                <w:lang w:val="en-GB"/>
              </w:rPr>
            </w:pPr>
          </w:p>
          <w:p w14:paraId="62FCDA82" w14:textId="77777777" w:rsidR="005E0E7F" w:rsidRPr="00A04DD6" w:rsidRDefault="005E0E7F" w:rsidP="00D62E44">
            <w:pPr>
              <w:jc w:val="center"/>
              <w:rPr>
                <w:sz w:val="20"/>
                <w:szCs w:val="20"/>
                <w:lang w:val="en-GB"/>
              </w:rPr>
            </w:pPr>
          </w:p>
          <w:p w14:paraId="19578DE3" w14:textId="77777777" w:rsidR="005E0E7F" w:rsidRPr="00A04DD6" w:rsidRDefault="005E0E7F" w:rsidP="00D62E44">
            <w:pPr>
              <w:jc w:val="center"/>
              <w:rPr>
                <w:sz w:val="20"/>
                <w:szCs w:val="20"/>
                <w:lang w:val="en-GB"/>
              </w:rPr>
            </w:pPr>
          </w:p>
          <w:p w14:paraId="4EEAFD14" w14:textId="77777777" w:rsidR="005E0E7F" w:rsidRPr="00A04DD6" w:rsidRDefault="005E0E7F" w:rsidP="00D62E44">
            <w:pPr>
              <w:jc w:val="center"/>
              <w:rPr>
                <w:sz w:val="20"/>
                <w:szCs w:val="20"/>
                <w:lang w:val="en-GB"/>
              </w:rPr>
            </w:pPr>
          </w:p>
          <w:p w14:paraId="27FBCA46" w14:textId="77777777" w:rsidR="005E0E7F" w:rsidRPr="00A04DD6" w:rsidRDefault="005E0E7F" w:rsidP="00D62E44">
            <w:pPr>
              <w:jc w:val="center"/>
              <w:rPr>
                <w:sz w:val="20"/>
                <w:szCs w:val="20"/>
                <w:lang w:val="en-GB"/>
              </w:rPr>
            </w:pPr>
          </w:p>
          <w:p w14:paraId="018BA963" w14:textId="77777777" w:rsidR="005E0E7F" w:rsidRPr="00A04DD6" w:rsidRDefault="005E0E7F" w:rsidP="00D62E44">
            <w:pPr>
              <w:jc w:val="center"/>
              <w:rPr>
                <w:sz w:val="20"/>
                <w:szCs w:val="20"/>
                <w:lang w:val="en-GB"/>
              </w:rPr>
            </w:pPr>
          </w:p>
          <w:p w14:paraId="65EDF927" w14:textId="77777777" w:rsidR="005E0E7F" w:rsidRPr="00A04DD6" w:rsidRDefault="005E0E7F" w:rsidP="00D62E44">
            <w:pPr>
              <w:jc w:val="center"/>
              <w:rPr>
                <w:sz w:val="20"/>
                <w:szCs w:val="20"/>
                <w:lang w:val="en-GB"/>
              </w:rPr>
            </w:pPr>
          </w:p>
          <w:p w14:paraId="757C443A" w14:textId="77777777" w:rsidR="005E0E7F" w:rsidRPr="00A04DD6" w:rsidRDefault="005E0E7F" w:rsidP="00D62E44">
            <w:pPr>
              <w:jc w:val="center"/>
              <w:rPr>
                <w:sz w:val="20"/>
                <w:szCs w:val="20"/>
                <w:lang w:val="en-GB"/>
              </w:rPr>
            </w:pPr>
          </w:p>
          <w:p w14:paraId="3B52626D" w14:textId="77777777" w:rsidR="005E0E7F" w:rsidRPr="00A04DD6" w:rsidRDefault="005E0E7F" w:rsidP="00D62E44">
            <w:pPr>
              <w:jc w:val="center"/>
              <w:rPr>
                <w:sz w:val="20"/>
                <w:szCs w:val="20"/>
                <w:lang w:val="en-GB"/>
              </w:rPr>
            </w:pPr>
          </w:p>
          <w:p w14:paraId="6296C517" w14:textId="77777777" w:rsidR="005E0E7F" w:rsidRPr="00A04DD6" w:rsidRDefault="005E0E7F" w:rsidP="00D62E44">
            <w:pPr>
              <w:jc w:val="center"/>
              <w:rPr>
                <w:sz w:val="20"/>
                <w:szCs w:val="20"/>
                <w:lang w:val="en-GB"/>
              </w:rPr>
            </w:pPr>
          </w:p>
          <w:p w14:paraId="4D13E6DC" w14:textId="77777777" w:rsidR="005E0E7F" w:rsidRPr="00A04DD6" w:rsidRDefault="005E0E7F" w:rsidP="00D62E44">
            <w:pPr>
              <w:jc w:val="center"/>
              <w:rPr>
                <w:sz w:val="20"/>
                <w:szCs w:val="20"/>
                <w:lang w:val="en-GB"/>
              </w:rPr>
            </w:pPr>
          </w:p>
          <w:p w14:paraId="0F8C6828" w14:textId="116B6E0B" w:rsidR="005E0E7F" w:rsidRPr="00A04DD6" w:rsidRDefault="00377A50" w:rsidP="00D62E44">
            <w:pPr>
              <w:jc w:val="center"/>
              <w:rPr>
                <w:sz w:val="20"/>
                <w:szCs w:val="20"/>
                <w:lang w:val="en-GB"/>
              </w:rPr>
            </w:pPr>
            <w:r w:rsidRPr="00A04DD6">
              <w:rPr>
                <w:sz w:val="20"/>
                <w:szCs w:val="20"/>
                <w:lang w:val="en-GB"/>
              </w:rPr>
              <w:t>x</w:t>
            </w:r>
          </w:p>
        </w:tc>
        <w:tc>
          <w:tcPr>
            <w:tcW w:w="677" w:type="pct"/>
          </w:tcPr>
          <w:p w14:paraId="18847F08" w14:textId="77777777" w:rsidR="005E0E7F" w:rsidRPr="00A04DD6" w:rsidRDefault="005E0E7F" w:rsidP="00D62E44">
            <w:pPr>
              <w:jc w:val="center"/>
              <w:rPr>
                <w:sz w:val="20"/>
                <w:szCs w:val="20"/>
                <w:lang w:val="en-GB"/>
              </w:rPr>
            </w:pPr>
          </w:p>
          <w:p w14:paraId="2E0A07BC" w14:textId="77777777" w:rsidR="005E0E7F" w:rsidRPr="00A04DD6" w:rsidRDefault="005E0E7F" w:rsidP="00D62E44">
            <w:pPr>
              <w:jc w:val="center"/>
              <w:rPr>
                <w:sz w:val="20"/>
                <w:szCs w:val="20"/>
                <w:lang w:val="en-GB"/>
              </w:rPr>
            </w:pPr>
          </w:p>
          <w:p w14:paraId="51D7891E" w14:textId="77777777" w:rsidR="005E0E7F" w:rsidRPr="00A04DD6" w:rsidRDefault="005E0E7F" w:rsidP="00D62E44">
            <w:pPr>
              <w:jc w:val="center"/>
              <w:rPr>
                <w:sz w:val="20"/>
                <w:szCs w:val="20"/>
                <w:lang w:val="en-GB"/>
              </w:rPr>
            </w:pPr>
          </w:p>
          <w:p w14:paraId="54B42B39" w14:textId="77777777" w:rsidR="005E0E7F" w:rsidRPr="00A04DD6" w:rsidRDefault="005E0E7F" w:rsidP="00D62E44">
            <w:pPr>
              <w:jc w:val="center"/>
              <w:rPr>
                <w:sz w:val="20"/>
                <w:szCs w:val="20"/>
                <w:lang w:val="en-GB"/>
              </w:rPr>
            </w:pPr>
          </w:p>
          <w:p w14:paraId="1EEB160E" w14:textId="77777777" w:rsidR="005E0E7F" w:rsidRPr="00A04DD6" w:rsidRDefault="005E0E7F" w:rsidP="00D62E44">
            <w:pPr>
              <w:jc w:val="center"/>
              <w:rPr>
                <w:sz w:val="20"/>
                <w:szCs w:val="20"/>
                <w:lang w:val="en-GB"/>
              </w:rPr>
            </w:pPr>
          </w:p>
          <w:p w14:paraId="3BB9E397" w14:textId="77777777" w:rsidR="005E0E7F" w:rsidRPr="00A04DD6" w:rsidRDefault="005E0E7F" w:rsidP="00D62E44">
            <w:pPr>
              <w:jc w:val="center"/>
              <w:rPr>
                <w:sz w:val="20"/>
                <w:szCs w:val="20"/>
                <w:lang w:val="en-GB"/>
              </w:rPr>
            </w:pPr>
          </w:p>
          <w:p w14:paraId="655CDCCA" w14:textId="77777777" w:rsidR="005E0E7F" w:rsidRPr="00A04DD6" w:rsidRDefault="005E0E7F" w:rsidP="00D62E44">
            <w:pPr>
              <w:jc w:val="center"/>
              <w:rPr>
                <w:sz w:val="20"/>
                <w:szCs w:val="20"/>
                <w:lang w:val="en-GB"/>
              </w:rPr>
            </w:pPr>
          </w:p>
          <w:p w14:paraId="368F0F6B" w14:textId="22177B3E" w:rsidR="005E0E7F" w:rsidRPr="00A04DD6" w:rsidRDefault="00377A50" w:rsidP="00D62E44">
            <w:pPr>
              <w:jc w:val="center"/>
              <w:rPr>
                <w:sz w:val="20"/>
                <w:szCs w:val="20"/>
                <w:lang w:val="en-GB"/>
              </w:rPr>
            </w:pPr>
            <w:r w:rsidRPr="00A04DD6">
              <w:rPr>
                <w:sz w:val="20"/>
                <w:szCs w:val="20"/>
                <w:lang w:val="en-GB"/>
              </w:rPr>
              <w:t>x</w:t>
            </w:r>
          </w:p>
          <w:p w14:paraId="294F5423" w14:textId="77777777" w:rsidR="005E0E7F" w:rsidRPr="00A04DD6" w:rsidRDefault="005E0E7F" w:rsidP="00D62E44">
            <w:pPr>
              <w:jc w:val="center"/>
              <w:rPr>
                <w:sz w:val="20"/>
                <w:szCs w:val="20"/>
                <w:lang w:val="en-GB"/>
              </w:rPr>
            </w:pPr>
          </w:p>
          <w:p w14:paraId="635B9B81" w14:textId="77777777" w:rsidR="005E0E7F" w:rsidRPr="00A04DD6" w:rsidRDefault="005E0E7F" w:rsidP="00D62E44">
            <w:pPr>
              <w:jc w:val="center"/>
              <w:rPr>
                <w:sz w:val="20"/>
                <w:szCs w:val="20"/>
                <w:lang w:val="en-GB"/>
              </w:rPr>
            </w:pPr>
          </w:p>
          <w:p w14:paraId="4C698711" w14:textId="77777777" w:rsidR="005E0E7F" w:rsidRPr="00A04DD6" w:rsidRDefault="005E0E7F" w:rsidP="00D62E44">
            <w:pPr>
              <w:jc w:val="center"/>
              <w:rPr>
                <w:sz w:val="20"/>
                <w:szCs w:val="20"/>
                <w:lang w:val="en-GB"/>
              </w:rPr>
            </w:pPr>
          </w:p>
          <w:p w14:paraId="076F83E7" w14:textId="77777777" w:rsidR="005E0E7F" w:rsidRPr="00A04DD6" w:rsidRDefault="005E0E7F" w:rsidP="00D62E44">
            <w:pPr>
              <w:jc w:val="center"/>
              <w:rPr>
                <w:sz w:val="20"/>
                <w:szCs w:val="20"/>
                <w:lang w:val="en-GB"/>
              </w:rPr>
            </w:pPr>
          </w:p>
          <w:p w14:paraId="5C23D789" w14:textId="77777777" w:rsidR="005E0E7F" w:rsidRPr="00A04DD6" w:rsidRDefault="005E0E7F" w:rsidP="00D62E44">
            <w:pPr>
              <w:jc w:val="center"/>
              <w:rPr>
                <w:sz w:val="20"/>
                <w:szCs w:val="20"/>
                <w:lang w:val="en-GB"/>
              </w:rPr>
            </w:pPr>
          </w:p>
          <w:p w14:paraId="66107976" w14:textId="77777777" w:rsidR="005E0E7F" w:rsidRPr="00A04DD6" w:rsidRDefault="005E0E7F" w:rsidP="00D62E44">
            <w:pPr>
              <w:jc w:val="center"/>
              <w:rPr>
                <w:sz w:val="20"/>
                <w:szCs w:val="20"/>
                <w:lang w:val="en-GB"/>
              </w:rPr>
            </w:pPr>
          </w:p>
          <w:p w14:paraId="211083C7" w14:textId="77777777" w:rsidR="005E0E7F" w:rsidRPr="00A04DD6" w:rsidRDefault="005E0E7F" w:rsidP="00D62E44">
            <w:pPr>
              <w:jc w:val="center"/>
              <w:rPr>
                <w:sz w:val="20"/>
                <w:szCs w:val="20"/>
                <w:lang w:val="en-GB"/>
              </w:rPr>
            </w:pPr>
          </w:p>
          <w:p w14:paraId="119C2FF4" w14:textId="77777777" w:rsidR="005E0E7F" w:rsidRPr="00A04DD6" w:rsidRDefault="005E0E7F" w:rsidP="00D62E44">
            <w:pPr>
              <w:jc w:val="center"/>
              <w:rPr>
                <w:sz w:val="20"/>
                <w:szCs w:val="20"/>
                <w:lang w:val="en-GB"/>
              </w:rPr>
            </w:pPr>
          </w:p>
          <w:p w14:paraId="2FE86222" w14:textId="77777777" w:rsidR="005E0E7F" w:rsidRPr="00A04DD6" w:rsidRDefault="005E0E7F" w:rsidP="00D62E44">
            <w:pPr>
              <w:jc w:val="center"/>
              <w:rPr>
                <w:sz w:val="20"/>
                <w:szCs w:val="20"/>
                <w:lang w:val="en-GB"/>
              </w:rPr>
            </w:pPr>
          </w:p>
          <w:p w14:paraId="01097890" w14:textId="77777777" w:rsidR="005E0E7F" w:rsidRPr="00A04DD6" w:rsidRDefault="005E0E7F" w:rsidP="00D62E44">
            <w:pPr>
              <w:jc w:val="center"/>
              <w:rPr>
                <w:sz w:val="20"/>
                <w:szCs w:val="20"/>
                <w:lang w:val="en-GB"/>
              </w:rPr>
            </w:pPr>
          </w:p>
          <w:p w14:paraId="6362E75B" w14:textId="77777777" w:rsidR="005E0E7F" w:rsidRPr="00A04DD6" w:rsidRDefault="005E0E7F" w:rsidP="00D62E44">
            <w:pPr>
              <w:jc w:val="center"/>
              <w:rPr>
                <w:sz w:val="20"/>
                <w:szCs w:val="20"/>
                <w:lang w:val="en-GB"/>
              </w:rPr>
            </w:pPr>
          </w:p>
          <w:p w14:paraId="64526CFE" w14:textId="77777777" w:rsidR="005E0E7F" w:rsidRPr="00A04DD6" w:rsidRDefault="005E0E7F" w:rsidP="00D62E44">
            <w:pPr>
              <w:jc w:val="center"/>
              <w:rPr>
                <w:sz w:val="20"/>
                <w:szCs w:val="20"/>
                <w:lang w:val="en-GB"/>
              </w:rPr>
            </w:pPr>
          </w:p>
          <w:p w14:paraId="492C36E5" w14:textId="77777777" w:rsidR="005E0E7F" w:rsidRPr="00A04DD6" w:rsidRDefault="005E0E7F" w:rsidP="00D62E44">
            <w:pPr>
              <w:jc w:val="center"/>
              <w:rPr>
                <w:sz w:val="20"/>
                <w:szCs w:val="20"/>
                <w:lang w:val="en-GB"/>
              </w:rPr>
            </w:pPr>
          </w:p>
          <w:p w14:paraId="4042DB3D" w14:textId="77777777" w:rsidR="005E0E7F" w:rsidRPr="00A04DD6" w:rsidRDefault="005E0E7F" w:rsidP="00D62E44">
            <w:pPr>
              <w:jc w:val="center"/>
              <w:rPr>
                <w:sz w:val="20"/>
                <w:szCs w:val="20"/>
                <w:lang w:val="en-GB"/>
              </w:rPr>
            </w:pPr>
          </w:p>
          <w:p w14:paraId="5FE18A26" w14:textId="77777777" w:rsidR="005E0E7F" w:rsidRPr="00A04DD6" w:rsidRDefault="005E0E7F" w:rsidP="00D62E44">
            <w:pPr>
              <w:jc w:val="center"/>
              <w:rPr>
                <w:sz w:val="20"/>
                <w:szCs w:val="20"/>
                <w:lang w:val="en-GB"/>
              </w:rPr>
            </w:pPr>
          </w:p>
          <w:p w14:paraId="6A7DCF95" w14:textId="77777777" w:rsidR="005E0E7F" w:rsidRPr="00A04DD6" w:rsidRDefault="005E0E7F" w:rsidP="00D62E44">
            <w:pPr>
              <w:jc w:val="center"/>
              <w:rPr>
                <w:sz w:val="20"/>
                <w:szCs w:val="20"/>
                <w:lang w:val="en-GB"/>
              </w:rPr>
            </w:pPr>
          </w:p>
          <w:p w14:paraId="77918A07" w14:textId="77777777" w:rsidR="005E0E7F" w:rsidRPr="00A04DD6" w:rsidRDefault="005E0E7F" w:rsidP="00D62E44">
            <w:pPr>
              <w:jc w:val="center"/>
              <w:rPr>
                <w:sz w:val="20"/>
                <w:szCs w:val="20"/>
                <w:lang w:val="en-GB"/>
              </w:rPr>
            </w:pPr>
          </w:p>
          <w:p w14:paraId="256914E6" w14:textId="77777777" w:rsidR="005E0E7F" w:rsidRPr="00A04DD6" w:rsidRDefault="005E0E7F" w:rsidP="00D62E44">
            <w:pPr>
              <w:jc w:val="center"/>
              <w:rPr>
                <w:sz w:val="20"/>
                <w:szCs w:val="20"/>
                <w:lang w:val="en-GB"/>
              </w:rPr>
            </w:pPr>
          </w:p>
          <w:p w14:paraId="4B5373D3" w14:textId="77777777" w:rsidR="005E0E7F" w:rsidRPr="00A04DD6" w:rsidRDefault="005E0E7F" w:rsidP="00D62E44">
            <w:pPr>
              <w:jc w:val="center"/>
              <w:rPr>
                <w:sz w:val="20"/>
                <w:szCs w:val="20"/>
                <w:lang w:val="en-GB"/>
              </w:rPr>
            </w:pPr>
          </w:p>
          <w:p w14:paraId="5B8F4F4D" w14:textId="170AB302" w:rsidR="005E0E7F" w:rsidRPr="00A04DD6" w:rsidRDefault="00377A50" w:rsidP="00D62E44">
            <w:pPr>
              <w:jc w:val="center"/>
              <w:rPr>
                <w:sz w:val="20"/>
                <w:szCs w:val="20"/>
                <w:lang w:val="en-GB"/>
              </w:rPr>
            </w:pPr>
            <w:r w:rsidRPr="00A04DD6">
              <w:rPr>
                <w:sz w:val="20"/>
                <w:szCs w:val="20"/>
                <w:lang w:val="en-GB"/>
              </w:rPr>
              <w:t>x</w:t>
            </w:r>
          </w:p>
          <w:p w14:paraId="23E21B29" w14:textId="6943D193" w:rsidR="005E0E7F" w:rsidRPr="00A04DD6" w:rsidRDefault="00377A50" w:rsidP="00D62E44">
            <w:pPr>
              <w:jc w:val="center"/>
              <w:rPr>
                <w:sz w:val="20"/>
                <w:szCs w:val="20"/>
                <w:lang w:val="en-GB"/>
              </w:rPr>
            </w:pPr>
            <w:r w:rsidRPr="00A04DD6">
              <w:rPr>
                <w:sz w:val="20"/>
                <w:szCs w:val="20"/>
                <w:lang w:val="en-GB"/>
              </w:rPr>
              <w:t>x</w:t>
            </w:r>
          </w:p>
          <w:p w14:paraId="3438B3BC" w14:textId="4EE14216" w:rsidR="005E0E7F" w:rsidRPr="00A04DD6" w:rsidRDefault="00377A50" w:rsidP="00D62E44">
            <w:pPr>
              <w:jc w:val="center"/>
              <w:rPr>
                <w:sz w:val="20"/>
                <w:szCs w:val="20"/>
                <w:lang w:val="en-GB"/>
              </w:rPr>
            </w:pPr>
            <w:r w:rsidRPr="00A04DD6">
              <w:rPr>
                <w:sz w:val="20"/>
                <w:szCs w:val="20"/>
                <w:lang w:val="en-GB"/>
              </w:rPr>
              <w:t>x</w:t>
            </w:r>
          </w:p>
          <w:p w14:paraId="7E5403D7" w14:textId="77777777" w:rsidR="005E0E7F" w:rsidRPr="00A04DD6" w:rsidRDefault="005E0E7F" w:rsidP="00D62E44">
            <w:pPr>
              <w:jc w:val="center"/>
              <w:rPr>
                <w:sz w:val="20"/>
                <w:szCs w:val="20"/>
                <w:lang w:val="en-GB"/>
              </w:rPr>
            </w:pPr>
          </w:p>
          <w:p w14:paraId="7824596C" w14:textId="77777777" w:rsidR="005E0E7F" w:rsidRPr="00A04DD6" w:rsidRDefault="005E0E7F" w:rsidP="00D62E44">
            <w:pPr>
              <w:jc w:val="center"/>
              <w:rPr>
                <w:sz w:val="20"/>
                <w:szCs w:val="20"/>
                <w:lang w:val="en-GB"/>
              </w:rPr>
            </w:pPr>
          </w:p>
          <w:p w14:paraId="25876A10" w14:textId="77777777" w:rsidR="005E0E7F" w:rsidRPr="00A04DD6" w:rsidRDefault="005E0E7F" w:rsidP="00D62E44">
            <w:pPr>
              <w:jc w:val="center"/>
              <w:rPr>
                <w:sz w:val="20"/>
                <w:szCs w:val="20"/>
                <w:lang w:val="en-GB"/>
              </w:rPr>
            </w:pPr>
          </w:p>
          <w:p w14:paraId="56FCBBF5" w14:textId="77777777" w:rsidR="005E0E7F" w:rsidRPr="00A04DD6" w:rsidRDefault="005E0E7F" w:rsidP="00D62E44">
            <w:pPr>
              <w:jc w:val="center"/>
              <w:rPr>
                <w:sz w:val="20"/>
                <w:szCs w:val="20"/>
                <w:lang w:val="en-GB"/>
              </w:rPr>
            </w:pPr>
          </w:p>
          <w:p w14:paraId="38C37F2B" w14:textId="77777777" w:rsidR="005E0E7F" w:rsidRPr="00A04DD6" w:rsidRDefault="005E0E7F" w:rsidP="00D62E44">
            <w:pPr>
              <w:jc w:val="center"/>
              <w:rPr>
                <w:sz w:val="20"/>
                <w:szCs w:val="20"/>
                <w:lang w:val="en-GB"/>
              </w:rPr>
            </w:pPr>
          </w:p>
          <w:p w14:paraId="3EF2744E" w14:textId="77777777" w:rsidR="005E0E7F" w:rsidRPr="00A04DD6" w:rsidRDefault="005E0E7F" w:rsidP="00D62E44">
            <w:pPr>
              <w:jc w:val="center"/>
              <w:rPr>
                <w:sz w:val="20"/>
                <w:szCs w:val="20"/>
                <w:lang w:val="en-GB"/>
              </w:rPr>
            </w:pPr>
          </w:p>
          <w:p w14:paraId="7664AC73" w14:textId="77777777" w:rsidR="005E0E7F" w:rsidRPr="00A04DD6" w:rsidRDefault="005E0E7F" w:rsidP="00D62E44">
            <w:pPr>
              <w:jc w:val="center"/>
              <w:rPr>
                <w:sz w:val="20"/>
                <w:szCs w:val="20"/>
                <w:lang w:val="en-GB"/>
              </w:rPr>
            </w:pPr>
          </w:p>
          <w:p w14:paraId="0F38A8FF" w14:textId="77777777" w:rsidR="005E0E7F" w:rsidRPr="00A04DD6" w:rsidRDefault="005E0E7F" w:rsidP="00D62E44">
            <w:pPr>
              <w:jc w:val="center"/>
              <w:rPr>
                <w:sz w:val="20"/>
                <w:szCs w:val="20"/>
                <w:lang w:val="en-GB"/>
              </w:rPr>
            </w:pPr>
          </w:p>
          <w:p w14:paraId="0BB803CD" w14:textId="77777777" w:rsidR="005E0E7F" w:rsidRPr="00A04DD6" w:rsidRDefault="005E0E7F" w:rsidP="00D62E44">
            <w:pPr>
              <w:jc w:val="center"/>
              <w:rPr>
                <w:sz w:val="20"/>
                <w:szCs w:val="20"/>
                <w:lang w:val="en-GB"/>
              </w:rPr>
            </w:pPr>
          </w:p>
          <w:p w14:paraId="2D7675B0" w14:textId="77777777" w:rsidR="005E0E7F" w:rsidRPr="00A04DD6" w:rsidRDefault="005E0E7F" w:rsidP="00D62E44">
            <w:pPr>
              <w:jc w:val="center"/>
              <w:rPr>
                <w:sz w:val="20"/>
                <w:szCs w:val="20"/>
                <w:lang w:val="en-GB"/>
              </w:rPr>
            </w:pPr>
          </w:p>
          <w:p w14:paraId="348DACD7" w14:textId="77777777" w:rsidR="005E0E7F" w:rsidRPr="00A04DD6" w:rsidRDefault="005E0E7F" w:rsidP="00D62E44">
            <w:pPr>
              <w:jc w:val="center"/>
              <w:rPr>
                <w:sz w:val="20"/>
                <w:szCs w:val="20"/>
                <w:lang w:val="en-GB"/>
              </w:rPr>
            </w:pPr>
          </w:p>
          <w:p w14:paraId="3A2C8E05" w14:textId="77777777" w:rsidR="005E0E7F" w:rsidRPr="00A04DD6" w:rsidRDefault="005E0E7F" w:rsidP="00D62E44">
            <w:pPr>
              <w:jc w:val="center"/>
              <w:rPr>
                <w:sz w:val="20"/>
                <w:szCs w:val="20"/>
                <w:lang w:val="en-GB"/>
              </w:rPr>
            </w:pPr>
          </w:p>
          <w:p w14:paraId="5A512E75" w14:textId="77777777" w:rsidR="005E0E7F" w:rsidRPr="00A04DD6" w:rsidRDefault="005E0E7F" w:rsidP="00D62E44">
            <w:pPr>
              <w:jc w:val="center"/>
              <w:rPr>
                <w:sz w:val="20"/>
                <w:szCs w:val="20"/>
                <w:lang w:val="en-GB"/>
              </w:rPr>
            </w:pPr>
          </w:p>
          <w:p w14:paraId="777013C5" w14:textId="50473E3D" w:rsidR="005E0E7F" w:rsidRPr="00A04DD6" w:rsidRDefault="00377A50" w:rsidP="00D62E44">
            <w:pPr>
              <w:jc w:val="center"/>
              <w:rPr>
                <w:sz w:val="20"/>
                <w:szCs w:val="20"/>
                <w:lang w:val="en-GB"/>
              </w:rPr>
            </w:pPr>
            <w:r w:rsidRPr="00A04DD6">
              <w:rPr>
                <w:sz w:val="20"/>
                <w:szCs w:val="20"/>
                <w:lang w:val="en-GB"/>
              </w:rPr>
              <w:t>x</w:t>
            </w:r>
          </w:p>
        </w:tc>
        <w:tc>
          <w:tcPr>
            <w:tcW w:w="676" w:type="pct"/>
          </w:tcPr>
          <w:p w14:paraId="21B36188" w14:textId="1B3CA59A" w:rsidR="005E0E7F" w:rsidRPr="00A04DD6" w:rsidRDefault="00377A50" w:rsidP="00D62E44">
            <w:pPr>
              <w:jc w:val="center"/>
              <w:rPr>
                <w:sz w:val="20"/>
                <w:szCs w:val="20"/>
                <w:lang w:val="en-GB"/>
              </w:rPr>
            </w:pPr>
            <w:r w:rsidRPr="00A04DD6">
              <w:rPr>
                <w:sz w:val="20"/>
                <w:szCs w:val="20"/>
                <w:lang w:val="en-GB"/>
              </w:rPr>
              <w:lastRenderedPageBreak/>
              <w:t>x</w:t>
            </w:r>
          </w:p>
          <w:p w14:paraId="79B166B5" w14:textId="0C1481E4" w:rsidR="005E0E7F" w:rsidRPr="00A04DD6" w:rsidRDefault="00377A50" w:rsidP="00D62E44">
            <w:pPr>
              <w:jc w:val="center"/>
              <w:rPr>
                <w:sz w:val="20"/>
                <w:szCs w:val="20"/>
                <w:lang w:val="en-GB"/>
              </w:rPr>
            </w:pPr>
            <w:r w:rsidRPr="00A04DD6">
              <w:rPr>
                <w:sz w:val="20"/>
                <w:szCs w:val="20"/>
                <w:lang w:val="en-GB"/>
              </w:rPr>
              <w:t>x</w:t>
            </w:r>
          </w:p>
          <w:p w14:paraId="25BE38D3" w14:textId="4DA6054E" w:rsidR="005E0E7F" w:rsidRPr="00A04DD6" w:rsidRDefault="00377A50" w:rsidP="00D62E44">
            <w:pPr>
              <w:jc w:val="center"/>
              <w:rPr>
                <w:sz w:val="20"/>
                <w:szCs w:val="20"/>
                <w:lang w:val="en-GB"/>
              </w:rPr>
            </w:pPr>
            <w:r w:rsidRPr="00A04DD6">
              <w:rPr>
                <w:sz w:val="20"/>
                <w:szCs w:val="20"/>
                <w:lang w:val="en-GB"/>
              </w:rPr>
              <w:t>x</w:t>
            </w:r>
          </w:p>
          <w:p w14:paraId="0D96AEED" w14:textId="77777777" w:rsidR="005E0E7F" w:rsidRPr="00A04DD6" w:rsidRDefault="005E0E7F" w:rsidP="00D62E44">
            <w:pPr>
              <w:jc w:val="center"/>
              <w:rPr>
                <w:sz w:val="20"/>
                <w:szCs w:val="20"/>
                <w:lang w:val="en-GB"/>
              </w:rPr>
            </w:pPr>
          </w:p>
          <w:p w14:paraId="68C17D62" w14:textId="59A60497" w:rsidR="005E0E7F" w:rsidRPr="00A04DD6" w:rsidRDefault="00377A50" w:rsidP="00D62E44">
            <w:pPr>
              <w:jc w:val="center"/>
              <w:rPr>
                <w:sz w:val="20"/>
                <w:szCs w:val="20"/>
                <w:lang w:val="en-GB"/>
              </w:rPr>
            </w:pPr>
            <w:r w:rsidRPr="00A04DD6">
              <w:rPr>
                <w:sz w:val="20"/>
                <w:szCs w:val="20"/>
                <w:lang w:val="en-GB"/>
              </w:rPr>
              <w:t>x</w:t>
            </w:r>
          </w:p>
          <w:p w14:paraId="61F3F6C9" w14:textId="77777777" w:rsidR="005E0E7F" w:rsidRPr="00A04DD6" w:rsidRDefault="005E0E7F" w:rsidP="00D62E44">
            <w:pPr>
              <w:jc w:val="center"/>
              <w:rPr>
                <w:sz w:val="20"/>
                <w:szCs w:val="20"/>
                <w:lang w:val="en-GB"/>
              </w:rPr>
            </w:pPr>
          </w:p>
          <w:p w14:paraId="674F6338" w14:textId="77777777" w:rsidR="005E0E7F" w:rsidRPr="00A04DD6" w:rsidRDefault="005E0E7F" w:rsidP="00D62E44">
            <w:pPr>
              <w:jc w:val="center"/>
              <w:rPr>
                <w:sz w:val="20"/>
                <w:szCs w:val="20"/>
                <w:lang w:val="en-GB"/>
              </w:rPr>
            </w:pPr>
          </w:p>
          <w:p w14:paraId="6B9E5241" w14:textId="77777777" w:rsidR="005E0E7F" w:rsidRPr="00A04DD6" w:rsidRDefault="005E0E7F" w:rsidP="00D62E44">
            <w:pPr>
              <w:jc w:val="center"/>
              <w:rPr>
                <w:sz w:val="20"/>
                <w:szCs w:val="20"/>
                <w:lang w:val="en-GB"/>
              </w:rPr>
            </w:pPr>
          </w:p>
          <w:p w14:paraId="33C66B92" w14:textId="77777777" w:rsidR="005E0E7F" w:rsidRPr="00A04DD6" w:rsidRDefault="005E0E7F" w:rsidP="00D62E44">
            <w:pPr>
              <w:jc w:val="center"/>
              <w:rPr>
                <w:sz w:val="20"/>
                <w:szCs w:val="20"/>
                <w:lang w:val="en-GB"/>
              </w:rPr>
            </w:pPr>
          </w:p>
          <w:p w14:paraId="5E197F80" w14:textId="77777777" w:rsidR="005E0E7F" w:rsidRPr="00A04DD6" w:rsidRDefault="005E0E7F" w:rsidP="00D62E44">
            <w:pPr>
              <w:jc w:val="center"/>
              <w:rPr>
                <w:sz w:val="20"/>
                <w:szCs w:val="20"/>
                <w:lang w:val="en-GB"/>
              </w:rPr>
            </w:pPr>
          </w:p>
          <w:p w14:paraId="133D4BF0" w14:textId="2B45F668" w:rsidR="005E0E7F" w:rsidRPr="00A04DD6" w:rsidRDefault="00377A50" w:rsidP="00D62E44">
            <w:pPr>
              <w:jc w:val="center"/>
              <w:rPr>
                <w:sz w:val="20"/>
                <w:szCs w:val="20"/>
                <w:lang w:val="en-GB"/>
              </w:rPr>
            </w:pPr>
            <w:r w:rsidRPr="00A04DD6">
              <w:rPr>
                <w:sz w:val="20"/>
                <w:szCs w:val="20"/>
                <w:lang w:val="en-GB"/>
              </w:rPr>
              <w:t>x</w:t>
            </w:r>
          </w:p>
          <w:p w14:paraId="3196E206" w14:textId="77777777" w:rsidR="005E0E7F" w:rsidRPr="00A04DD6" w:rsidRDefault="005E0E7F" w:rsidP="00D62E44">
            <w:pPr>
              <w:jc w:val="center"/>
              <w:rPr>
                <w:sz w:val="20"/>
                <w:szCs w:val="20"/>
                <w:lang w:val="en-GB"/>
              </w:rPr>
            </w:pPr>
          </w:p>
          <w:p w14:paraId="0469BDA0" w14:textId="77777777" w:rsidR="005E0E7F" w:rsidRPr="00A04DD6" w:rsidRDefault="005E0E7F" w:rsidP="00D62E44">
            <w:pPr>
              <w:jc w:val="center"/>
              <w:rPr>
                <w:sz w:val="20"/>
                <w:szCs w:val="20"/>
                <w:lang w:val="en-GB"/>
              </w:rPr>
            </w:pPr>
          </w:p>
          <w:p w14:paraId="679C5480" w14:textId="77777777" w:rsidR="005E0E7F" w:rsidRPr="00A04DD6" w:rsidRDefault="005E0E7F" w:rsidP="00D62E44">
            <w:pPr>
              <w:jc w:val="center"/>
              <w:rPr>
                <w:sz w:val="20"/>
                <w:szCs w:val="20"/>
                <w:lang w:val="en-GB"/>
              </w:rPr>
            </w:pPr>
          </w:p>
          <w:p w14:paraId="7362A73C" w14:textId="77777777" w:rsidR="005E0E7F" w:rsidRPr="00A04DD6" w:rsidRDefault="005E0E7F" w:rsidP="00D62E44">
            <w:pPr>
              <w:jc w:val="center"/>
              <w:rPr>
                <w:sz w:val="20"/>
                <w:szCs w:val="20"/>
                <w:lang w:val="en-GB"/>
              </w:rPr>
            </w:pPr>
          </w:p>
          <w:p w14:paraId="2AB6A8DA" w14:textId="55CFF1D5" w:rsidR="005E0E7F" w:rsidRPr="00A04DD6" w:rsidRDefault="00377A50" w:rsidP="00D62E44">
            <w:pPr>
              <w:jc w:val="center"/>
              <w:rPr>
                <w:sz w:val="20"/>
                <w:szCs w:val="20"/>
                <w:lang w:val="en-GB"/>
              </w:rPr>
            </w:pPr>
            <w:r w:rsidRPr="00A04DD6">
              <w:rPr>
                <w:sz w:val="20"/>
                <w:szCs w:val="20"/>
                <w:lang w:val="en-GB"/>
              </w:rPr>
              <w:t>x</w:t>
            </w:r>
          </w:p>
          <w:p w14:paraId="3C787702" w14:textId="77777777" w:rsidR="005E0E7F" w:rsidRPr="00A04DD6" w:rsidRDefault="005E0E7F" w:rsidP="00D62E44">
            <w:pPr>
              <w:jc w:val="center"/>
              <w:rPr>
                <w:sz w:val="20"/>
                <w:szCs w:val="20"/>
                <w:lang w:val="en-GB"/>
              </w:rPr>
            </w:pPr>
          </w:p>
          <w:p w14:paraId="747A49F6" w14:textId="545D794A" w:rsidR="005E0E7F" w:rsidRPr="00A04DD6" w:rsidRDefault="00377A50" w:rsidP="00D62E44">
            <w:pPr>
              <w:jc w:val="center"/>
              <w:rPr>
                <w:sz w:val="20"/>
                <w:szCs w:val="20"/>
                <w:lang w:val="en-GB"/>
              </w:rPr>
            </w:pPr>
            <w:r w:rsidRPr="00A04DD6">
              <w:rPr>
                <w:sz w:val="20"/>
                <w:szCs w:val="20"/>
                <w:lang w:val="en-GB"/>
              </w:rPr>
              <w:t>x</w:t>
            </w:r>
          </w:p>
          <w:p w14:paraId="12745217" w14:textId="0983E13E" w:rsidR="005E0E7F" w:rsidRPr="00A04DD6" w:rsidRDefault="00377A50" w:rsidP="00D62E44">
            <w:pPr>
              <w:jc w:val="center"/>
              <w:rPr>
                <w:sz w:val="20"/>
                <w:szCs w:val="20"/>
                <w:lang w:val="en-GB"/>
              </w:rPr>
            </w:pPr>
            <w:r w:rsidRPr="00A04DD6">
              <w:rPr>
                <w:sz w:val="20"/>
                <w:szCs w:val="20"/>
                <w:lang w:val="en-GB"/>
              </w:rPr>
              <w:t>x</w:t>
            </w:r>
          </w:p>
          <w:p w14:paraId="137DE93E" w14:textId="77777777" w:rsidR="005E0E7F" w:rsidRPr="00A04DD6" w:rsidRDefault="005E0E7F" w:rsidP="00D62E44">
            <w:pPr>
              <w:jc w:val="center"/>
              <w:rPr>
                <w:sz w:val="20"/>
                <w:szCs w:val="20"/>
                <w:lang w:val="en-GB"/>
              </w:rPr>
            </w:pPr>
          </w:p>
          <w:p w14:paraId="60699B6E" w14:textId="6997C9FB" w:rsidR="005E0E7F" w:rsidRPr="00A04DD6" w:rsidRDefault="00377A50" w:rsidP="00D62E44">
            <w:pPr>
              <w:jc w:val="center"/>
              <w:rPr>
                <w:sz w:val="20"/>
                <w:szCs w:val="20"/>
                <w:lang w:val="en-GB"/>
              </w:rPr>
            </w:pPr>
            <w:r w:rsidRPr="00A04DD6">
              <w:rPr>
                <w:sz w:val="20"/>
                <w:szCs w:val="20"/>
                <w:lang w:val="en-GB"/>
              </w:rPr>
              <w:t>x</w:t>
            </w:r>
          </w:p>
          <w:p w14:paraId="4E7CB5BC" w14:textId="6CC65400" w:rsidR="005E0E7F" w:rsidRPr="00A04DD6" w:rsidRDefault="00377A50" w:rsidP="00D62E44">
            <w:pPr>
              <w:jc w:val="center"/>
              <w:rPr>
                <w:sz w:val="20"/>
                <w:szCs w:val="20"/>
                <w:lang w:val="en-GB"/>
              </w:rPr>
            </w:pPr>
            <w:r w:rsidRPr="00A04DD6">
              <w:rPr>
                <w:sz w:val="20"/>
                <w:szCs w:val="20"/>
                <w:lang w:val="en-GB"/>
              </w:rPr>
              <w:t>x</w:t>
            </w:r>
          </w:p>
          <w:p w14:paraId="2154C0EB" w14:textId="77777777" w:rsidR="005E0E7F" w:rsidRPr="00A04DD6" w:rsidRDefault="005E0E7F" w:rsidP="00D62E44">
            <w:pPr>
              <w:jc w:val="center"/>
              <w:rPr>
                <w:sz w:val="20"/>
                <w:szCs w:val="20"/>
                <w:lang w:val="en-GB"/>
              </w:rPr>
            </w:pPr>
          </w:p>
          <w:p w14:paraId="4B79C61F" w14:textId="582E42D1" w:rsidR="005E0E7F" w:rsidRPr="00A04DD6" w:rsidRDefault="00377A50" w:rsidP="00D62E44">
            <w:pPr>
              <w:jc w:val="center"/>
              <w:rPr>
                <w:sz w:val="20"/>
                <w:szCs w:val="20"/>
                <w:lang w:val="en-GB"/>
              </w:rPr>
            </w:pPr>
            <w:r w:rsidRPr="00A04DD6">
              <w:rPr>
                <w:sz w:val="20"/>
                <w:szCs w:val="20"/>
                <w:lang w:val="en-GB"/>
              </w:rPr>
              <w:t>x</w:t>
            </w:r>
          </w:p>
          <w:p w14:paraId="19B2696F" w14:textId="28C64BD6" w:rsidR="005E0E7F" w:rsidRPr="00A04DD6" w:rsidRDefault="00377A50" w:rsidP="00D62E44">
            <w:pPr>
              <w:jc w:val="center"/>
              <w:rPr>
                <w:sz w:val="20"/>
                <w:szCs w:val="20"/>
                <w:lang w:val="en-GB"/>
              </w:rPr>
            </w:pPr>
            <w:r w:rsidRPr="00A04DD6">
              <w:rPr>
                <w:sz w:val="20"/>
                <w:szCs w:val="20"/>
                <w:lang w:val="en-GB"/>
              </w:rPr>
              <w:t>x</w:t>
            </w:r>
            <w:r w:rsidRPr="00A04DD6">
              <w:rPr>
                <w:sz w:val="20"/>
                <w:szCs w:val="20"/>
                <w:lang w:val="en-GB"/>
              </w:rPr>
              <w:br/>
              <w:t>x</w:t>
            </w:r>
          </w:p>
          <w:p w14:paraId="6C837674" w14:textId="7F250FD1" w:rsidR="005E0E7F" w:rsidRPr="00A04DD6" w:rsidRDefault="00377A50" w:rsidP="00D62E44">
            <w:pPr>
              <w:jc w:val="center"/>
              <w:rPr>
                <w:sz w:val="20"/>
                <w:szCs w:val="20"/>
                <w:lang w:val="en-GB"/>
              </w:rPr>
            </w:pPr>
            <w:r w:rsidRPr="00A04DD6">
              <w:rPr>
                <w:sz w:val="20"/>
                <w:szCs w:val="20"/>
                <w:lang w:val="en-GB"/>
              </w:rPr>
              <w:t>x</w:t>
            </w:r>
          </w:p>
          <w:p w14:paraId="0A6423A6" w14:textId="77777777" w:rsidR="005E0E7F" w:rsidRPr="00A04DD6" w:rsidRDefault="005E0E7F" w:rsidP="00D62E44">
            <w:pPr>
              <w:jc w:val="center"/>
              <w:rPr>
                <w:sz w:val="20"/>
                <w:szCs w:val="20"/>
                <w:lang w:val="en-GB"/>
              </w:rPr>
            </w:pPr>
          </w:p>
          <w:p w14:paraId="3EB8532C" w14:textId="77777777" w:rsidR="005E0E7F" w:rsidRPr="00A04DD6" w:rsidRDefault="005E0E7F" w:rsidP="00D62E44">
            <w:pPr>
              <w:jc w:val="center"/>
              <w:rPr>
                <w:sz w:val="20"/>
                <w:szCs w:val="20"/>
                <w:lang w:val="en-GB"/>
              </w:rPr>
            </w:pPr>
          </w:p>
          <w:p w14:paraId="405B9DD8" w14:textId="77777777" w:rsidR="005E0E7F" w:rsidRPr="00A04DD6" w:rsidRDefault="005E0E7F" w:rsidP="00D62E44">
            <w:pPr>
              <w:jc w:val="center"/>
              <w:rPr>
                <w:sz w:val="20"/>
                <w:szCs w:val="20"/>
                <w:lang w:val="en-GB"/>
              </w:rPr>
            </w:pPr>
          </w:p>
          <w:p w14:paraId="15C33FAA" w14:textId="6C6FB82B" w:rsidR="005E0E7F" w:rsidRPr="00A04DD6" w:rsidRDefault="00377A50" w:rsidP="00D62E44">
            <w:pPr>
              <w:jc w:val="center"/>
              <w:rPr>
                <w:sz w:val="20"/>
                <w:szCs w:val="20"/>
                <w:lang w:val="en-GB"/>
              </w:rPr>
            </w:pPr>
            <w:r w:rsidRPr="00A04DD6">
              <w:rPr>
                <w:sz w:val="20"/>
                <w:szCs w:val="20"/>
                <w:lang w:val="en-GB"/>
              </w:rPr>
              <w:t>x</w:t>
            </w:r>
          </w:p>
          <w:p w14:paraId="7E6E0836" w14:textId="384A6F94" w:rsidR="005E0E7F" w:rsidRPr="00A04DD6" w:rsidRDefault="00377A50" w:rsidP="00D62E44">
            <w:pPr>
              <w:jc w:val="center"/>
              <w:rPr>
                <w:sz w:val="20"/>
                <w:szCs w:val="20"/>
                <w:lang w:val="en-GB"/>
              </w:rPr>
            </w:pPr>
            <w:r w:rsidRPr="00A04DD6">
              <w:rPr>
                <w:sz w:val="20"/>
                <w:szCs w:val="20"/>
                <w:lang w:val="en-GB"/>
              </w:rPr>
              <w:t>x</w:t>
            </w:r>
          </w:p>
          <w:p w14:paraId="5E3E0D4E" w14:textId="201DEB90" w:rsidR="005E0E7F" w:rsidRPr="00A04DD6" w:rsidRDefault="00377A50" w:rsidP="00D62E44">
            <w:pPr>
              <w:jc w:val="center"/>
              <w:rPr>
                <w:sz w:val="20"/>
                <w:szCs w:val="20"/>
                <w:lang w:val="en-GB"/>
              </w:rPr>
            </w:pPr>
            <w:r w:rsidRPr="00A04DD6">
              <w:rPr>
                <w:sz w:val="20"/>
                <w:szCs w:val="20"/>
                <w:lang w:val="en-GB"/>
              </w:rPr>
              <w:t>x</w:t>
            </w:r>
          </w:p>
          <w:p w14:paraId="0D9155C3" w14:textId="31AF3357" w:rsidR="005E0E7F" w:rsidRPr="00A04DD6" w:rsidRDefault="00377A50" w:rsidP="00D62E44">
            <w:pPr>
              <w:jc w:val="center"/>
              <w:rPr>
                <w:sz w:val="20"/>
                <w:szCs w:val="20"/>
                <w:lang w:val="en-GB"/>
              </w:rPr>
            </w:pPr>
            <w:r w:rsidRPr="00A04DD6">
              <w:rPr>
                <w:sz w:val="20"/>
                <w:szCs w:val="20"/>
                <w:lang w:val="en-GB"/>
              </w:rPr>
              <w:t>x</w:t>
            </w:r>
          </w:p>
          <w:p w14:paraId="1B93C6F3" w14:textId="2F3D3953" w:rsidR="005E0E7F" w:rsidRPr="00A04DD6" w:rsidRDefault="00377A50" w:rsidP="00D62E44">
            <w:pPr>
              <w:jc w:val="center"/>
              <w:rPr>
                <w:sz w:val="20"/>
                <w:szCs w:val="20"/>
                <w:lang w:val="en-GB"/>
              </w:rPr>
            </w:pPr>
            <w:r w:rsidRPr="00A04DD6">
              <w:rPr>
                <w:sz w:val="20"/>
                <w:szCs w:val="20"/>
                <w:lang w:val="en-GB"/>
              </w:rPr>
              <w:t>x</w:t>
            </w:r>
          </w:p>
          <w:p w14:paraId="0F441918" w14:textId="05B28433" w:rsidR="005E0E7F" w:rsidRPr="00A04DD6" w:rsidRDefault="00377A50" w:rsidP="00D62E44">
            <w:pPr>
              <w:jc w:val="center"/>
              <w:rPr>
                <w:sz w:val="20"/>
                <w:szCs w:val="20"/>
                <w:lang w:val="en-GB"/>
              </w:rPr>
            </w:pPr>
            <w:r w:rsidRPr="00A04DD6">
              <w:rPr>
                <w:sz w:val="20"/>
                <w:szCs w:val="20"/>
                <w:lang w:val="en-GB"/>
              </w:rPr>
              <w:t>x</w:t>
            </w:r>
          </w:p>
          <w:p w14:paraId="428365C4" w14:textId="77777777" w:rsidR="005E0E7F" w:rsidRPr="00A04DD6" w:rsidRDefault="005E0E7F" w:rsidP="00D62E44">
            <w:pPr>
              <w:jc w:val="center"/>
              <w:rPr>
                <w:sz w:val="20"/>
                <w:szCs w:val="20"/>
                <w:lang w:val="en-GB"/>
              </w:rPr>
            </w:pPr>
          </w:p>
          <w:p w14:paraId="45E3E4F2" w14:textId="3663BC71" w:rsidR="005E0E7F" w:rsidRPr="00A04DD6" w:rsidRDefault="00377A50" w:rsidP="00D62E44">
            <w:pPr>
              <w:jc w:val="center"/>
              <w:rPr>
                <w:sz w:val="20"/>
                <w:szCs w:val="20"/>
                <w:lang w:val="en-GB"/>
              </w:rPr>
            </w:pPr>
            <w:r w:rsidRPr="00A04DD6">
              <w:rPr>
                <w:sz w:val="20"/>
                <w:szCs w:val="20"/>
                <w:lang w:val="en-GB"/>
              </w:rPr>
              <w:t>x</w:t>
            </w:r>
          </w:p>
          <w:p w14:paraId="52D30276" w14:textId="77777777" w:rsidR="005E0E7F" w:rsidRPr="00A04DD6" w:rsidRDefault="005E0E7F" w:rsidP="00D62E44">
            <w:pPr>
              <w:jc w:val="center"/>
              <w:rPr>
                <w:sz w:val="20"/>
                <w:szCs w:val="20"/>
                <w:lang w:val="en-GB"/>
              </w:rPr>
            </w:pPr>
          </w:p>
          <w:p w14:paraId="04124DF3" w14:textId="7AA02270" w:rsidR="005E0E7F" w:rsidRPr="00A04DD6" w:rsidRDefault="00377A50" w:rsidP="00D62E44">
            <w:pPr>
              <w:jc w:val="center"/>
              <w:rPr>
                <w:sz w:val="20"/>
                <w:szCs w:val="20"/>
                <w:lang w:val="en-GB"/>
              </w:rPr>
            </w:pPr>
            <w:r w:rsidRPr="00A04DD6">
              <w:rPr>
                <w:sz w:val="20"/>
                <w:szCs w:val="20"/>
                <w:lang w:val="en-GB"/>
              </w:rPr>
              <w:t>x</w:t>
            </w:r>
          </w:p>
          <w:p w14:paraId="4D451807" w14:textId="77777777" w:rsidR="005E0E7F" w:rsidRPr="00A04DD6" w:rsidRDefault="005E0E7F" w:rsidP="00D62E44">
            <w:pPr>
              <w:jc w:val="center"/>
              <w:rPr>
                <w:sz w:val="20"/>
                <w:szCs w:val="20"/>
                <w:lang w:val="en-GB"/>
              </w:rPr>
            </w:pPr>
          </w:p>
          <w:p w14:paraId="6EB79996" w14:textId="3D38112A" w:rsidR="005E0E7F" w:rsidRPr="00A04DD6" w:rsidRDefault="00377A50" w:rsidP="00D62E44">
            <w:pPr>
              <w:jc w:val="center"/>
              <w:rPr>
                <w:sz w:val="20"/>
                <w:szCs w:val="20"/>
                <w:lang w:val="en-GB"/>
              </w:rPr>
            </w:pPr>
            <w:r w:rsidRPr="00A04DD6">
              <w:rPr>
                <w:sz w:val="20"/>
                <w:szCs w:val="20"/>
                <w:lang w:val="en-GB"/>
              </w:rPr>
              <w:t>x</w:t>
            </w:r>
          </w:p>
          <w:p w14:paraId="148BEF8E" w14:textId="77777777" w:rsidR="005E0E7F" w:rsidRPr="00A04DD6" w:rsidRDefault="005E0E7F" w:rsidP="00D62E44">
            <w:pPr>
              <w:jc w:val="center"/>
              <w:rPr>
                <w:sz w:val="20"/>
                <w:szCs w:val="20"/>
                <w:lang w:val="en-GB"/>
              </w:rPr>
            </w:pPr>
          </w:p>
          <w:p w14:paraId="5771C8F7" w14:textId="77777777" w:rsidR="005E0E7F" w:rsidRPr="00A04DD6" w:rsidRDefault="005E0E7F" w:rsidP="00D62E44">
            <w:pPr>
              <w:jc w:val="center"/>
              <w:rPr>
                <w:sz w:val="20"/>
                <w:szCs w:val="20"/>
                <w:lang w:val="en-GB"/>
              </w:rPr>
            </w:pPr>
          </w:p>
        </w:tc>
        <w:tc>
          <w:tcPr>
            <w:tcW w:w="677" w:type="pct"/>
          </w:tcPr>
          <w:p w14:paraId="43379647" w14:textId="697D8423" w:rsidR="005E0E7F" w:rsidRPr="00A04DD6" w:rsidRDefault="00377A50" w:rsidP="00D62E44">
            <w:pPr>
              <w:jc w:val="center"/>
              <w:rPr>
                <w:sz w:val="20"/>
                <w:szCs w:val="20"/>
                <w:lang w:val="en-GB"/>
              </w:rPr>
            </w:pPr>
            <w:r w:rsidRPr="00A04DD6">
              <w:rPr>
                <w:sz w:val="20"/>
                <w:szCs w:val="20"/>
                <w:lang w:val="en-GB"/>
              </w:rPr>
              <w:lastRenderedPageBreak/>
              <w:t>x</w:t>
            </w:r>
          </w:p>
          <w:p w14:paraId="468D06DF" w14:textId="77777777" w:rsidR="005E0E7F" w:rsidRPr="00A04DD6" w:rsidRDefault="005E0E7F" w:rsidP="00D62E44">
            <w:pPr>
              <w:jc w:val="center"/>
              <w:rPr>
                <w:sz w:val="20"/>
                <w:szCs w:val="20"/>
                <w:lang w:val="en-GB"/>
              </w:rPr>
            </w:pPr>
          </w:p>
          <w:p w14:paraId="2B4D7420" w14:textId="77777777" w:rsidR="005E0E7F" w:rsidRPr="00A04DD6" w:rsidRDefault="005E0E7F" w:rsidP="00D62E44">
            <w:pPr>
              <w:jc w:val="center"/>
              <w:rPr>
                <w:sz w:val="20"/>
                <w:szCs w:val="20"/>
                <w:lang w:val="en-GB"/>
              </w:rPr>
            </w:pPr>
          </w:p>
          <w:p w14:paraId="556CC4AB" w14:textId="1C5C1D35" w:rsidR="005E0E7F" w:rsidRPr="00A04DD6" w:rsidRDefault="00377A50" w:rsidP="00D62E44">
            <w:pPr>
              <w:jc w:val="center"/>
              <w:rPr>
                <w:sz w:val="20"/>
                <w:szCs w:val="20"/>
                <w:lang w:val="en-GB"/>
              </w:rPr>
            </w:pPr>
            <w:r w:rsidRPr="00A04DD6">
              <w:rPr>
                <w:sz w:val="20"/>
                <w:szCs w:val="20"/>
                <w:lang w:val="en-GB"/>
              </w:rPr>
              <w:t>x</w:t>
            </w:r>
          </w:p>
          <w:p w14:paraId="48C1B42E" w14:textId="77777777" w:rsidR="005E0E7F" w:rsidRPr="00A04DD6" w:rsidRDefault="005E0E7F" w:rsidP="00D62E44">
            <w:pPr>
              <w:jc w:val="center"/>
              <w:rPr>
                <w:sz w:val="20"/>
                <w:szCs w:val="20"/>
                <w:lang w:val="en-GB"/>
              </w:rPr>
            </w:pPr>
          </w:p>
          <w:p w14:paraId="4A2A1D4E" w14:textId="77777777" w:rsidR="005E0E7F" w:rsidRPr="00A04DD6" w:rsidRDefault="005E0E7F" w:rsidP="00D62E44">
            <w:pPr>
              <w:jc w:val="center"/>
              <w:rPr>
                <w:sz w:val="20"/>
                <w:szCs w:val="20"/>
                <w:lang w:val="en-GB"/>
              </w:rPr>
            </w:pPr>
          </w:p>
          <w:p w14:paraId="4CB315F2" w14:textId="6AC7B016" w:rsidR="005E0E7F" w:rsidRPr="00A04DD6" w:rsidRDefault="00377A50" w:rsidP="00D62E44">
            <w:pPr>
              <w:jc w:val="center"/>
              <w:rPr>
                <w:sz w:val="20"/>
                <w:szCs w:val="20"/>
                <w:lang w:val="en-GB"/>
              </w:rPr>
            </w:pPr>
            <w:r w:rsidRPr="00A04DD6">
              <w:rPr>
                <w:sz w:val="20"/>
                <w:szCs w:val="20"/>
                <w:lang w:val="en-GB"/>
              </w:rPr>
              <w:t>x</w:t>
            </w:r>
          </w:p>
          <w:p w14:paraId="0D5DD23D" w14:textId="77777777" w:rsidR="005E0E7F" w:rsidRPr="00A04DD6" w:rsidRDefault="005E0E7F" w:rsidP="00D62E44">
            <w:pPr>
              <w:jc w:val="center"/>
              <w:rPr>
                <w:sz w:val="20"/>
                <w:szCs w:val="20"/>
                <w:lang w:val="en-GB"/>
              </w:rPr>
            </w:pPr>
          </w:p>
          <w:p w14:paraId="63572229" w14:textId="6C777923" w:rsidR="005E0E7F" w:rsidRPr="00A04DD6" w:rsidRDefault="00377A50" w:rsidP="00D62E44">
            <w:pPr>
              <w:jc w:val="center"/>
              <w:rPr>
                <w:sz w:val="20"/>
                <w:szCs w:val="20"/>
                <w:lang w:val="en-GB"/>
              </w:rPr>
            </w:pPr>
            <w:r w:rsidRPr="00A04DD6">
              <w:rPr>
                <w:sz w:val="20"/>
                <w:szCs w:val="20"/>
                <w:lang w:val="en-GB"/>
              </w:rPr>
              <w:t>x</w:t>
            </w:r>
          </w:p>
          <w:p w14:paraId="20C65AFC" w14:textId="47FA14A4" w:rsidR="005E0E7F" w:rsidRPr="00A04DD6" w:rsidRDefault="00377A50" w:rsidP="00D62E44">
            <w:pPr>
              <w:jc w:val="center"/>
              <w:rPr>
                <w:sz w:val="20"/>
                <w:szCs w:val="20"/>
                <w:lang w:val="en-GB"/>
              </w:rPr>
            </w:pPr>
            <w:r w:rsidRPr="00A04DD6">
              <w:rPr>
                <w:sz w:val="20"/>
                <w:szCs w:val="20"/>
                <w:lang w:val="en-GB"/>
              </w:rPr>
              <w:t>x</w:t>
            </w:r>
          </w:p>
          <w:p w14:paraId="749D3216" w14:textId="77777777" w:rsidR="005E0E7F" w:rsidRPr="00A04DD6" w:rsidRDefault="005E0E7F" w:rsidP="00D62E44">
            <w:pPr>
              <w:jc w:val="center"/>
              <w:rPr>
                <w:sz w:val="20"/>
                <w:szCs w:val="20"/>
                <w:lang w:val="en-GB"/>
              </w:rPr>
            </w:pPr>
          </w:p>
          <w:p w14:paraId="4D976D34" w14:textId="183D2DCF" w:rsidR="005E0E7F" w:rsidRPr="00A04DD6" w:rsidRDefault="00377A50" w:rsidP="00D62E44">
            <w:pPr>
              <w:jc w:val="center"/>
              <w:rPr>
                <w:sz w:val="20"/>
                <w:szCs w:val="20"/>
                <w:lang w:val="en-GB"/>
              </w:rPr>
            </w:pPr>
            <w:r w:rsidRPr="00A04DD6">
              <w:rPr>
                <w:sz w:val="20"/>
                <w:szCs w:val="20"/>
                <w:lang w:val="en-GB"/>
              </w:rPr>
              <w:t>x</w:t>
            </w:r>
          </w:p>
          <w:p w14:paraId="45453D6E" w14:textId="401DA30A" w:rsidR="005E0E7F" w:rsidRPr="00A04DD6" w:rsidRDefault="00377A50" w:rsidP="00D62E44">
            <w:pPr>
              <w:jc w:val="center"/>
              <w:rPr>
                <w:sz w:val="20"/>
                <w:szCs w:val="20"/>
                <w:lang w:val="en-GB"/>
              </w:rPr>
            </w:pPr>
            <w:r w:rsidRPr="00A04DD6">
              <w:rPr>
                <w:sz w:val="20"/>
                <w:szCs w:val="20"/>
                <w:lang w:val="en-GB"/>
              </w:rPr>
              <w:t>x</w:t>
            </w:r>
          </w:p>
          <w:p w14:paraId="0C528120" w14:textId="6843AB50" w:rsidR="005E0E7F" w:rsidRPr="00A04DD6" w:rsidRDefault="00377A50" w:rsidP="00D62E44">
            <w:pPr>
              <w:jc w:val="center"/>
              <w:rPr>
                <w:sz w:val="20"/>
                <w:szCs w:val="20"/>
                <w:lang w:val="en-GB"/>
              </w:rPr>
            </w:pPr>
            <w:r w:rsidRPr="00A04DD6">
              <w:rPr>
                <w:sz w:val="20"/>
                <w:szCs w:val="20"/>
                <w:lang w:val="en-GB"/>
              </w:rPr>
              <w:t>x</w:t>
            </w:r>
          </w:p>
          <w:p w14:paraId="54306C22" w14:textId="0EE87C16" w:rsidR="005E0E7F" w:rsidRPr="00A04DD6" w:rsidRDefault="00377A50" w:rsidP="00D62E44">
            <w:pPr>
              <w:jc w:val="center"/>
              <w:rPr>
                <w:sz w:val="20"/>
                <w:szCs w:val="20"/>
                <w:lang w:val="en-GB"/>
              </w:rPr>
            </w:pPr>
            <w:r w:rsidRPr="00A04DD6">
              <w:rPr>
                <w:sz w:val="20"/>
                <w:szCs w:val="20"/>
                <w:lang w:val="en-GB"/>
              </w:rPr>
              <w:lastRenderedPageBreak/>
              <w:t>x</w:t>
            </w:r>
          </w:p>
          <w:p w14:paraId="60B14771" w14:textId="2E05B370" w:rsidR="005E0E7F" w:rsidRPr="00A04DD6" w:rsidRDefault="00377A50" w:rsidP="00D62E44">
            <w:pPr>
              <w:jc w:val="center"/>
              <w:rPr>
                <w:sz w:val="20"/>
                <w:szCs w:val="20"/>
                <w:lang w:val="en-GB"/>
              </w:rPr>
            </w:pPr>
            <w:r w:rsidRPr="00A04DD6">
              <w:rPr>
                <w:sz w:val="20"/>
                <w:szCs w:val="20"/>
                <w:lang w:val="en-GB"/>
              </w:rPr>
              <w:t>x</w:t>
            </w:r>
          </w:p>
          <w:p w14:paraId="0C0E93E5" w14:textId="3BE85BE0" w:rsidR="005E0E7F" w:rsidRPr="00A04DD6" w:rsidRDefault="00377A50" w:rsidP="00D62E44">
            <w:pPr>
              <w:jc w:val="center"/>
              <w:rPr>
                <w:sz w:val="20"/>
                <w:szCs w:val="20"/>
                <w:lang w:val="en-GB"/>
              </w:rPr>
            </w:pPr>
            <w:r w:rsidRPr="00A04DD6">
              <w:rPr>
                <w:sz w:val="20"/>
                <w:szCs w:val="20"/>
                <w:lang w:val="en-GB"/>
              </w:rPr>
              <w:t>x</w:t>
            </w:r>
          </w:p>
          <w:p w14:paraId="264C6380" w14:textId="77777777" w:rsidR="005E0E7F" w:rsidRPr="00A04DD6" w:rsidRDefault="005E0E7F" w:rsidP="00D62E44">
            <w:pPr>
              <w:jc w:val="center"/>
              <w:rPr>
                <w:sz w:val="20"/>
                <w:szCs w:val="20"/>
                <w:lang w:val="en-GB"/>
              </w:rPr>
            </w:pPr>
          </w:p>
          <w:p w14:paraId="5B91FEE3" w14:textId="77777777" w:rsidR="005E0E7F" w:rsidRPr="00A04DD6" w:rsidRDefault="005E0E7F" w:rsidP="00D62E44">
            <w:pPr>
              <w:jc w:val="center"/>
              <w:rPr>
                <w:sz w:val="20"/>
                <w:szCs w:val="20"/>
                <w:lang w:val="en-GB"/>
              </w:rPr>
            </w:pPr>
          </w:p>
          <w:p w14:paraId="0AEC3F0F" w14:textId="587DE122" w:rsidR="005E0E7F" w:rsidRPr="00A04DD6" w:rsidRDefault="00377A50" w:rsidP="00D62E44">
            <w:pPr>
              <w:jc w:val="center"/>
              <w:rPr>
                <w:sz w:val="20"/>
                <w:szCs w:val="20"/>
                <w:lang w:val="en-GB"/>
              </w:rPr>
            </w:pPr>
            <w:r w:rsidRPr="00A04DD6">
              <w:rPr>
                <w:sz w:val="20"/>
                <w:szCs w:val="20"/>
                <w:lang w:val="en-GB"/>
              </w:rPr>
              <w:t>x</w:t>
            </w:r>
          </w:p>
          <w:p w14:paraId="243BC7D7" w14:textId="77777777" w:rsidR="005E0E7F" w:rsidRPr="00A04DD6" w:rsidRDefault="005E0E7F" w:rsidP="00D62E44">
            <w:pPr>
              <w:jc w:val="center"/>
              <w:rPr>
                <w:sz w:val="20"/>
                <w:szCs w:val="20"/>
                <w:lang w:val="en-GB"/>
              </w:rPr>
            </w:pPr>
          </w:p>
          <w:p w14:paraId="246E4F16" w14:textId="77777777" w:rsidR="005E0E7F" w:rsidRPr="00A04DD6" w:rsidRDefault="005E0E7F" w:rsidP="00D62E44">
            <w:pPr>
              <w:jc w:val="center"/>
              <w:rPr>
                <w:sz w:val="20"/>
                <w:szCs w:val="20"/>
                <w:lang w:val="en-GB"/>
              </w:rPr>
            </w:pPr>
          </w:p>
          <w:p w14:paraId="36DCB983" w14:textId="66ADD77C" w:rsidR="005E0E7F" w:rsidRPr="00A04DD6" w:rsidRDefault="00377A50" w:rsidP="00D62E44">
            <w:pPr>
              <w:jc w:val="center"/>
              <w:rPr>
                <w:sz w:val="20"/>
                <w:szCs w:val="20"/>
                <w:lang w:val="en-GB"/>
              </w:rPr>
            </w:pPr>
            <w:r w:rsidRPr="00A04DD6">
              <w:rPr>
                <w:sz w:val="20"/>
                <w:szCs w:val="20"/>
                <w:lang w:val="en-GB"/>
              </w:rPr>
              <w:t>x</w:t>
            </w:r>
          </w:p>
          <w:p w14:paraId="4CC5AB1C" w14:textId="77777777" w:rsidR="005E0E7F" w:rsidRPr="00A04DD6" w:rsidRDefault="005E0E7F" w:rsidP="00D62E44">
            <w:pPr>
              <w:jc w:val="center"/>
              <w:rPr>
                <w:sz w:val="20"/>
                <w:szCs w:val="20"/>
                <w:lang w:val="en-GB"/>
              </w:rPr>
            </w:pPr>
          </w:p>
          <w:p w14:paraId="564226D0" w14:textId="77777777" w:rsidR="005E0E7F" w:rsidRPr="00A04DD6" w:rsidRDefault="005E0E7F" w:rsidP="00D62E44">
            <w:pPr>
              <w:jc w:val="center"/>
              <w:rPr>
                <w:sz w:val="20"/>
                <w:szCs w:val="20"/>
                <w:lang w:val="en-GB"/>
              </w:rPr>
            </w:pPr>
          </w:p>
          <w:p w14:paraId="42D7EB01" w14:textId="77777777" w:rsidR="005E0E7F" w:rsidRPr="00A04DD6" w:rsidRDefault="005E0E7F" w:rsidP="00D62E44">
            <w:pPr>
              <w:jc w:val="center"/>
              <w:rPr>
                <w:sz w:val="20"/>
                <w:szCs w:val="20"/>
                <w:lang w:val="en-GB"/>
              </w:rPr>
            </w:pPr>
          </w:p>
          <w:p w14:paraId="705F5F59" w14:textId="77777777" w:rsidR="005E0E7F" w:rsidRPr="00A04DD6" w:rsidRDefault="005E0E7F" w:rsidP="00D62E44">
            <w:pPr>
              <w:jc w:val="center"/>
              <w:rPr>
                <w:sz w:val="20"/>
                <w:szCs w:val="20"/>
                <w:lang w:val="en-GB"/>
              </w:rPr>
            </w:pPr>
          </w:p>
          <w:p w14:paraId="15D9DF4F" w14:textId="77777777" w:rsidR="005E0E7F" w:rsidRPr="00A04DD6" w:rsidRDefault="005E0E7F" w:rsidP="00D62E44">
            <w:pPr>
              <w:jc w:val="center"/>
              <w:rPr>
                <w:sz w:val="20"/>
                <w:szCs w:val="20"/>
                <w:lang w:val="en-GB"/>
              </w:rPr>
            </w:pPr>
          </w:p>
          <w:p w14:paraId="6258847B" w14:textId="77777777" w:rsidR="005E0E7F" w:rsidRPr="00A04DD6" w:rsidRDefault="005E0E7F" w:rsidP="00D62E44">
            <w:pPr>
              <w:jc w:val="center"/>
              <w:rPr>
                <w:sz w:val="20"/>
                <w:szCs w:val="20"/>
                <w:lang w:val="en-GB"/>
              </w:rPr>
            </w:pPr>
          </w:p>
          <w:p w14:paraId="78DF5805" w14:textId="77777777" w:rsidR="005E0E7F" w:rsidRPr="00A04DD6" w:rsidRDefault="005E0E7F" w:rsidP="00D62E44">
            <w:pPr>
              <w:jc w:val="center"/>
              <w:rPr>
                <w:sz w:val="20"/>
                <w:szCs w:val="20"/>
                <w:lang w:val="en-GB"/>
              </w:rPr>
            </w:pPr>
          </w:p>
          <w:p w14:paraId="2B40A2E4" w14:textId="77777777" w:rsidR="005E0E7F" w:rsidRPr="00A04DD6" w:rsidRDefault="005E0E7F" w:rsidP="00D62E44">
            <w:pPr>
              <w:jc w:val="center"/>
              <w:rPr>
                <w:sz w:val="20"/>
                <w:szCs w:val="20"/>
                <w:lang w:val="en-GB"/>
              </w:rPr>
            </w:pPr>
          </w:p>
          <w:p w14:paraId="69B5CE08" w14:textId="77777777" w:rsidR="005E0E7F" w:rsidRPr="00A04DD6" w:rsidRDefault="005E0E7F" w:rsidP="00D62E44">
            <w:pPr>
              <w:jc w:val="center"/>
              <w:rPr>
                <w:sz w:val="20"/>
                <w:szCs w:val="20"/>
                <w:lang w:val="en-GB"/>
              </w:rPr>
            </w:pPr>
          </w:p>
          <w:p w14:paraId="7EADF480" w14:textId="77777777" w:rsidR="005E0E7F" w:rsidRPr="00A04DD6" w:rsidRDefault="005E0E7F" w:rsidP="00D62E44">
            <w:pPr>
              <w:jc w:val="center"/>
              <w:rPr>
                <w:sz w:val="20"/>
                <w:szCs w:val="20"/>
                <w:lang w:val="en-GB"/>
              </w:rPr>
            </w:pPr>
          </w:p>
          <w:p w14:paraId="7289CC68" w14:textId="77777777" w:rsidR="005E0E7F" w:rsidRPr="00A04DD6" w:rsidRDefault="005E0E7F" w:rsidP="00D62E44">
            <w:pPr>
              <w:jc w:val="center"/>
              <w:rPr>
                <w:sz w:val="20"/>
                <w:szCs w:val="20"/>
                <w:lang w:val="en-GB"/>
              </w:rPr>
            </w:pPr>
          </w:p>
          <w:p w14:paraId="2B73A001" w14:textId="77777777" w:rsidR="005E0E7F" w:rsidRPr="00A04DD6" w:rsidRDefault="005E0E7F" w:rsidP="00D62E44">
            <w:pPr>
              <w:jc w:val="center"/>
              <w:rPr>
                <w:sz w:val="20"/>
                <w:szCs w:val="20"/>
                <w:lang w:val="en-GB"/>
              </w:rPr>
            </w:pPr>
          </w:p>
          <w:p w14:paraId="0DCE0156" w14:textId="77777777" w:rsidR="005E0E7F" w:rsidRPr="00A04DD6" w:rsidRDefault="005E0E7F" w:rsidP="00D62E44">
            <w:pPr>
              <w:jc w:val="center"/>
              <w:rPr>
                <w:sz w:val="20"/>
                <w:szCs w:val="20"/>
                <w:lang w:val="en-GB"/>
              </w:rPr>
            </w:pPr>
          </w:p>
          <w:p w14:paraId="3315F1D9" w14:textId="00AD898D" w:rsidR="005E0E7F" w:rsidRPr="00A04DD6" w:rsidRDefault="00377A50" w:rsidP="00D62E44">
            <w:pPr>
              <w:jc w:val="center"/>
              <w:rPr>
                <w:sz w:val="20"/>
                <w:szCs w:val="20"/>
                <w:lang w:val="en-GB"/>
              </w:rPr>
            </w:pPr>
            <w:r w:rsidRPr="00A04DD6">
              <w:rPr>
                <w:sz w:val="20"/>
                <w:szCs w:val="20"/>
                <w:lang w:val="en-GB"/>
              </w:rPr>
              <w:t>x</w:t>
            </w:r>
          </w:p>
          <w:p w14:paraId="6BEBCEBF" w14:textId="77777777" w:rsidR="005E0E7F" w:rsidRPr="00A04DD6" w:rsidRDefault="005E0E7F" w:rsidP="00D62E44">
            <w:pPr>
              <w:jc w:val="center"/>
              <w:rPr>
                <w:sz w:val="20"/>
                <w:szCs w:val="20"/>
                <w:lang w:val="en-GB"/>
              </w:rPr>
            </w:pPr>
          </w:p>
          <w:p w14:paraId="50676913" w14:textId="5B7CE09C" w:rsidR="005E0E7F" w:rsidRPr="00A04DD6" w:rsidRDefault="00377A50" w:rsidP="00D62E44">
            <w:pPr>
              <w:jc w:val="center"/>
              <w:rPr>
                <w:sz w:val="20"/>
                <w:szCs w:val="20"/>
                <w:lang w:val="en-GB"/>
              </w:rPr>
            </w:pPr>
            <w:r w:rsidRPr="00A04DD6">
              <w:rPr>
                <w:sz w:val="20"/>
                <w:szCs w:val="20"/>
                <w:lang w:val="en-GB"/>
              </w:rPr>
              <w:t>x</w:t>
            </w:r>
          </w:p>
          <w:p w14:paraId="2A36E920" w14:textId="77777777" w:rsidR="005E0E7F" w:rsidRPr="00A04DD6" w:rsidRDefault="005E0E7F" w:rsidP="00D62E44">
            <w:pPr>
              <w:jc w:val="center"/>
              <w:rPr>
                <w:sz w:val="20"/>
                <w:szCs w:val="20"/>
                <w:lang w:val="en-GB"/>
              </w:rPr>
            </w:pPr>
          </w:p>
          <w:p w14:paraId="179A47B2" w14:textId="00E5179F" w:rsidR="005E0E7F" w:rsidRPr="00A04DD6" w:rsidRDefault="00377A50" w:rsidP="00D62E44">
            <w:pPr>
              <w:jc w:val="center"/>
              <w:rPr>
                <w:sz w:val="20"/>
                <w:szCs w:val="20"/>
                <w:lang w:val="en-GB"/>
              </w:rPr>
            </w:pPr>
            <w:r w:rsidRPr="00A04DD6">
              <w:rPr>
                <w:sz w:val="20"/>
                <w:szCs w:val="20"/>
                <w:lang w:val="en-GB"/>
              </w:rPr>
              <w:t>x</w:t>
            </w:r>
          </w:p>
          <w:p w14:paraId="14BD2DB1" w14:textId="77777777" w:rsidR="005E0E7F" w:rsidRPr="00A04DD6" w:rsidRDefault="005E0E7F" w:rsidP="00D62E44">
            <w:pPr>
              <w:jc w:val="center"/>
              <w:rPr>
                <w:sz w:val="20"/>
                <w:szCs w:val="20"/>
                <w:lang w:val="en-GB"/>
              </w:rPr>
            </w:pPr>
          </w:p>
          <w:p w14:paraId="388E915B" w14:textId="64B1B3A3" w:rsidR="005E0E7F" w:rsidRPr="00A04DD6" w:rsidRDefault="00377A50" w:rsidP="00D62E44">
            <w:pPr>
              <w:jc w:val="center"/>
              <w:rPr>
                <w:sz w:val="20"/>
                <w:szCs w:val="20"/>
                <w:lang w:val="en-GB"/>
              </w:rPr>
            </w:pPr>
            <w:r w:rsidRPr="00A04DD6">
              <w:rPr>
                <w:sz w:val="20"/>
                <w:szCs w:val="20"/>
                <w:lang w:val="en-GB"/>
              </w:rPr>
              <w:t>x</w:t>
            </w:r>
          </w:p>
          <w:p w14:paraId="506B106C" w14:textId="77777777" w:rsidR="005E0E7F" w:rsidRPr="00A04DD6" w:rsidRDefault="005E0E7F" w:rsidP="00D62E44">
            <w:pPr>
              <w:jc w:val="center"/>
              <w:rPr>
                <w:sz w:val="20"/>
                <w:szCs w:val="20"/>
                <w:lang w:val="en-GB"/>
              </w:rPr>
            </w:pPr>
          </w:p>
        </w:tc>
        <w:tc>
          <w:tcPr>
            <w:tcW w:w="677" w:type="pct"/>
          </w:tcPr>
          <w:p w14:paraId="3661DA33" w14:textId="52D24714" w:rsidR="005E0E7F" w:rsidRPr="00A04DD6" w:rsidRDefault="00377A50" w:rsidP="00D62E44">
            <w:pPr>
              <w:jc w:val="center"/>
              <w:rPr>
                <w:sz w:val="20"/>
                <w:szCs w:val="20"/>
                <w:lang w:val="en-GB"/>
              </w:rPr>
            </w:pPr>
            <w:r w:rsidRPr="00A04DD6">
              <w:rPr>
                <w:sz w:val="20"/>
                <w:szCs w:val="20"/>
                <w:lang w:val="en-GB"/>
              </w:rPr>
              <w:lastRenderedPageBreak/>
              <w:t>x</w:t>
            </w:r>
          </w:p>
          <w:p w14:paraId="62FC9DA2" w14:textId="77777777" w:rsidR="005E0E7F" w:rsidRPr="00A04DD6" w:rsidRDefault="005E0E7F" w:rsidP="00D62E44">
            <w:pPr>
              <w:jc w:val="center"/>
              <w:rPr>
                <w:sz w:val="20"/>
                <w:szCs w:val="20"/>
                <w:lang w:val="en-GB"/>
              </w:rPr>
            </w:pPr>
          </w:p>
          <w:p w14:paraId="10383828" w14:textId="77777777" w:rsidR="005E0E7F" w:rsidRPr="00A04DD6" w:rsidRDefault="005E0E7F" w:rsidP="00D62E44">
            <w:pPr>
              <w:jc w:val="center"/>
              <w:rPr>
                <w:sz w:val="20"/>
                <w:szCs w:val="20"/>
                <w:lang w:val="en-GB"/>
              </w:rPr>
            </w:pPr>
          </w:p>
          <w:p w14:paraId="57CF0403" w14:textId="77777777" w:rsidR="005E0E7F" w:rsidRPr="00A04DD6" w:rsidRDefault="005E0E7F" w:rsidP="00D62E44">
            <w:pPr>
              <w:jc w:val="center"/>
              <w:rPr>
                <w:sz w:val="20"/>
                <w:szCs w:val="20"/>
                <w:lang w:val="en-GB"/>
              </w:rPr>
            </w:pPr>
          </w:p>
          <w:p w14:paraId="3BD9CABF" w14:textId="77777777" w:rsidR="005E0E7F" w:rsidRPr="00A04DD6" w:rsidRDefault="005E0E7F" w:rsidP="00D62E44">
            <w:pPr>
              <w:jc w:val="center"/>
              <w:rPr>
                <w:sz w:val="20"/>
                <w:szCs w:val="20"/>
                <w:lang w:val="en-GB"/>
              </w:rPr>
            </w:pPr>
          </w:p>
          <w:p w14:paraId="2D43CB31" w14:textId="09006C50" w:rsidR="005E0E7F" w:rsidRPr="00A04DD6" w:rsidRDefault="00377A50" w:rsidP="00D62E44">
            <w:pPr>
              <w:jc w:val="center"/>
              <w:rPr>
                <w:sz w:val="20"/>
                <w:szCs w:val="20"/>
                <w:lang w:val="en-GB"/>
              </w:rPr>
            </w:pPr>
            <w:r w:rsidRPr="00A04DD6">
              <w:rPr>
                <w:sz w:val="20"/>
                <w:szCs w:val="20"/>
                <w:lang w:val="en-GB"/>
              </w:rPr>
              <w:t>x</w:t>
            </w:r>
          </w:p>
          <w:p w14:paraId="1CD6ED6C" w14:textId="77777777" w:rsidR="005E0E7F" w:rsidRPr="00A04DD6" w:rsidRDefault="005E0E7F" w:rsidP="00D62E44">
            <w:pPr>
              <w:jc w:val="center"/>
              <w:rPr>
                <w:sz w:val="20"/>
                <w:szCs w:val="20"/>
                <w:lang w:val="en-GB"/>
              </w:rPr>
            </w:pPr>
          </w:p>
          <w:p w14:paraId="7C5EFACF" w14:textId="77777777" w:rsidR="005E0E7F" w:rsidRPr="00A04DD6" w:rsidRDefault="005E0E7F" w:rsidP="00D62E44">
            <w:pPr>
              <w:jc w:val="center"/>
              <w:rPr>
                <w:sz w:val="20"/>
                <w:szCs w:val="20"/>
                <w:lang w:val="en-GB"/>
              </w:rPr>
            </w:pPr>
          </w:p>
          <w:p w14:paraId="62C8C857" w14:textId="77777777" w:rsidR="005E0E7F" w:rsidRPr="00A04DD6" w:rsidRDefault="005E0E7F" w:rsidP="00D62E44">
            <w:pPr>
              <w:jc w:val="center"/>
              <w:rPr>
                <w:sz w:val="20"/>
                <w:szCs w:val="20"/>
                <w:lang w:val="en-GB"/>
              </w:rPr>
            </w:pPr>
          </w:p>
          <w:p w14:paraId="4BBA963C" w14:textId="77777777" w:rsidR="005E0E7F" w:rsidRPr="00A04DD6" w:rsidRDefault="005E0E7F" w:rsidP="00D62E44">
            <w:pPr>
              <w:jc w:val="center"/>
              <w:rPr>
                <w:sz w:val="20"/>
                <w:szCs w:val="20"/>
                <w:lang w:val="en-GB"/>
              </w:rPr>
            </w:pPr>
          </w:p>
          <w:p w14:paraId="50225376" w14:textId="77777777" w:rsidR="005E0E7F" w:rsidRPr="00A04DD6" w:rsidRDefault="005E0E7F" w:rsidP="00D62E44">
            <w:pPr>
              <w:jc w:val="center"/>
              <w:rPr>
                <w:sz w:val="20"/>
                <w:szCs w:val="20"/>
                <w:lang w:val="en-GB"/>
              </w:rPr>
            </w:pPr>
          </w:p>
          <w:p w14:paraId="4FE8C3A3" w14:textId="77777777" w:rsidR="005E0E7F" w:rsidRPr="00A04DD6" w:rsidRDefault="005E0E7F" w:rsidP="00D62E44">
            <w:pPr>
              <w:jc w:val="center"/>
              <w:rPr>
                <w:sz w:val="20"/>
                <w:szCs w:val="20"/>
                <w:lang w:val="en-GB"/>
              </w:rPr>
            </w:pPr>
          </w:p>
          <w:p w14:paraId="2FA62207" w14:textId="77777777" w:rsidR="005E0E7F" w:rsidRPr="00A04DD6" w:rsidRDefault="005E0E7F" w:rsidP="00D62E44">
            <w:pPr>
              <w:jc w:val="center"/>
              <w:rPr>
                <w:sz w:val="20"/>
                <w:szCs w:val="20"/>
                <w:lang w:val="en-GB"/>
              </w:rPr>
            </w:pPr>
          </w:p>
          <w:p w14:paraId="137429E8" w14:textId="77777777" w:rsidR="005E0E7F" w:rsidRPr="00A04DD6" w:rsidRDefault="005E0E7F" w:rsidP="00D62E44">
            <w:pPr>
              <w:jc w:val="center"/>
              <w:rPr>
                <w:sz w:val="20"/>
                <w:szCs w:val="20"/>
                <w:lang w:val="en-GB"/>
              </w:rPr>
            </w:pPr>
          </w:p>
          <w:p w14:paraId="6A786812" w14:textId="77777777" w:rsidR="005E0E7F" w:rsidRPr="00A04DD6" w:rsidRDefault="005E0E7F" w:rsidP="00D62E44">
            <w:pPr>
              <w:jc w:val="center"/>
              <w:rPr>
                <w:sz w:val="20"/>
                <w:szCs w:val="20"/>
                <w:lang w:val="en-GB"/>
              </w:rPr>
            </w:pPr>
          </w:p>
          <w:p w14:paraId="283D5C9F" w14:textId="77777777" w:rsidR="005E0E7F" w:rsidRPr="00A04DD6" w:rsidRDefault="005E0E7F" w:rsidP="00D62E44">
            <w:pPr>
              <w:jc w:val="center"/>
              <w:rPr>
                <w:sz w:val="20"/>
                <w:szCs w:val="20"/>
                <w:lang w:val="en-GB"/>
              </w:rPr>
            </w:pPr>
          </w:p>
          <w:p w14:paraId="551710AF" w14:textId="77777777" w:rsidR="005E0E7F" w:rsidRPr="00A04DD6" w:rsidRDefault="005E0E7F" w:rsidP="00D62E44">
            <w:pPr>
              <w:jc w:val="center"/>
              <w:rPr>
                <w:sz w:val="20"/>
                <w:szCs w:val="20"/>
                <w:lang w:val="en-GB"/>
              </w:rPr>
            </w:pPr>
          </w:p>
          <w:p w14:paraId="70E7EA01" w14:textId="77777777" w:rsidR="005E0E7F" w:rsidRPr="00A04DD6" w:rsidRDefault="005E0E7F" w:rsidP="00D62E44">
            <w:pPr>
              <w:jc w:val="center"/>
              <w:rPr>
                <w:sz w:val="20"/>
                <w:szCs w:val="20"/>
                <w:lang w:val="en-GB"/>
              </w:rPr>
            </w:pPr>
          </w:p>
          <w:p w14:paraId="0C091FCD" w14:textId="77777777" w:rsidR="005E0E7F" w:rsidRPr="00A04DD6" w:rsidRDefault="005E0E7F" w:rsidP="00D62E44">
            <w:pPr>
              <w:jc w:val="center"/>
              <w:rPr>
                <w:sz w:val="20"/>
                <w:szCs w:val="20"/>
                <w:lang w:val="en-GB"/>
              </w:rPr>
            </w:pPr>
          </w:p>
          <w:p w14:paraId="5515C3A1" w14:textId="77777777" w:rsidR="005E0E7F" w:rsidRPr="00A04DD6" w:rsidRDefault="005E0E7F" w:rsidP="00D62E44">
            <w:pPr>
              <w:jc w:val="center"/>
              <w:rPr>
                <w:sz w:val="20"/>
                <w:szCs w:val="20"/>
                <w:lang w:val="en-GB"/>
              </w:rPr>
            </w:pPr>
          </w:p>
          <w:p w14:paraId="3EFECE41" w14:textId="77777777" w:rsidR="005E0E7F" w:rsidRPr="00A04DD6" w:rsidRDefault="005E0E7F" w:rsidP="00D62E44">
            <w:pPr>
              <w:jc w:val="center"/>
              <w:rPr>
                <w:sz w:val="20"/>
                <w:szCs w:val="20"/>
                <w:lang w:val="en-GB"/>
              </w:rPr>
            </w:pPr>
          </w:p>
          <w:p w14:paraId="503B7A7D" w14:textId="77777777" w:rsidR="005E0E7F" w:rsidRPr="00A04DD6" w:rsidRDefault="005E0E7F" w:rsidP="00D62E44">
            <w:pPr>
              <w:jc w:val="center"/>
              <w:rPr>
                <w:sz w:val="20"/>
                <w:szCs w:val="20"/>
                <w:lang w:val="en-GB"/>
              </w:rPr>
            </w:pPr>
          </w:p>
          <w:p w14:paraId="14D6F650" w14:textId="77777777" w:rsidR="005E0E7F" w:rsidRPr="00A04DD6" w:rsidRDefault="005E0E7F" w:rsidP="00D62E44">
            <w:pPr>
              <w:jc w:val="center"/>
              <w:rPr>
                <w:sz w:val="20"/>
                <w:szCs w:val="20"/>
                <w:lang w:val="en-GB"/>
              </w:rPr>
            </w:pPr>
          </w:p>
          <w:p w14:paraId="15B419EE" w14:textId="77777777" w:rsidR="005E0E7F" w:rsidRPr="00A04DD6" w:rsidRDefault="005E0E7F" w:rsidP="00D62E44">
            <w:pPr>
              <w:jc w:val="center"/>
              <w:rPr>
                <w:sz w:val="20"/>
                <w:szCs w:val="20"/>
                <w:lang w:val="en-GB"/>
              </w:rPr>
            </w:pPr>
          </w:p>
          <w:p w14:paraId="39538226" w14:textId="77777777" w:rsidR="005E0E7F" w:rsidRPr="00A04DD6" w:rsidRDefault="005E0E7F" w:rsidP="00D62E44">
            <w:pPr>
              <w:jc w:val="center"/>
              <w:rPr>
                <w:sz w:val="20"/>
                <w:szCs w:val="20"/>
                <w:lang w:val="en-GB"/>
              </w:rPr>
            </w:pPr>
          </w:p>
          <w:p w14:paraId="53B4B89B" w14:textId="77777777" w:rsidR="005E0E7F" w:rsidRPr="00A04DD6" w:rsidRDefault="005E0E7F" w:rsidP="00D62E44">
            <w:pPr>
              <w:jc w:val="center"/>
              <w:rPr>
                <w:sz w:val="20"/>
                <w:szCs w:val="20"/>
                <w:lang w:val="en-GB"/>
              </w:rPr>
            </w:pPr>
          </w:p>
          <w:p w14:paraId="571AF31D" w14:textId="77777777" w:rsidR="005E0E7F" w:rsidRPr="00A04DD6" w:rsidRDefault="005E0E7F" w:rsidP="00D62E44">
            <w:pPr>
              <w:jc w:val="center"/>
              <w:rPr>
                <w:sz w:val="20"/>
                <w:szCs w:val="20"/>
                <w:lang w:val="en-GB"/>
              </w:rPr>
            </w:pPr>
          </w:p>
          <w:p w14:paraId="3FED9373" w14:textId="77777777" w:rsidR="005E0E7F" w:rsidRPr="00A04DD6" w:rsidRDefault="005E0E7F" w:rsidP="00D62E44">
            <w:pPr>
              <w:jc w:val="center"/>
              <w:rPr>
                <w:sz w:val="20"/>
                <w:szCs w:val="20"/>
                <w:lang w:val="en-GB"/>
              </w:rPr>
            </w:pPr>
          </w:p>
          <w:p w14:paraId="183E7C8B" w14:textId="77777777" w:rsidR="005E0E7F" w:rsidRPr="00A04DD6" w:rsidRDefault="005E0E7F" w:rsidP="00D62E44">
            <w:pPr>
              <w:jc w:val="center"/>
              <w:rPr>
                <w:sz w:val="20"/>
                <w:szCs w:val="20"/>
                <w:lang w:val="en-GB"/>
              </w:rPr>
            </w:pPr>
          </w:p>
          <w:p w14:paraId="303CAB33" w14:textId="77777777" w:rsidR="005E0E7F" w:rsidRPr="00A04DD6" w:rsidRDefault="005E0E7F" w:rsidP="00D62E44">
            <w:pPr>
              <w:jc w:val="center"/>
              <w:rPr>
                <w:sz w:val="20"/>
                <w:szCs w:val="20"/>
                <w:lang w:val="en-GB"/>
              </w:rPr>
            </w:pPr>
          </w:p>
          <w:p w14:paraId="2280A10A" w14:textId="77777777" w:rsidR="005E0E7F" w:rsidRPr="00A04DD6" w:rsidRDefault="005E0E7F" w:rsidP="00D62E44">
            <w:pPr>
              <w:jc w:val="center"/>
              <w:rPr>
                <w:sz w:val="20"/>
                <w:szCs w:val="20"/>
                <w:lang w:val="en-GB"/>
              </w:rPr>
            </w:pPr>
          </w:p>
          <w:p w14:paraId="3BAECA7C" w14:textId="77777777" w:rsidR="005E0E7F" w:rsidRPr="00A04DD6" w:rsidRDefault="005E0E7F" w:rsidP="00D62E44">
            <w:pPr>
              <w:jc w:val="center"/>
              <w:rPr>
                <w:sz w:val="20"/>
                <w:szCs w:val="20"/>
                <w:lang w:val="en-GB"/>
              </w:rPr>
            </w:pPr>
          </w:p>
          <w:p w14:paraId="3B9AC652" w14:textId="77777777" w:rsidR="005E0E7F" w:rsidRPr="00A04DD6" w:rsidRDefault="005E0E7F" w:rsidP="00D62E44">
            <w:pPr>
              <w:jc w:val="center"/>
              <w:rPr>
                <w:sz w:val="20"/>
                <w:szCs w:val="20"/>
                <w:lang w:val="en-GB"/>
              </w:rPr>
            </w:pPr>
          </w:p>
          <w:p w14:paraId="3BB7185F" w14:textId="77777777" w:rsidR="005E0E7F" w:rsidRPr="00A04DD6" w:rsidRDefault="005E0E7F" w:rsidP="00D62E44">
            <w:pPr>
              <w:jc w:val="center"/>
              <w:rPr>
                <w:sz w:val="20"/>
                <w:szCs w:val="20"/>
                <w:lang w:val="en-GB"/>
              </w:rPr>
            </w:pPr>
          </w:p>
          <w:p w14:paraId="7A2ED384" w14:textId="77777777" w:rsidR="005E0E7F" w:rsidRPr="00A04DD6" w:rsidRDefault="005E0E7F" w:rsidP="00D62E44">
            <w:pPr>
              <w:jc w:val="center"/>
              <w:rPr>
                <w:sz w:val="20"/>
                <w:szCs w:val="20"/>
                <w:lang w:val="en-GB"/>
              </w:rPr>
            </w:pPr>
          </w:p>
          <w:p w14:paraId="71757B71" w14:textId="1084103E" w:rsidR="005E0E7F" w:rsidRPr="00A04DD6" w:rsidRDefault="00377A50" w:rsidP="00D62E44">
            <w:pPr>
              <w:jc w:val="center"/>
              <w:rPr>
                <w:sz w:val="20"/>
                <w:szCs w:val="20"/>
                <w:lang w:val="en-GB"/>
              </w:rPr>
            </w:pPr>
            <w:r w:rsidRPr="00A04DD6">
              <w:rPr>
                <w:sz w:val="20"/>
                <w:szCs w:val="20"/>
                <w:lang w:val="en-GB"/>
              </w:rPr>
              <w:t>x</w:t>
            </w:r>
          </w:p>
          <w:p w14:paraId="430D8E12" w14:textId="77777777" w:rsidR="005E0E7F" w:rsidRPr="00A04DD6" w:rsidRDefault="005E0E7F" w:rsidP="00D62E44">
            <w:pPr>
              <w:jc w:val="center"/>
              <w:rPr>
                <w:sz w:val="20"/>
                <w:szCs w:val="20"/>
                <w:lang w:val="en-GB"/>
              </w:rPr>
            </w:pPr>
          </w:p>
          <w:p w14:paraId="7A10114B" w14:textId="77777777" w:rsidR="005E0E7F" w:rsidRPr="00A04DD6" w:rsidRDefault="005E0E7F" w:rsidP="00D62E44">
            <w:pPr>
              <w:jc w:val="center"/>
              <w:rPr>
                <w:sz w:val="20"/>
                <w:szCs w:val="20"/>
                <w:lang w:val="en-GB"/>
              </w:rPr>
            </w:pPr>
          </w:p>
          <w:p w14:paraId="55745265" w14:textId="1D052A43" w:rsidR="005E0E7F" w:rsidRPr="00A04DD6" w:rsidRDefault="00377A50" w:rsidP="00D62E44">
            <w:pPr>
              <w:jc w:val="center"/>
              <w:rPr>
                <w:sz w:val="20"/>
                <w:szCs w:val="20"/>
                <w:lang w:val="en-GB"/>
              </w:rPr>
            </w:pPr>
            <w:r w:rsidRPr="00A04DD6">
              <w:rPr>
                <w:sz w:val="20"/>
                <w:szCs w:val="20"/>
                <w:lang w:val="en-GB"/>
              </w:rPr>
              <w:t>x</w:t>
            </w:r>
          </w:p>
          <w:p w14:paraId="6A89D91C" w14:textId="77777777" w:rsidR="005E0E7F" w:rsidRPr="00A04DD6" w:rsidRDefault="005E0E7F" w:rsidP="00D62E44">
            <w:pPr>
              <w:jc w:val="center"/>
              <w:rPr>
                <w:sz w:val="20"/>
                <w:szCs w:val="20"/>
                <w:lang w:val="en-GB"/>
              </w:rPr>
            </w:pPr>
          </w:p>
          <w:p w14:paraId="455B0101" w14:textId="77777777" w:rsidR="005E0E7F" w:rsidRPr="00A04DD6" w:rsidRDefault="005E0E7F" w:rsidP="00D62E44">
            <w:pPr>
              <w:jc w:val="center"/>
              <w:rPr>
                <w:sz w:val="20"/>
                <w:szCs w:val="20"/>
                <w:lang w:val="en-GB"/>
              </w:rPr>
            </w:pPr>
          </w:p>
          <w:p w14:paraId="4F426A8A" w14:textId="77777777" w:rsidR="005E0E7F" w:rsidRPr="00A04DD6" w:rsidRDefault="005E0E7F" w:rsidP="00D62E44">
            <w:pPr>
              <w:jc w:val="center"/>
              <w:rPr>
                <w:sz w:val="20"/>
                <w:szCs w:val="20"/>
                <w:lang w:val="en-GB"/>
              </w:rPr>
            </w:pPr>
          </w:p>
          <w:p w14:paraId="41FE0E8B" w14:textId="77777777" w:rsidR="005E0E7F" w:rsidRPr="00A04DD6" w:rsidRDefault="005E0E7F" w:rsidP="00D62E44">
            <w:pPr>
              <w:jc w:val="center"/>
              <w:rPr>
                <w:sz w:val="20"/>
                <w:szCs w:val="20"/>
                <w:lang w:val="en-GB"/>
              </w:rPr>
            </w:pPr>
          </w:p>
          <w:p w14:paraId="4A80BF3D" w14:textId="77777777" w:rsidR="005E0E7F" w:rsidRPr="00A04DD6" w:rsidRDefault="005E0E7F" w:rsidP="00D62E44">
            <w:pPr>
              <w:jc w:val="center"/>
              <w:rPr>
                <w:sz w:val="20"/>
                <w:szCs w:val="20"/>
                <w:lang w:val="en-GB"/>
              </w:rPr>
            </w:pPr>
          </w:p>
        </w:tc>
      </w:tr>
      <w:tr w:rsidR="005E0E7F" w:rsidRPr="00A04DD6" w14:paraId="21EAA421" w14:textId="77777777" w:rsidTr="00746DB3">
        <w:trPr>
          <w:jc w:val="center"/>
        </w:trPr>
        <w:tc>
          <w:tcPr>
            <w:tcW w:w="1618" w:type="pct"/>
          </w:tcPr>
          <w:p w14:paraId="455811D5" w14:textId="77777777" w:rsidR="005E0E7F" w:rsidRPr="00A04DD6" w:rsidRDefault="005E0E7F" w:rsidP="00D62E44">
            <w:pPr>
              <w:rPr>
                <w:b/>
                <w:sz w:val="20"/>
                <w:szCs w:val="20"/>
                <w:lang w:val="en-GB"/>
              </w:rPr>
            </w:pPr>
            <w:r w:rsidRPr="00A04DD6">
              <w:rPr>
                <w:b/>
                <w:sz w:val="20"/>
                <w:szCs w:val="20"/>
                <w:lang w:val="en-GB"/>
              </w:rPr>
              <w:lastRenderedPageBreak/>
              <w:t>Total</w:t>
            </w:r>
          </w:p>
        </w:tc>
        <w:tc>
          <w:tcPr>
            <w:tcW w:w="676" w:type="pct"/>
          </w:tcPr>
          <w:p w14:paraId="5EB0F37D" w14:textId="77777777" w:rsidR="005E0E7F" w:rsidRPr="00A04DD6" w:rsidRDefault="005E0E7F" w:rsidP="00D62E44">
            <w:pPr>
              <w:jc w:val="center"/>
              <w:rPr>
                <w:b/>
                <w:sz w:val="20"/>
                <w:szCs w:val="20"/>
                <w:lang w:val="en-GB"/>
              </w:rPr>
            </w:pPr>
            <w:r w:rsidRPr="00A04DD6">
              <w:rPr>
                <w:b/>
                <w:sz w:val="20"/>
                <w:szCs w:val="20"/>
                <w:lang w:val="en-GB"/>
              </w:rPr>
              <w:t>5</w:t>
            </w:r>
          </w:p>
        </w:tc>
        <w:tc>
          <w:tcPr>
            <w:tcW w:w="677" w:type="pct"/>
          </w:tcPr>
          <w:p w14:paraId="4579FDD1" w14:textId="77777777" w:rsidR="005E0E7F" w:rsidRPr="00A04DD6" w:rsidRDefault="005E0E7F" w:rsidP="00D62E44">
            <w:pPr>
              <w:jc w:val="center"/>
              <w:rPr>
                <w:b/>
                <w:sz w:val="20"/>
                <w:szCs w:val="20"/>
                <w:lang w:val="en-GB"/>
              </w:rPr>
            </w:pPr>
            <w:r w:rsidRPr="00A04DD6">
              <w:rPr>
                <w:b/>
                <w:sz w:val="20"/>
                <w:szCs w:val="20"/>
                <w:lang w:val="en-GB"/>
              </w:rPr>
              <w:t>5</w:t>
            </w:r>
          </w:p>
        </w:tc>
        <w:tc>
          <w:tcPr>
            <w:tcW w:w="676" w:type="pct"/>
          </w:tcPr>
          <w:p w14:paraId="740B1AFB" w14:textId="77777777" w:rsidR="005E0E7F" w:rsidRPr="00A04DD6" w:rsidRDefault="005E0E7F" w:rsidP="00D62E44">
            <w:pPr>
              <w:jc w:val="center"/>
              <w:rPr>
                <w:b/>
                <w:sz w:val="20"/>
                <w:szCs w:val="20"/>
                <w:lang w:val="en-GB"/>
              </w:rPr>
            </w:pPr>
            <w:r w:rsidRPr="00A04DD6">
              <w:rPr>
                <w:b/>
                <w:sz w:val="20"/>
                <w:szCs w:val="20"/>
                <w:lang w:val="en-GB"/>
              </w:rPr>
              <w:t>23</w:t>
            </w:r>
          </w:p>
        </w:tc>
        <w:tc>
          <w:tcPr>
            <w:tcW w:w="677" w:type="pct"/>
          </w:tcPr>
          <w:p w14:paraId="69170A24" w14:textId="77777777" w:rsidR="005E0E7F" w:rsidRPr="00A04DD6" w:rsidRDefault="005E0E7F" w:rsidP="00D62E44">
            <w:pPr>
              <w:jc w:val="center"/>
              <w:rPr>
                <w:b/>
                <w:sz w:val="20"/>
                <w:szCs w:val="20"/>
                <w:lang w:val="en-GB"/>
              </w:rPr>
            </w:pPr>
            <w:r w:rsidRPr="00A04DD6">
              <w:rPr>
                <w:b/>
                <w:sz w:val="20"/>
                <w:szCs w:val="20"/>
                <w:lang w:val="en-GB"/>
              </w:rPr>
              <w:t>17</w:t>
            </w:r>
          </w:p>
        </w:tc>
        <w:tc>
          <w:tcPr>
            <w:tcW w:w="677" w:type="pct"/>
          </w:tcPr>
          <w:p w14:paraId="33ECE3C4" w14:textId="77777777" w:rsidR="005E0E7F" w:rsidRPr="00A04DD6" w:rsidRDefault="005E0E7F" w:rsidP="00D62E44">
            <w:pPr>
              <w:keepNext/>
              <w:jc w:val="center"/>
              <w:rPr>
                <w:b/>
                <w:sz w:val="20"/>
                <w:szCs w:val="20"/>
                <w:lang w:val="en-GB"/>
              </w:rPr>
            </w:pPr>
            <w:r w:rsidRPr="00A04DD6">
              <w:rPr>
                <w:b/>
                <w:sz w:val="20"/>
                <w:szCs w:val="20"/>
                <w:lang w:val="en-GB"/>
              </w:rPr>
              <w:t>4</w:t>
            </w:r>
          </w:p>
        </w:tc>
      </w:tr>
    </w:tbl>
    <w:p w14:paraId="41A75C3B" w14:textId="77777777" w:rsidR="005E0E7F" w:rsidRPr="00A04DD6" w:rsidRDefault="005E0E7F" w:rsidP="005E0E7F">
      <w:pPr>
        <w:spacing w:line="480" w:lineRule="auto"/>
        <w:jc w:val="both"/>
        <w:rPr>
          <w:lang w:val="en-GB" w:bidi="en-US"/>
        </w:rPr>
      </w:pPr>
    </w:p>
    <w:p w14:paraId="4C8A1FE5" w14:textId="0C1BC561" w:rsidR="005E0E7F" w:rsidRPr="00A04DD6" w:rsidRDefault="005E0E7F" w:rsidP="005E0E7F">
      <w:pPr>
        <w:spacing w:after="240" w:line="360" w:lineRule="auto"/>
        <w:jc w:val="both"/>
        <w:rPr>
          <w:lang w:val="en-GB" w:bidi="en-US"/>
        </w:rPr>
      </w:pPr>
      <w:r w:rsidRPr="00A04DD6">
        <w:rPr>
          <w:lang w:val="en-GB" w:bidi="en-US"/>
        </w:rPr>
        <w:t>Actions referring to the “Optimize” macro category (</w:t>
      </w:r>
      <w:r w:rsidR="00E52A54">
        <w:rPr>
          <w:lang w:val="en-GB" w:bidi="en-US"/>
        </w:rPr>
        <w:t xml:space="preserve">Table </w:t>
      </w:r>
      <w:r w:rsidR="008F6A43">
        <w:rPr>
          <w:lang w:val="en-GB" w:bidi="en-US"/>
        </w:rPr>
        <w:t>9</w:t>
      </w:r>
      <w:r w:rsidRPr="00E52A54">
        <w:rPr>
          <w:lang w:val="en-GB" w:bidi="en-US"/>
        </w:rPr>
        <w:t>) received a quite relevant attention among researchers. </w:t>
      </w:r>
      <w:r w:rsidRPr="00A04DD6">
        <w:rPr>
          <w:lang w:val="en-GB" w:bidi="en-US"/>
        </w:rPr>
        <w:t xml:space="preserve">The addition of basic services to traditional products (product-oriented PSSs) and the creation of different organization </w:t>
      </w:r>
      <w:r w:rsidR="00374AB9" w:rsidRPr="00A04DD6">
        <w:rPr>
          <w:lang w:val="en-GB" w:bidi="en-US"/>
        </w:rPr>
        <w:t xml:space="preserve">networks </w:t>
      </w:r>
      <w:r w:rsidRPr="00A04DD6">
        <w:rPr>
          <w:lang w:val="en-GB" w:bidi="en-US"/>
        </w:rPr>
        <w:t xml:space="preserve">fostering eco-innovation (industrial symbiosis) have been considered quite often as means </w:t>
      </w:r>
      <w:r w:rsidR="00624672">
        <w:rPr>
          <w:lang w:val="en-GB" w:bidi="en-US"/>
        </w:rPr>
        <w:t>for</w:t>
      </w:r>
      <w:r w:rsidRPr="00A04DD6">
        <w:rPr>
          <w:lang w:val="en-GB" w:bidi="en-US"/>
        </w:rPr>
        <w:t xml:space="preserve"> better address</w:t>
      </w:r>
      <w:r w:rsidR="00624672">
        <w:rPr>
          <w:lang w:val="en-GB" w:bidi="en-US"/>
        </w:rPr>
        <w:t>ing</w:t>
      </w:r>
      <w:r w:rsidRPr="00A04DD6">
        <w:rPr>
          <w:lang w:val="en-GB" w:bidi="en-US"/>
        </w:rPr>
        <w:t xml:space="preserve"> the removal of waste, energy and materials in </w:t>
      </w:r>
      <w:r w:rsidR="005F708E">
        <w:rPr>
          <w:lang w:val="en-GB" w:bidi="en-US"/>
        </w:rPr>
        <w:t>manufacturing</w:t>
      </w:r>
      <w:r w:rsidR="003330F5">
        <w:rPr>
          <w:lang w:val="en-GB" w:bidi="en-US"/>
        </w:rPr>
        <w:t xml:space="preserve"> </w:t>
      </w:r>
      <w:r w:rsidR="005F708E">
        <w:rPr>
          <w:lang w:val="en-GB" w:bidi="en-US"/>
        </w:rPr>
        <w:t xml:space="preserve">and using </w:t>
      </w:r>
      <w:r w:rsidRPr="00A04DD6">
        <w:rPr>
          <w:lang w:val="en-GB" w:bidi="en-US"/>
        </w:rPr>
        <w:t>goods.</w:t>
      </w:r>
    </w:p>
    <w:p w14:paraId="69F67393" w14:textId="0AC9DEBF" w:rsidR="005E0E7F" w:rsidRPr="00A04DD6" w:rsidRDefault="005E0E7F" w:rsidP="005E0E7F">
      <w:pPr>
        <w:pStyle w:val="Didascalia"/>
        <w:spacing w:line="360" w:lineRule="auto"/>
        <w:jc w:val="center"/>
        <w:rPr>
          <w:b w:val="0"/>
          <w:caps w:val="0"/>
          <w:sz w:val="24"/>
          <w:lang w:val="en-GB"/>
        </w:rPr>
      </w:pPr>
      <w:r w:rsidRPr="00A04DD6">
        <w:rPr>
          <w:caps w:val="0"/>
          <w:sz w:val="24"/>
          <w:lang w:val="en-GB"/>
        </w:rPr>
        <w:t xml:space="preserve">Table </w:t>
      </w:r>
      <w:r w:rsidRPr="00A04DD6">
        <w:rPr>
          <w:sz w:val="24"/>
          <w:lang w:val="en-GB"/>
        </w:rPr>
        <w:fldChar w:fldCharType="begin"/>
      </w:r>
      <w:r w:rsidRPr="008F6A43">
        <w:rPr>
          <w:sz w:val="24"/>
          <w:lang w:val="en-GB"/>
        </w:rPr>
        <w:instrText xml:space="preserve"> SEQ Table \* ARABIC </w:instrText>
      </w:r>
      <w:r w:rsidRPr="00A04DD6">
        <w:rPr>
          <w:sz w:val="24"/>
          <w:lang w:val="en-GB"/>
        </w:rPr>
        <w:fldChar w:fldCharType="separate"/>
      </w:r>
      <w:r w:rsidR="008F7F15">
        <w:rPr>
          <w:noProof/>
          <w:sz w:val="24"/>
          <w:lang w:val="en-GB"/>
        </w:rPr>
        <w:t>9</w:t>
      </w:r>
      <w:r w:rsidRPr="00A04DD6">
        <w:rPr>
          <w:sz w:val="24"/>
          <w:lang w:val="en-GB"/>
        </w:rPr>
        <w:fldChar w:fldCharType="end"/>
      </w:r>
      <w:r w:rsidRPr="00A04DD6">
        <w:rPr>
          <w:sz w:val="24"/>
          <w:lang w:val="en-GB"/>
        </w:rPr>
        <w:t>.</w:t>
      </w:r>
      <w:r w:rsidRPr="00A04DD6">
        <w:rPr>
          <w:caps w:val="0"/>
          <w:sz w:val="24"/>
          <w:lang w:val="en-GB"/>
        </w:rPr>
        <w:t xml:space="preserve"> </w:t>
      </w:r>
      <w:r w:rsidRPr="00A04DD6">
        <w:rPr>
          <w:b w:val="0"/>
          <w:caps w:val="0"/>
          <w:sz w:val="24"/>
          <w:lang w:val="en-GB"/>
        </w:rPr>
        <w:t xml:space="preserve">Circular business models: optimize actions (adapted from </w:t>
      </w:r>
      <w:r w:rsidRPr="00A04DD6">
        <w:rPr>
          <w:b w:val="0"/>
          <w:caps w:val="0"/>
          <w:sz w:val="24"/>
          <w:lang w:val="en-GB"/>
        </w:rPr>
        <w:fldChar w:fldCharType="begin" w:fldLock="1"/>
      </w:r>
      <w:r w:rsidR="003445CC">
        <w:rPr>
          <w:b w:val="0"/>
          <w:caps w:val="0"/>
          <w:sz w:val="24"/>
          <w:lang w:val="en-GB"/>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id":"ITEM-2","itemData":{"author":[{"dropping-particle":"","family":"OECD","given":"","non-dropping-particle":"","parse-names":false,"suffix":""}],"id":"ITEM-2","issue":"June","issued":{"date-parts":[["2017"]]},"number-of-pages":"1-73","title":"New Business Models for the Circular Economy - Opportunities and Challenges from a Policy Perspective","type":"report"},"uris":["http://www.mendeley.com/documents/?uuid=451a73ce-eb83-45f7-bb85-3165f4ff0b8f"]}],"mendeley":{"formattedCitation":"(OECD, 2017; The Ellen MacArthur Foundation, 2015)","plainTextFormattedCitation":"(OECD, 2017; The Ellen MacArthur Foundation, 2015)","previouslyFormattedCitation":"(OECD, 2017; The Ellen MacArthur Foundation, 2015)"},"properties":{"noteIndex":0},"schema":"https://github.com/citation-style-language/schema/raw/master/csl-citation.json"}</w:instrText>
      </w:r>
      <w:r w:rsidRPr="00A04DD6">
        <w:rPr>
          <w:b w:val="0"/>
          <w:caps w:val="0"/>
          <w:sz w:val="24"/>
          <w:lang w:val="en-GB"/>
        </w:rPr>
        <w:fldChar w:fldCharType="separate"/>
      </w:r>
      <w:r w:rsidRPr="00A04DD6">
        <w:rPr>
          <w:b w:val="0"/>
          <w:caps w:val="0"/>
          <w:noProof/>
          <w:sz w:val="24"/>
          <w:lang w:val="en-GB"/>
        </w:rPr>
        <w:t>(OECD, 2017; The Ellen MacArthur Foundation, 2015)</w:t>
      </w:r>
      <w:r w:rsidRPr="00A04DD6">
        <w:rPr>
          <w:b w:val="0"/>
          <w:caps w:val="0"/>
          <w:sz w:val="24"/>
          <w:lang w:val="en-GB"/>
        </w:rPr>
        <w:fldChar w:fldCharType="end"/>
      </w:r>
      <w:r w:rsidRPr="00A04DD6">
        <w:rPr>
          <w:b w:val="0"/>
          <w:caps w:val="0"/>
          <w:sz w:val="24"/>
          <w:lang w:val="en-GB"/>
        </w:rPr>
        <w:t>)</w:t>
      </w:r>
    </w:p>
    <w:p w14:paraId="2EBCB102" w14:textId="77777777" w:rsidR="005E0E7F" w:rsidRPr="00A04DD6" w:rsidRDefault="005E0E7F" w:rsidP="005E0E7F">
      <w:pPr>
        <w:rPr>
          <w:lang w:val="en-GB"/>
        </w:rPr>
      </w:pPr>
    </w:p>
    <w:tbl>
      <w:tblPr>
        <w:tblStyle w:val="Grigliatabella"/>
        <w:tblW w:w="5000" w:type="pct"/>
        <w:jc w:val="center"/>
        <w:tblLook w:val="01E0" w:firstRow="1" w:lastRow="1" w:firstColumn="1" w:lastColumn="1" w:noHBand="0" w:noVBand="0"/>
      </w:tblPr>
      <w:tblGrid>
        <w:gridCol w:w="2972"/>
        <w:gridCol w:w="3325"/>
        <w:gridCol w:w="3325"/>
      </w:tblGrid>
      <w:tr w:rsidR="005E0E7F" w:rsidRPr="00A04DD6" w14:paraId="38479C89" w14:textId="77777777" w:rsidTr="00746DB3">
        <w:trPr>
          <w:jc w:val="center"/>
        </w:trPr>
        <w:tc>
          <w:tcPr>
            <w:tcW w:w="1544" w:type="pct"/>
            <w:vMerge w:val="restart"/>
            <w:vAlign w:val="center"/>
          </w:tcPr>
          <w:p w14:paraId="17DF7511" w14:textId="77777777" w:rsidR="005E0E7F" w:rsidRPr="00746DB3" w:rsidRDefault="005E0E7F" w:rsidP="00D62E44">
            <w:pPr>
              <w:rPr>
                <w:b/>
                <w:szCs w:val="20"/>
                <w:lang w:val="en-GB"/>
              </w:rPr>
            </w:pPr>
            <w:r w:rsidRPr="00746DB3">
              <w:rPr>
                <w:b/>
                <w:szCs w:val="20"/>
                <w:lang w:val="en-GB"/>
              </w:rPr>
              <w:t>Author</w:t>
            </w:r>
          </w:p>
        </w:tc>
        <w:tc>
          <w:tcPr>
            <w:tcW w:w="3456" w:type="pct"/>
            <w:gridSpan w:val="2"/>
            <w:vAlign w:val="center"/>
          </w:tcPr>
          <w:p w14:paraId="729AD0C2" w14:textId="0AD898E9" w:rsidR="005E0E7F" w:rsidRPr="00746DB3" w:rsidRDefault="005E0E7F" w:rsidP="00D62E44">
            <w:pPr>
              <w:jc w:val="center"/>
              <w:rPr>
                <w:b/>
                <w:szCs w:val="20"/>
                <w:lang w:val="en-GB"/>
              </w:rPr>
            </w:pPr>
            <w:r w:rsidRPr="00746DB3">
              <w:rPr>
                <w:b/>
                <w:szCs w:val="20"/>
                <w:lang w:val="en-GB"/>
              </w:rPr>
              <w:t>Optimize</w:t>
            </w:r>
            <w:r w:rsidR="00A52511">
              <w:rPr>
                <w:b/>
                <w:szCs w:val="20"/>
                <w:lang w:val="en-GB"/>
              </w:rPr>
              <w:t xml:space="preserve"> actions</w:t>
            </w:r>
          </w:p>
        </w:tc>
      </w:tr>
      <w:tr w:rsidR="005E0E7F" w:rsidRPr="00A04DD6" w14:paraId="45CB74B3" w14:textId="77777777" w:rsidTr="00746DB3">
        <w:trPr>
          <w:jc w:val="center"/>
        </w:trPr>
        <w:tc>
          <w:tcPr>
            <w:tcW w:w="1544" w:type="pct"/>
            <w:vMerge/>
            <w:vAlign w:val="center"/>
          </w:tcPr>
          <w:p w14:paraId="2E4D0990" w14:textId="77777777" w:rsidR="005E0E7F" w:rsidRPr="00746DB3" w:rsidRDefault="005E0E7F" w:rsidP="00D62E44">
            <w:pPr>
              <w:rPr>
                <w:b/>
                <w:szCs w:val="20"/>
                <w:lang w:val="en-GB"/>
              </w:rPr>
            </w:pPr>
          </w:p>
        </w:tc>
        <w:tc>
          <w:tcPr>
            <w:tcW w:w="1728" w:type="pct"/>
            <w:vAlign w:val="center"/>
          </w:tcPr>
          <w:p w14:paraId="5C74B253" w14:textId="77777777" w:rsidR="005E0E7F" w:rsidRPr="00746DB3" w:rsidRDefault="005E0E7F" w:rsidP="00D62E44">
            <w:pPr>
              <w:jc w:val="center"/>
              <w:rPr>
                <w:b/>
                <w:szCs w:val="20"/>
                <w:lang w:val="en-GB"/>
              </w:rPr>
            </w:pPr>
            <w:r w:rsidRPr="00746DB3">
              <w:rPr>
                <w:b/>
                <w:szCs w:val="20"/>
                <w:lang w:val="en-GB"/>
              </w:rPr>
              <w:t>Industrial Symbiosis</w:t>
            </w:r>
          </w:p>
        </w:tc>
        <w:tc>
          <w:tcPr>
            <w:tcW w:w="1728" w:type="pct"/>
            <w:vAlign w:val="center"/>
          </w:tcPr>
          <w:p w14:paraId="03EA1244" w14:textId="77777777" w:rsidR="005E0E7F" w:rsidRPr="00746DB3" w:rsidRDefault="005E0E7F" w:rsidP="00D62E44">
            <w:pPr>
              <w:jc w:val="center"/>
              <w:rPr>
                <w:b/>
                <w:szCs w:val="20"/>
                <w:lang w:val="en-GB"/>
              </w:rPr>
            </w:pPr>
            <w:r w:rsidRPr="00746DB3">
              <w:rPr>
                <w:b/>
                <w:szCs w:val="20"/>
                <w:lang w:val="en-GB"/>
              </w:rPr>
              <w:t>Product-oriented PSSs</w:t>
            </w:r>
          </w:p>
        </w:tc>
      </w:tr>
      <w:tr w:rsidR="005E0E7F" w:rsidRPr="0037718C" w14:paraId="2FA49E02" w14:textId="77777777" w:rsidTr="00746DB3">
        <w:trPr>
          <w:jc w:val="center"/>
        </w:trPr>
        <w:tc>
          <w:tcPr>
            <w:tcW w:w="1544" w:type="pct"/>
            <w:vAlign w:val="center"/>
          </w:tcPr>
          <w:p w14:paraId="2948C122" w14:textId="77777777" w:rsidR="005E0E7F" w:rsidRPr="00746DB3" w:rsidRDefault="005E0E7F" w:rsidP="00D62E44">
            <w:pPr>
              <w:rPr>
                <w:sz w:val="20"/>
                <w:szCs w:val="20"/>
              </w:rPr>
            </w:pPr>
            <w:r w:rsidRPr="00A04DD6">
              <w:rPr>
                <w:sz w:val="20"/>
                <w:szCs w:val="20"/>
                <w:lang w:val="en-GB"/>
              </w:rPr>
              <w:fldChar w:fldCharType="begin" w:fldLock="1"/>
            </w:r>
            <w:r w:rsidRPr="00A04DD6">
              <w:rPr>
                <w:sz w:val="20"/>
                <w:szCs w:val="20"/>
                <w:lang w:val="en-GB"/>
              </w:rPr>
              <w:instrText>ADDIN CSL_CITATION {"citationItems":[{"id":"ITEM-1","itemData":{"DOI":"10.1016/j.jclepro.2006.08.003","ISBN":"0959-6526","ISSN":"09596526","abstract":"Eco-effectiveness and cradle-to-cradle design present an alternative design and production concept to the strategies of zero emission and eco-efficiency. Where eco-efficiency and zero emission seek to reduce the unintended negative consequences of processes of production and consumption, eco-effectiveness is a positive agenda for the conception and production of goods and services that incorporate social, economic, and environmental benefit, enabling triple top line growth. Eco-effectiveness moves beyond zero emission approaches by focusing on the development of products and industrial systems that maintain or enhance the quality and productivity of materials through subsequent life cycles. The concept of eco-effectiveness also addresses the major shortcomings of eco-efficiency approaches: their inability to address the necessity for fundamental redesign of material flows, their inherent antagonism towards long-term economic growth and innovation, and their insufficiency in addressing toxicity issues. A central component of the eco-effectiveness concept, cradle-to-cradle design provides a practical design framework for creating products and industrial systems in a positive relationship with ecological health and abundance, and long-term economic growth. Against this background, the transition to eco-effective industrial systems is a five-step process beginning with an elimination of undesirable substances and ultimately calling for a reinvention of products by reconsidering how they may optimally fulfill the need or needs for which they are ac</w:instrText>
            </w:r>
            <w:r w:rsidRPr="00746DB3">
              <w:rPr>
                <w:sz w:val="20"/>
                <w:szCs w:val="20"/>
              </w:rPr>
              <w:instrText>tually intended while simultaneously being supportive of ecological and social systems. This process necessitates the creation of an eco-effective system of \"nutrient\" management to coordinate the material flows amongst actors in the product system. The concept of intelligent materials pooling illustrates how such a system might take shape, in reality. © 2006.","author":[{"dropping-particle":"","family":"Braungart","given":"Michael","non-dropping-particle":"","parse-names":false,"suffix":""},{"dropping-particle":"","family":"McDonough","given":"William","non-dropping-particle":"","parse-names":false,"suffix":""},{"dropping-particle":"","family":"Bollinger","given":"Andrew","non-dropping-particle":"","parse-names":false,"suffix":""}],"container-title":"Journal of Cleaner Production","id":"ITEM-1","issue":"13-14","issued":{"date-parts":[["2007"]]},"page":"1337-1348","title":"Cradle-to-cradle design: creating healthy emissions - a strategy for eco-effective product and system design","type":"article-journal","volume":"15"},"uris":["http://www.mendeley.com/documents/?uuid=21105744-ce83-4875-9acf-b75225eb46e6","http://www.mendeley.com/documents/?uuid=c9256fa3-984f-43ae-bb60-9b8f84227bf6"]}],"mendeley":{"formattedCitation":"(Braungart et al., 2007)","plainTextFormattedCitation":"(Braungart et al., 2007)","previouslyFormattedCitation":"(Braungart et al., 2007)"},"properties":{"noteIndex":0},"schema":"https://github.com/citation-style-language/schema/raw/master/csl-citation.json"}</w:instrText>
            </w:r>
            <w:r w:rsidRPr="00A04DD6">
              <w:rPr>
                <w:sz w:val="20"/>
                <w:szCs w:val="20"/>
                <w:lang w:val="en-GB"/>
              </w:rPr>
              <w:fldChar w:fldCharType="separate"/>
            </w:r>
            <w:r w:rsidRPr="00746DB3">
              <w:rPr>
                <w:noProof/>
                <w:sz w:val="20"/>
                <w:szCs w:val="20"/>
              </w:rPr>
              <w:t>(Braungart et al., 2007)</w:t>
            </w:r>
            <w:r w:rsidRPr="00A04DD6">
              <w:rPr>
                <w:sz w:val="20"/>
                <w:szCs w:val="20"/>
                <w:lang w:val="en-GB"/>
              </w:rPr>
              <w:fldChar w:fldCharType="end"/>
            </w:r>
          </w:p>
          <w:p w14:paraId="6726017A" w14:textId="2C2A8060"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{"citationItems":[{"id":"ITEM-1","itemData":{"DOI":"10.1111/j.1530-9290.2011.00450.x","ISBN":"1530-9290","ISSN":"10881980","abstract":"Industrial symbiosis examines cooperative management of resource flows through networks of businesses known in the literature as industrial ecosystems. These industrial ecosystems have previously been portrayed as having characteristics of complex adaptive systems, but with insufficient attention to the internal and external phenomena describing their genesis. Drawing on biological, ecological, organizational, and systems theory, a discontinuous three-stage model of industrial symbiosis is presented. The model proceeds from a random formative stage involving numerous actors engaging in material and energy exchanges, to conscious recognition and intentional pursuit of network benefits, to institutionalization of beliefs and norms enabling successful collaborative behavior. While there is much variation, with no single path to this outcome, the recognition of benefits is seen as an emergent property characteristic of these self-organized systems that move beyond the initial stage.","author":[{"dropping-particle":"","family":"Chertow","given":"Marian","non-dropping-particle":"","parse-names":false,"suffix":""},{"dropping-particle":"","family":"Ehrenfeld","given":"John","non-dropping-particle":"","parse-names":false,"suffix":""}],"container-title":"Journal of Industrial Ecology","id":"ITEM-1","issue":"1","issued":{"date-parts":[["2012"]]},"page":"13-27","title":"Organizing Self-Organizing Systems: Toward a Theory of Industrial Symbiosis","type":"article-journal","volume":"16"},"uris":["http://www.mendeley.com/documents/?uuid=0bcace70-4c7a-4768-9bdc-ba474f781968"]}],"mendeley":{"formattedCitation":"(Chertow and Ehrenfeld, 2012)","plainTextFormattedCitation":"(Chertow and Ehrenfeld, 2012)","previouslyFormattedCitation":"(Chertow and Ehrenfeld, 2012)"},"properties":{"noteIndex":0},"schema":"https://github.com/citation-style-language/schema/raw/master/csl-citation.json"}</w:instrText>
            </w:r>
            <w:r w:rsidRPr="00A04DD6">
              <w:rPr>
                <w:sz w:val="20"/>
                <w:szCs w:val="20"/>
                <w:lang w:val="en-GB"/>
              </w:rPr>
              <w:fldChar w:fldCharType="separate"/>
            </w:r>
            <w:r w:rsidRPr="00746DB3">
              <w:rPr>
                <w:noProof/>
                <w:sz w:val="20"/>
                <w:szCs w:val="20"/>
              </w:rPr>
              <w:t>(Chertow and Ehrenfeld, 2012)</w:t>
            </w:r>
            <w:r w:rsidRPr="00A04DD6">
              <w:rPr>
                <w:sz w:val="20"/>
                <w:szCs w:val="20"/>
                <w:lang w:val="en-GB"/>
              </w:rPr>
              <w:fldChar w:fldCharType="end"/>
            </w:r>
          </w:p>
          <w:p w14:paraId="38139424" w14:textId="711AEC76"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{"citationItems":[{"id":"ITEM-1","itemData":{"DOI":"10.1016/j.jclepro.2016.10.130","ISBN":"9788578110796","ISSN":"09596526","PMID":"25246403","abstract":"Implementing practices for a circular economy transforms the way companies do business, notably in the manufacturing industry. However, a circular economy requires a transformation of both production and consumption systems; the standard approach for creation, fabrication, and commerce of products is challenged. Authors repeatedly call for the development of new proficiencies to attend to system transformations, but these so far have not been described for design and engineering. Given that the design of a product directly influences the way a value chain will be managed, building circular, globally sustainable value chains inevitably signifies a fundamental change in the practice of design. Comprehensive analyses were conducted on case studies from a variety of multinational enterprises that are transforming their product strategies for climate change. Changes in design processes were identified, revealing a growing necessity for industry to employ new proficiencies that support closure of material loops. This paper contributes to existing literature by depicting successful practices being implemented in industry. A variety of new capabilities are key to design for a sustainable future; these range from deeper knowledge of material composition to rich understanding of social behaviour. Resulting from this research, learning goals are proposed to serve as guidance for manufacturing companies seeking to tackle climate change. Conclusions aim to encourage researchers and academics to respond to emerging needs by re-thinking education in design and engineering.","author":[{"dropping-particle":"","family":"los Rios","given":"Irel Carolina","non-dropping-particle":"De","parse-names":false,"suffix":""},{"dropping-particle":"","family":"Charnley","given":"Fiona J.S.","non-dropping-particle":"","parse-names":false,"suffix":""}],"container-title":"Journal of Cleaner Production","id":"ITEM-1","issued":{"date-parts":[["2017"]]},"page":"109-122","publisher":"Elsevier Ltd","title":"Skills and capabilities for a sustainable and circular economy: The changing role of design","type":"article-journal","volume":"160"},"uris":["http://www.mendeley.com/documents/?uuid=488e3ef2-73ec-4d73-ab4f-ed82ad29e295"]}],"mendeley":{"formattedCitation":"(De los Rios and Charnley, 2017)","plainTextFormattedCitation":"(De los Rios and Charnley, 2017)","previouslyFormattedCitation":"(De los Rios and Charnley, 2017)"},"properties":{"noteIndex":0},"schema":"https://github.com/citation-style-language/schema/raw/master/csl-citation.json"}</w:instrText>
            </w:r>
            <w:r w:rsidRPr="00A04DD6">
              <w:rPr>
                <w:sz w:val="20"/>
                <w:szCs w:val="20"/>
                <w:lang w:val="en-GB"/>
              </w:rPr>
              <w:fldChar w:fldCharType="separate"/>
            </w:r>
            <w:r w:rsidR="008E630B" w:rsidRPr="00746DB3">
              <w:rPr>
                <w:noProof/>
                <w:sz w:val="20"/>
                <w:szCs w:val="20"/>
              </w:rPr>
              <w:t>(De los Rios and Charnley, 2017)</w:t>
            </w:r>
            <w:r w:rsidRPr="00A04DD6">
              <w:rPr>
                <w:sz w:val="20"/>
                <w:szCs w:val="20"/>
                <w:lang w:val="en-GB"/>
              </w:rPr>
              <w:fldChar w:fldCharType="end"/>
            </w:r>
          </w:p>
          <w:p w14:paraId="6226F55A"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{"citationItems":[{"id":"ITEM-1","itemData":{"ISSN":"2284-7995","abstract":"As a feature of the green economy, circular economy proposes the re-use\nof resources used in products whose shelf life has come to an end or\nwhich have lost their usefulness to construct new objects, the same\nquality or even better. The circular economy model may be the ideal\nsolution for relaunching sustainably the European economy which has\nsuffered in recent years (2008-2012). In the circular economy, the value\nof products, materials and resources is maintained in the economy for as\nlong as possible and the generation of waste minimised. In this paper we\nshall stress on issues of eco-innovation promoting the circular economy\nin Romania. One of the most important concepts for the new paradigm of\ncircular economy and resource efficiency improvements is the industrial\nsymbiosis, implemented in eco-innovation parks (EInvP) developed to\noptimize economic and environmental efficiency of the involved companies\nand communities. In practice using industrial synergy as an approach to\ncommercial operations - using, recovering and redirecting resources for\nreuse - means resources remain in productive use in the economy for\nlonger. We analyse here a successful good practice of industrial synergy\nin the agri-food sector implemented within the ECOREG EInvP of Suceava\nCounty. The conclusions point to the important economic, social and\nenvironmental benefits to raise awareness for regional eco-innovation\nand circular economy prospects in Romania.","author":[{"dropping-particle":"","family":"Frone","given":"Dumitru Florin","non-dropping-particle":"","parse-names":false,"suffix":""},{"dropping-particle":"","family":"Frone","given":"Simona","non-dropping-particle":"","parse-names":false,"suffix":""}],"container-title":"Scientific Papers-Series Management Economic Engineering in Agriculture and Rural Development","id":"ITEM-1","issue":"2","issued":{"date-parts":[["2017"]]},"page":"103-109","title":"Circular Economy in Romania: an Industrial Synergy in the Agri-Food Sector","type":"article-journal","volume":"17"},"uris":["http://www.mendeley.com/documents/?uuid=5e5e6d86-8a20-4d17-92d3-6b78373733f0","http://www.mendeley.com/documents/?uuid=8d913c27-a043-4a5d-b6bb-8fd95233513c"]}],"mendeley":{"formattedCitation":"(Frone and Frone, 2017a)","plainTextFormattedCitation":"(Frone and Frone, 2017a)","previouslyFormattedCitation":"(Frone and Frone, 2017a)"},"properties":{"noteIndex":0},"schema":"https://github.com/citation-style-language/schema/raw/master/csl-citation.json"}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(Frone and Frone, 2017a)</w:t>
            </w:r>
            <w:r w:rsidRPr="00A04DD6">
              <w:rPr>
                <w:sz w:val="20"/>
                <w:szCs w:val="20"/>
                <w:lang w:val="en-GB"/>
              </w:rPr>
              <w:fldChar w:fldCharType="end"/>
            </w:r>
          </w:p>
          <w:p w14:paraId="0B9F7A74"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{"citationItems":[{"id":"ITEM-1","itemData":{"ISSN":"2284-7995","abstract":"In the efforts to develop a sustainable, low carbon, resource efficient\nand competitive economy and ultimately the green economy in the European\nUnion, circular economy is an important conceptual and practical\napproach with essential contribution. Latest developments in\neco-innovation in Romania are those dedicated to implementing the\ncircular economy, as a way to increase the waste recycling and the\nresource productivity (one of the lowest in the European Union). In this\nrespect, the main objective of the paper is a theoretical and\nmethodological grounding and analysis of some concepts, trends and\nissues required for the implementation of the green economy in the EU\nand Romania, as well as for the sustainable regional economic\ndevelopment. The role of creating and developing ecoindustrial parks,\nnamely eco-innovation parks EInvP is not limited on their potential of\nincreasing the resource efficiency but also to implementing and making\nwork the new modern synergic and circular business models. In the paper\nwe shall refer to some successful and pioneering circular economy\nenterprises or industrial eco-systems working in Romania, as good\npractices and pilot projects. The conclusions and recommendations refer\nto the importance of spatial eco-innovation represented by the\nindustrial symbiosis as a high form of circular economy.","author":[{"dropping-particle":"","family":"Frone","given":"Dumitru Florin","non-dropping-particle":"","parse-names":false,"suffix":""},{"dropping-particle":"","family":"Frone","given":"Simona","non-dropping-particle":"","parse-names":false,"suffix":""}],"container-title":"Scientific Papers-Series Management Economic Engineering in Agriculture and Rural Development","id":"ITEM-1","issue":"2","issued":{"date-parts":[["2017"]]},"page":"111-119","title":"Eco-Innovation Park Promoting the Green Economy in Romania","type":"article-journal","volume":"17"},"uris":["http://www.mendeley.com/documents/?uuid=32f97f12-ef0d-419f-8c71-19ba726b18fc","http://www.mendeley.com/documents/?uuid=b6303076-ed86-461d-855d-6cfdb884a2b0"]}],"mendeley":{"formattedCitation":"(Frone and Frone, 2017b)","plainTextFormattedCitation":"(Frone and Frone, 2017b)","previouslyFormattedCitation":"(Frone and Frone, 2017b)"},"properties":{"noteIndex":0},"schema":"https://github.com/citation-style-language/schema/raw/master/csl-citation.json"}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(Frone and Frone, 2017b)</w:t>
            </w:r>
            <w:r w:rsidRPr="00A04DD6">
              <w:rPr>
                <w:sz w:val="20"/>
                <w:szCs w:val="20"/>
                <w:lang w:val="en-GB"/>
              </w:rPr>
              <w:fldChar w:fldCharType="end"/>
            </w:r>
          </w:p>
          <w:p w14:paraId="0029782E" w14:textId="6CAE8824"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{"citationItems":[{"id":"ITEM-1","itemData":{"DOI":"10.1002/bbb","ISBN":"1932-104X","ISSN":"1932104X","PMID":"2571","abstract":"Together with 106 farmers who started growing Jatropha (Jatropha curcas\\nL.) in 20042006, this research sought to increase the knowledge around\\nthe real-life experience of Jatropha farming in the southern India\\nstates of Tamil Nadu and Andhra Pradesh. Launched as an alternative for\\ndiesel in India, Jatropha has been promoted as a non-edible plant that\\ncould grow on poor soils, yield oil-rich seeds for production of\\nbio-diesel, and not compete directly with food production. Through\\ninterviews with the farmers, information was gathered regarding their\\nsocio-economic situation, the implementation and performance of their\\nJatropha plantations, and their reasons for continuing or discontinuing\\nJatropha cultivation. Results reveal that 82% of the farmers had\\nsubstituted former cropland for their Jatropha cultivation. By 2010,\\n85% (n = 90) of the farmers who cultivated Jatropha in 2004 had\\nstopped. Cultivating the crop did not give the economic returns the\\nfarmers anticipated, mainly due to a lack of information about the crop\\nand its maintenance during cultivation and due to water scarcity. A\\nmajority of the farmers irrigated and applied fertilizer, and even\\npesticides. Many problems experienced by the farmers were due to limited\\nknowledge about cultivating Jatropha caused by poor planning and\\nimplementation of the national Jatropha program. Extension services,\\nsubsidies, and other support were not provided as promised. The farmers\\nwho continued cultivation had means of income other than Jatropha and\\nheld hopes of a future Jatropha market. The lack of market structures,\\nsuch as purchase agreements and buyers, as well as a low retail price\\nfor the seeds, were frequently stated as barriers to Jatropha\\ncultivation. For Jatropha biodiesel to perform well, efforts are needed\\nto improve yield levels and stability through genetic improvements and\\ndrought tolerance, as well as agriculture extension services to support\\nadoption of the crop. Government programs will -probably be more\\neffective if implementing biodiesel production is conjoined with\\nstimulating the demand for Jatropha biodiesel. To avoid food-biofuel\\ncompetition, additional measures may be needed such as land-use\\nrestrictions for Jatropha producers and taxes on biofuels or biofuel\\nfeedstocks to improve the competitiveness of the food sector compared to\\nthe bioenergy sector. (c) 2012 Society of Chemical Industry and John\\nWiley &amp; Sons, Ltd","author":[{"dropping-particle":"","family":"Jagger","given":"Anna","non-dropping-particle":"","parse-names":false,"suffix":""}],"container-title":"Biofuels, Bioproducts &amp; Biorefining","id":"ITEM-1","issue":"3","issued":{"date-parts":[["2016"]]},"page":"202-203","title":"A circular economy: combined food and power projects","type":"article-journal","volume":"10"},"uris":["http://www.mendeley.com/documents/?uuid=55af513f-595b-4558-8ee9-f75025996077"]}],"mendeley":{"formattedCitation":"(Jagger, 2016)","plainTextFormattedCitation":"(Jagger, 2016)","previouslyFormattedCitation":"(Jagger,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(Jagger, 2016)</w:t>
            </w:r>
            <w:r w:rsidRPr="00A04DD6">
              <w:rPr>
                <w:sz w:val="20"/>
                <w:szCs w:val="20"/>
                <w:lang w:val="en-GB"/>
              </w:rPr>
              <w:fldChar w:fldCharType="end"/>
            </w:r>
          </w:p>
          <w:p w14:paraId="51F42D7D"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{"citationItems":[{"id":"ITEM-1","itemData":{"DOI":"10.1016/j.energy.2009.04.021","ISBN":"0360-5442","ISSN":"03605442","abstract":"Since energy consumption in process industries accounts for a great proportion of China's total energy consumption, energy conservation becomes the practical choice to reduce the conflict between energy demand and energy supply in China, and therefore, promoting energy conservation is the long-term solution to China's energy and environment problems from the source. In this paper, based on the introduction of the concept of energy consumption status in China's key energy-consuming process industries, the main technical bottlenecks and resource-environment problems were analyzed with special emphasis on energy utilization efficiency, energy consumption mode, and waste emission. As for the measures to resolve these problems, at the policy level, policies and programs of Chinese government related to energy conservation were introduced in combination with China's circular economy structure. At the technical level, the key technologies and research progress to improve energy utilization efficiency, reducing energy consumption, as well as utilizing the resource of discharged wastes were reviewed. Finally, three typical cases of the development of circular economy at three levels, namely the chemical industry, metallurgical industry, and electric power industry, were studied for the enforcement of circular economy and energy conservation in China's process industries. © 2009.","author":[{"dropping-particle":"","family":"Li","given":"Huiquan","non-dropping-particle":"","parse-names":false,"suffix":""},{"dropping-particle":"","family":"Bao","given":"Weijun","non-dropping-particle":"","parse-names":false,"suffix":""},{"dropping-particle":"","family":"Xiu","given":"Caihong","non-dropping-particle":"","parse-names":false,"suffix":""},{"dropping-particle":"","family":"Zhang","given":"Yi","non-dropping-particle":"","parse-names":false,"suffix":""},{"dropping-particle":"","family":"Xu","given":"Hongbin","non-dropping-particle":"","parse-names":false,"suffix":""}],"container-title":"Energy","id":"ITEM-1","issue":"11","issued":{"date-parts":[["2010"]]},"page":"4273-4281","publisher":"Elsevier Ltd","title":"Energy conservation and circular economy in China's process industries","type":"article-journal","volume":"35"},"uris":["http://www.mendeley.com/documents/?uuid=5659d002-9630-45d5-9d8a-f3da34ec219b","http://www.mendeley.com/documents/?uuid=e2d0a539-1eb0-4bc9-a3a4-c4c7d82e5864"]}],"mendeley":{"formattedCitation":"(Li et al., 2010)","plainTextFormattedCitation":"(Li et al., 2010)","previouslyFormattedCitation":"(Li et al., 2010)"},"properties":{"noteIndex":0},"schema":"https://github.com/citation-style-language/schema/raw/master/csl-citation.json"}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(Li et al., 2010)</w:t>
            </w:r>
            <w:r w:rsidRPr="00A04DD6">
              <w:rPr>
                <w:sz w:val="20"/>
                <w:szCs w:val="20"/>
                <w:lang w:val="en-GB"/>
              </w:rPr>
              <w:fldChar w:fldCharType="end"/>
            </w:r>
          </w:p>
          <w:p w14:paraId="1F81F7C5"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{"citationItems":[{"id":"ITEM-1","itemData":{"DOI":"10.1002/bse.1906","ISBN":"1099-0836","ISSN":"10990836","abstract":"Circular business models based on remanufacturing and reuse promise significant cost savings as well as radical reductions in environmental impact. Variants of such business models have been suggested for decades, and there are notable success stories such as the Xerox product–service offering based on photocopiers that are remanufactured. Still, we are not seeing widespread adoption in industry. This paper examines causes for reluctance. Drawing on a hypothesis-testing framework of business model innovation, we show that circular business models imply significant challenges to proactive uncertainty reduction for the entrepreneur. Moreover, we show that many product–service system variants that facilitate return flow control in circular business models further aggravate the potential negative effects of failed uncertainty reduction because of increased capital commitments. Through a longitudinal action research study we also provide a counterexample to many of the challenges identified in previous studies, which could be overcome in the studied case. Copyright © 2015 John Wiley &amp; Sons, Ltd and ERP Environment","author":[{"dropping-particle":"","family":"Linder","given":"Marcus","non-dropping-particle":"","parse-names":false,"suffix":""},{"dropping-particle":"","family":"Williander","given":"Mats","non-dropping-particle":"","parse-names":false,"suffix":""}],"container-title":"Business Strategy and the Environment","id":"ITEM-1","issue":"2","issued":{"date-parts":[["2017"]]},"page":"182-196","title":"Circular Business Model Innovation: Inherent Uncertainties","type":"article-journal","volume":"26"},"uris":["http://www.mendeley.com/documents/?uuid=bdb7f87c-693a-4e41-94b6-7eaa593e7503","http://www.mendeley.com/documents/?uuid=fdfb012a-62da-49aa-87ee-73fa0d1e24c2"]}],"mendeley":{"formattedCitation":"(Linder and Williander, 2017)","plainTextFormattedCitation":"(Linder and Williander, 2017)","previouslyFormattedCitation":"(Linder and Williander,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(Linder and Williander, 2017)</w:t>
            </w:r>
            <w:r w:rsidRPr="00A04DD6">
              <w:rPr>
                <w:sz w:val="20"/>
                <w:szCs w:val="20"/>
                <w:lang w:val="en-GB"/>
              </w:rPr>
              <w:fldChar w:fldCharType="end"/>
            </w:r>
          </w:p>
          <w:p w14:paraId="580AFCE2" w14:textId="0C8E2C88" w:rsidR="005E0E7F" w:rsidRPr="00A04DD6" w:rsidRDefault="005E0E7F" w:rsidP="00D62E44">
            <w:pPr>
              <w:rPr>
                <w:sz w:val="20"/>
                <w:szCs w:val="20"/>
                <w:lang w:val="en-GB"/>
              </w:rPr>
            </w:pPr>
            <w:r w:rsidRPr="00A04DD6">
              <w:rPr>
                <w:sz w:val="20"/>
                <w:szCs w:val="20"/>
                <w:lang w:val="en-GB"/>
              </w:rPr>
              <w:lastRenderedPageBreak/>
              <w:fldChar w:fldCharType="begin" w:fldLock="1"/>
            </w:r>
            <w:r w:rsidR="003445CC">
              <w:rPr>
                <w:sz w:val="20"/>
                <w:szCs w:val="20"/>
                <w:lang w:val="en-GB"/>
              </w:rPr>
              <w:instrText>ADDIN CSL_CITATION {"citationItems":[{"id":"ITEM-1","itemData":{"DOI":"10.1016/j.procir.2016.03.027","ISSN":"22128271","abstract":"The paper concerns which sustainability-oriented Functional Products (FP) customer values companies, who also provide products and services, consider as important to communicate to customers when offering or planning to offer FP. Currently, the manufacturing industry is showing increasing interest in adding offerings based on additionally complex business models as opposed to merely offering products and services. This is considered necessary if companies are to continue to be able to innovate and stay competitive and profitable in global competition. A considerable focus is directed towards performance- or result-based business models. FP is one such business model, where the provider offers a function to customers at an agreed-upon level of availability, productivity or efficiency. FP comprise the following four main constituents: hardware, software, service support system and management of operation, which together deliver value to customers on a long-term basis. The paper proposes a set of FP sustainability-oriented customer values which are categorized according to the sustainability aspects: economic, ecological and societal, and the set is further analyzed from a regulatory and legal perspective.","author":[{"dropping-particle":"","family":"Lindström","given":"John","non-dropping-particle":"","parse-names":false,"suffix":""}],"container-title":"Procedia CIRP","id":"ITEM-1","issued":{"date-parts":[["2016"]]},"page":"16-21","publisher":"Elsevier B.V.","title":"When Moving from Products and Services towards Functional Products: Which Sustainability-oriented Customer Values are of Interest?","type":"article-journal","volume":"48"},"uris":["http://www.mendeley.com/documents/?uuid=6ebdd227-7661-40ae-8b37-4e37ec389c77","http://www.mendeley.com/documents/?uuid=a5b81c44-fa47-46fe-8118-9ae482156011"]}],"mendeley":{"formattedCitation":"(Lindström, 2016)","plainTextFormattedCitation":"(Lindström, 2016)","previouslyFormattedCitation":"(Lindström,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(Lindström, 2016)</w:t>
            </w:r>
            <w:r w:rsidRPr="00A04DD6">
              <w:rPr>
                <w:sz w:val="20"/>
                <w:szCs w:val="20"/>
                <w:lang w:val="en-GB"/>
              </w:rPr>
              <w:fldChar w:fldCharType="end"/>
            </w:r>
          </w:p>
          <w:p w14:paraId="38944C69"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{"citationItems":[{"id":"ITEM-1","itemData":{"DOI":"10.1111/j.1530-9290.2011.00332.x","ISBN":"10881980","ISSN":"10881980","abstract":"Eco-industrial initiatives, which close industrial loops by turning wastes at one point in a value chain into inputs at another point, are attracting growing interest as a solution to the problem of sustainability of industrial systems. Although Germany and Japan have made important advances in building recycling incentives into their industrial systems and sought competitive advantage from doing so, China is arguably taking the issue even further (in principle) through its pursuit of a circular economy, now enshrined in law as an official national development goal. In this article, we review a number of the eco-industrial initiatives taken in China and compare them using a common graphical representation with comparable initiatives taken in the West and elsewhere in East Asia. Our aim is to demonstrate some common themes across the case studies, such as the transformation from the former linear economy to a circular economy and the evolutionary processes in which dynamic linkages are gradually established over time. We discuss the drivers of these eco-industrial initiatives as well as the inhibitors, setting the initiatives in an evolutionary framework and introducing a notion of Pareto eco-efficiency to evaluate them. We make the argument that China might be capturing latecomer advantages through its systematic promotion of eco-industrial initiatives within a circular economy framework.","author":[{"dropping-particle":"","family":"Mathews","given":"John A.","non-dropping-particle":"","parse-names":false,"suffix":""},{"dropping-particle":"","family":"Tan","given":"Hao","non-dropping-particle":"","parse-names":false,"suffix":""}],"container-title":"Journal of Industrial Ecology","id":"ITEM-1","issue":"3","issued":{"date-parts":[["2011"]]},"page":"435-457","title":"Progress toward a circular economy in China: The drivers (and inhibitors) of eco-industrial initiative","type":"article-journal","volume":"15"},"uris":["http://www.mendeley.com/documents/?uuid=74563350-eac8-4775-890b-cf15720c8540","http://www.mendeley.com/documents/?uuid=2cb7df2e-a9a8-4734-8c1f-9bed3ce3cd1e"]}],"mendeley":{"formattedCitation":"(Mathews and Tan, 2011)","plainTextFormattedCitation":"(Mathews and Tan, 2011)","previouslyFormattedCitation":"(Mathews and Tan, 2011)"},"properties":{"noteIndex":0},"schema":"https://github.com/citation-style-language/schema/raw/master/csl-citation.json"}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(Mathews and Tan, 2011)</w:t>
            </w:r>
            <w:r w:rsidRPr="00A04DD6">
              <w:rPr>
                <w:sz w:val="20"/>
                <w:szCs w:val="20"/>
                <w:lang w:val="en-GB"/>
              </w:rPr>
              <w:fldChar w:fldCharType="end"/>
            </w:r>
          </w:p>
          <w:p w14:paraId="2C44179C"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{"citationItems":[{"id":"ITEM-1","itemData":{"DOI":"10.1016/j.jclepro.2006.01.028","ISBN":"0959-6526","ISSN":"09596526","abstract":"The Sustainable Product and/or Service Development (SPSD) approach is a pragmatic industry support encompassing a range of strategies aimed at maximising environmental and social performance in all types of \"offerings\" whether they are \"products\", \"services\" or Product Service Systems (PSS). Implementation of the approach was tested in industry and conclusions reached on the effectiveness of the strategies included in terms of developing an offering with improved sustainability performance as well as practical use as an industry approach. Two strategies incorporated are functional and systems thinking, as these are seen as key for increasing the environmental benefits of offerings. This paper summarises the SPSD approach, general industry testing results, describes how and why functional and systems strategies are incorporated in it and industry testing results relating to their use. This provides valuable information on how functional and systems related considerations can be practically and effectively included in sustainable offering development. © 2006 Elsevier Ltd. All rights reserved.","author":[{"dropping-particle":"","family":"Maxwell","given":"Dorothy","non-dropping-particle":"","parse-names":false,"suffix":""},{"dropping-particle":"","family":"Sheate","given":"William","non-dropping-particle":"","parse-names":false,"suffix":""},{"dropping-particle":"","family":"Vorst","given":"Rita","non-dropping-particle":"van der","parse-names":false,"suffix":""}],"container-title":"Journal of Cleaner Production","id":"ITEM-1","issue":"17","issued":{"date-parts":[["2006"]]},"page":"1466-1479","title":"Functional and systems aspects of the sustainable product and service development approach for industry","type":"article-journal","volume":"14"},"uris":["http://www.mendeley.com/documents/?uuid=3fcad2be-b332-4c3f-8da5-a49a5f13aa18","http://www.mendeley.com/documents/?uuid=6e472486-da9e-4c70-8ad7-61617f8915b7"]}],"mendeley":{"formattedCitation":"(Maxwell et al., 2006)","plainTextFormattedCitation":"(Maxwell et al., 2006)","previouslyFormattedCitation":"(Maxwell et al., 2006)"},"properties":{"noteIndex":0},"schema":"https://github.com/citation-style-language/schema/raw/master/csl-citation.json"}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(Maxwell et al., 2006)</w:t>
            </w:r>
            <w:r w:rsidRPr="00A04DD6">
              <w:rPr>
                <w:sz w:val="20"/>
                <w:szCs w:val="20"/>
                <w:lang w:val="en-GB"/>
              </w:rPr>
              <w:fldChar w:fldCharType="end"/>
            </w:r>
          </w:p>
          <w:p w14:paraId="4B4A8FBE" w14:textId="2290DEDE"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{"citationItems":[{"id":"ITEM-1","itemData":{"DOI":"10.1111/jiec.12590","ISSN":"15309290","abstract":"The circular economy (CE) is essential for decoupling economic growth from resource consumption and environmental impacts. However, effective implementation requires a systemic change across supply chains, involving both technological and nontechnological innovations. Frameworks are beginning to emerge to foster CE thinking in organizations. However, literature review carried out as part of this research has revealed gaps in their ability to fulfil CE requirements. Furthermore, few frameworks provide support on how CE requirements may be implemented. To address these issues, this article presents a new framework, BECE (backcasting and eco-design for the circular economy), to ensure that businesses can implement CE requirements more readily. BECE empowers organizations to tackle the CE holistically by embedding the concept into corporate decision making and by bringing operational and systems thinking together, thus increasing the likelihood of successful implementation. The potential of the BECE framework was tested through a pilot workshop focusing on the development of a CE business model through redesign of products and supply chains. Using vacuum cleaners as an illustrative case study, several product design and supply-chain alternatives were identified, including the development of scenarios and action plans for their implementation at the business level. Although the case study focuses on a particular product, the BECE framework is generic and applicable across different products and business sectors.","author":[{"dropping-particle":"","family":"Mendoza","given":"Joan Manuel F.","non-dropping-particle":"","parse-names":false,"suffix":""},{"dropping-particle":"","family":"Sharmina","given":"Maria","non-dropping-particle":"","parse-names":false,"suffix":""},{"dropping-particle":"","family":"Gallego-Schmid","given":"Alejandro","non-dropping-particle":"","parse-names":false,"suffix":""},{"dropping-particle":"","family":"Heyes","given":"Graeme","non-dropping-particle":"","parse-names":false,"suffix":""},{"dropping-particle":"","family":"Azapagic","given":"Adisa","non-dropping-particle":"","parse-names":false,"suffix":""}],"container-title":"Journal of Industrial Ecology","id":"ITEM-1","issue":"3","issued":{"date-parts":[["2017"]]},"page":"526-544","title":"Integrating Backcasting and Eco-Design for the Circular Economy: The BECE Framework","type":"article-journal","volume":"21"},"uris":["http://www.mendeley.com/documents/?uuid=0dcf7c41-0a95-49dc-83a6-fa6306310b97"]}],"mendeley":{"formattedCitation":"(Mendoza et al., 2017)","plainTextFormattedCitation":"(Mendoza et al., 2017)","previouslyFormattedCitation":"(Mendoza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(Mendoza et al., 2017)</w:t>
            </w:r>
            <w:r w:rsidRPr="00A04DD6">
              <w:rPr>
                <w:sz w:val="20"/>
                <w:szCs w:val="20"/>
                <w:lang w:val="en-GB"/>
              </w:rPr>
              <w:fldChar w:fldCharType="end"/>
            </w:r>
          </w:p>
          <w:p w14:paraId="06793E39" w14:textId="2A9D6739"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{"citationItems":[{"id":"ITEM-1","itemData":{"ISSN":"22204342","author":[{"dropping-particle":"","family":"Nystrom","given":"Thomas","non-dropping-particle":"","parse-names":false,"suffix":""},{"dropping-particle":"","family":"Svengren Holm","given":"Lisbeth","non-dropping-particle":"","parse-names":false,"suffix":""},{"dropping-particle":"","family":"Loon","given":"Patricia","non-dropping-particle":"Van","parse-names":false,"suffix":""}],"container-title":"ICED'17- 21th International Conference on Engineering Design","id":"ITEM-1","issue":"Design for X","issued":{"date-parts":[["2017"]]},"page":"269-277","publisher":"University of British Columbia","publisher-place":"Vancouver","title":"Future-Adaptability for energy and resource efficient vehicles","type":"paper-conference","volume":"5"},"uris":["http://www.mendeley.com/documents/?uuid=57231c2c-3a28-4025-a3f3-c1de0a97067f","http://www.mendeley.com/documents/?uuid=99af11dc-d5e0-4894-a9e0-96e417618190"]}],"mendeley":{"formattedCitation":"(Nystrom et al., 2017)","plainTextFormattedCitation":"(Nystrom et al., 2017)","previouslyFormattedCitation":"(Nystrom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(Nystrom et al., 2017)</w:t>
            </w:r>
            <w:r w:rsidRPr="00A04DD6">
              <w:rPr>
                <w:sz w:val="20"/>
                <w:szCs w:val="20"/>
                <w:lang w:val="en-GB"/>
              </w:rPr>
              <w:fldChar w:fldCharType="end"/>
            </w:r>
          </w:p>
          <w:p w14:paraId="7454CE25" w14:textId="7DA1FEC3"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{"citationItems":[{"id":"ITEM-1","itemData":{"DOI":"10.1016/j.procir.2017.02.047","ISBN":"22128271 (ISSN)","ISSN":"22128271","abstract":"Digital technologies have enabled the formulation of multiple Product Service-Systems (PSS) with considerable economic, environmental and societal benefits. One of the most promising paradigms, which is inspired by business models and value propositions that have already been described in the PSS literature, is the concept of Circular Economy. Circular Economy is characterized as an economy that is restorative and regenerative by design and is attracting significant attention from researchers and policy makers alike. In light of the recent proliferation of digital technologies such as Big Data and the Internet of Things, this article attempts to identify how can digital technologies support the transition to Circular Economy. This article conducted a systematic review of the literature based on a review protocol, in an effort to evaluate the application of key digital technologies in Circular Economy. The study concludes by identifying research gaps, reflecting on the application of digital technologies in the field of PSS and proposing suggestions for future research.","author":[{"dropping-particle":"","family":"Pagoropoulos","given":"Aris","non-dropping-particle":"","parse-names":false,"suffix":""},{"dropping-particle":"","family":"Pigosso","given":"Daniela C.A.","non-dropping-particle":"","parse-names":false,"suffix":""},{"dropping-particle":"","family":"McAloone","given":"Tim C.","non-dropping-particle":"","parse-names":false,"suffix":""}],"container-title":"Procedia CIRP","id":"ITEM-1","issued":{"date-parts":[["2017"]]},"page":"19-24","publisher":"The Author(s)","title":"The Emergent Role of Digital Technologies in the Circular Economy: A Review","type":"article-journal","volume":"64"},"uris":["http://www.mendeley.com/documents/?uuid=a6537701-1686-4062-8bf3-04468577418c"]}],"mendeley":{"formattedCitation":"(Pagoropoulos et al., 2017)","plainTextFormattedCitation":"(Pagoropoulos et al., 2017)","previouslyFormattedCitation":"(Pagoropoulos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(Pagoropoulos et al., 2017)</w:t>
            </w:r>
            <w:r w:rsidRPr="00A04DD6">
              <w:rPr>
                <w:sz w:val="20"/>
                <w:szCs w:val="20"/>
                <w:lang w:val="en-GB"/>
              </w:rPr>
              <w:fldChar w:fldCharType="end"/>
            </w:r>
          </w:p>
          <w:p w14:paraId="74755F8B" w14:textId="0C8B484F"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{"citationItems":[{"id":"ITEM-1","itemData":{"DOI":"10.1016/j.jclepro.2015.06.124","ISBN":"09596526","ISSN":"09596526","abstract":"To simultaneously solve the dilemma of energy demand, waste management, and greenhouse gas emission for communities globally, the waste-to-energy (WTE) supply chain as district energy system should be a viable method towards circular industrial economy. Several essential state-of-the-art WTE technologies including combustion, gasification and anaerobic digestion were evaluated. Portfolio options of technologies for different types of WTE supply chains were illustrated for achieving circular economy system. Since policy makers have to address the public concerns prior to promulgate and implement relating regulations, the strategies on implementation of WTE supply chain were proposed to overcome the challenging barriers from the aspects of technology, finance, institution and regulation. A total of eight key task-forces were also proposed for effectively executing the strategies. Furthermore, several successful lessons on WTE supply chains such as green fuel pellet for heating supply and co-digestion of organic wastes for bio-gas production around the world were reviewed and illustrated.","author":[{"dropping-particle":"","family":"Pan","given":"Shu-Yuan","non-dropping-particle":"","parse-names":false,"suffix":""},{"dropping-particle":"","family":"Du","given":"Michael Alex","non-dropping-particle":"","parse-names":false,"suffix":""},{"dropping-particle":"","family":"Huang","given":"I-Te","non-dropping-particle":"","parse-names":false,"suffix":""},{"dropping-particle":"","family":"Liu","given":"I-Hung","non-dropping-particle":"","parse-names":false,"suffix":""},{"dropping-particle":"","family":"Chang","given":"E-E","non-dropping-particle":"","parse-names":false,"suffix":""},{"dropping-particle":"","family":"Chiang","given":"Pen-Chi","non-dropping-particle":"","parse-names":false,"suffix":""}],"container-title":"Journal of Cleaner Production","id":"ITEM-1","issued":{"date-parts":[["2015"]]},"page":"409-421","publisher":"Elsevier Ltd","title":"Strategies on implementation of waste-to-energy (WTE) supply chain for circular economy system: A review","type":"article-journal","volume":"108"},"uris":["http://www.mendeley.com/documents/?uuid=07772ba1-3a7c-437e-8e9e-0052fcb53817","http://www.mendeley.com/documents/?uuid=a5fda182-6c09-4a8d-92a0-01a20737400b"]}],"mendeley":{"formattedCitation":"(Pan et al., 2015)","plainTextFormattedCitation":"(Pan et al., 2015)","previouslyFormattedCitation":"(Pan et al., 2015)"},"properties":{"noteIndex":0},"schema":"https://github.com/citation-style-language/schema/raw/master/csl-citation.json"}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(Pan et al., 2015)</w:t>
            </w:r>
            <w:r w:rsidRPr="00A04DD6">
              <w:rPr>
                <w:sz w:val="20"/>
                <w:szCs w:val="20"/>
                <w:lang w:val="en-GB"/>
              </w:rPr>
              <w:fldChar w:fldCharType="end"/>
            </w:r>
          </w:p>
          <w:p w14:paraId="55DF4C4F" w14:textId="30FD4482"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{"citationItems":[{"id":"ITEM-1","itemData":{"DOI":"10.1016/j.procir.2017.03.026","ISBN":"22128271 (ISSN)","ISSN":"22128271","abstract":"Due to ever increasing challenges faced by our global society, circular design and the idea of product-service systems (PSS) is gaining traction within businesses. However, 'predicting' the value of a future PSS solution in the early design phases is difficult, since it requires the ability to balance long term potential with short term decisions. Modelling and simulation is believed to be able to support this challenging task. A simulation framework for circular design of PSS is presented. The simulation process enables the comparison between functional and non-functional performances and their life cycle contributions depending on a defined PSS-like business model strategy. Such integrated simulation framework is intended to exploit engineering models outside their specific discipline, enabling cross-functional collaboration and help decision makers understand how a design can contribute in satisfying customer and stakeholders needs during the lifecycle of a PSS.","author":[{"dropping-particle":"","family":"Panarotto","given":"Massimo","non-dropping-particle":"","parse-names":false,"suffix":""},{"dropping-particle":"","family":"Wall","given":"Johan","non-dropping-particle":"","parse-names":false,"suffix":""},{"dropping-particle":"","family":"Larsson","given":"Tobias C.","non-dropping-particle":"","parse-names":false,"suffix":""}],"container-title":"Procedia CIRP","id":"ITEM-1","issued":{"date-parts":[["2017"]]},"page":"25-30","publisher":"The Author(s)","title":"Simulation-driven Design for Assessing Strategic Decisions in the Conceptual Design of Circular PSS Business Models","type":"article-journal","volume":"64"},"uris":["http://www.mendeley.com/documents/?uuid=a974dc47-9661-4992-b707-be9b569222db"]}],"mendeley":{"formattedCitation":"(Panarotto et al., 2017)","plainTextFormattedCitation":"(Panarotto et al., 2017)","previouslyFormattedCitation":"(Panarotto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(Panarotto et al., 2017)</w:t>
            </w:r>
            <w:r w:rsidRPr="00A04DD6">
              <w:rPr>
                <w:sz w:val="20"/>
                <w:szCs w:val="20"/>
                <w:lang w:val="en-GB"/>
              </w:rPr>
              <w:fldChar w:fldCharType="end"/>
            </w:r>
          </w:p>
          <w:p w14:paraId="727F536E" w14:textId="51463605"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{"citationItems":[{"id":"ITEM-1","itemData":{"DOI":"10.1016/j.promfg.2017.02.037","ISBN":"2351-9789","ISSN":"23519789","abstract":"In the face of growing sustainability challenges, pressure on businesses to decouple environmental impacts from growth is mounting. New sustainable business models can be a systemic driver for change in industry and the wider business innovation literature suggests that strategic design approaches can be at the heart of business model innovation. One such approach, service design, involves solving problems through a service response, which unlocks value for each stakeholder in a value chain. Nevertheless, the value of service design to sustainable business is still often overlooked. Through a literature review and five illustrative case studies this paper systematically analyses how businesses can leverage service design for sustainable business model innovation. The research highlights how service design can support sustainable business model innovation by uncovering strategic as well as operational synergies between these complementary fields.","author":[{"dropping-particle":"","family":"Prendeville","given":"Sharon","non-dropping-particle":"","parse-names":false,"suffix":""},{"dropping-particle":"","family":"Bocken","given":"Nancy M.P.","non-dropping-particle":"","parse-names":false,"suffix":""}],"container-title":"GCSM 2016 - 14th Global Conference on Sustainable Manufacturing","id":"ITEM-1","issued":{"date-parts":[["2016"]]},"page":"292-299","publisher":"Elsevier","publisher-place":"Stellenbosch, South Africa","title":"Sustainable Business Models through Service Design","type":"paper-conference"},"uris":["http://www.mendeley.com/documents/?uuid=c0370c89-21f1-4ffc-ad27-133197eb5668"]}],"mendeley":{"formattedCitation":"(Prendeville and Bocken, 2016)","plainTextFormattedCitation":"(Prendeville and Bocken, 2016)","previouslyFormattedCitation":"(Prendeville and Bocken,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(Prendeville and Bocken, 2016)</w:t>
            </w:r>
            <w:r w:rsidRPr="00A04DD6">
              <w:rPr>
                <w:sz w:val="20"/>
                <w:szCs w:val="20"/>
                <w:lang w:val="en-GB"/>
              </w:rPr>
              <w:fldChar w:fldCharType="end"/>
            </w:r>
          </w:p>
          <w:p w14:paraId="19B08FE9" w14:textId="66D58EB8"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{"citationItems":[{"id":"ITEM-1","itemData":{"DOI":"10.1016/j.procir.2017.03.034","ISBN":"22128271 (ISSN)","ISSN":"22128271","abstract":"Circular Economy (CE) is an alternative to achieve more sustainability and to improve the current economic system through the transformation of the linear and semi-circular flows to circulate ones, keeping products at a higher level of utility and for a longer period of time. Ellen McArthur Foundation (EMF) and IDEO developed a Circular Design Guide (CE toolkit) intended to support companies to apply the circular principles on their own organizations. In this context, some authors noted that the development of a product-service system (PSS) initiative can help in the transition to a CE. The aim of this paper is to evaluate the objectives of the CE Toolkit joint with a PSS methodology already existent in literature. A matrix was applied to analyse the CE toolkit versus the PSS methodology, and a Likert scale was applied to characterize the relation between each stage of the methodology and each objective of the toolkit. The most important findings are related to the absence of CE concepts and its connection to PSS in previously existent methodology, which lacks methods to support the application of it, and lacks the incentive to use recovery techniques as recycling, remanufacturing and reuse of parts on PSS. At the same time, the toolkit lacks some practical aspects of the transition to PSS, such as identifying the competitors and the definition of a very detailed list of equipment and infrastructure required for the business.","author":[{"dropping-particle":"","family":"Reigado Rodrigues","given":"Carolina","non-dropping-particle":"","parse-names":false,"suffix":""},{"dropping-particle":"","family":"Costa Fernandes","given":"Sânia","non-dropping-particle":"da","parse-names":false,"suffix":""},{"dropping-particle":"","family":"Barrera Saavedra","given":"Yovana Maria","non-dropping-particle":"","parse-names":false,"suffix":""},{"dropping-particle":"","family":"Ometto","given":"Aldo Roberto","non-dropping-particle":"","parse-names":false,"suffix":""},{"dropping-particle":"","family":"Hornos da Costa","given":"Janaina Mascarenhas","non-dropping-particle":"","parse-names":false,"suffix":""}],"container-title":"Procedia CIRP","id":"ITEM-1","issued":{"date-parts":[["2017"]]},"page":"37-42","publisher":"The Author(s)","title":"A Circular Economy Toolkit as an Alternative to Improve the Application of PSS Methodologies","type":"article-journal","volume":"64"},"uris":["http://www.mendeley.com/documents/?uuid=b7349228-1915-4353-b953-983dfcc26bbd"]}],"mendeley":{"formattedCitation":"(Reigado Rodrigues et al., 2017)","plainTextFormattedCitation":"(Reigado Rodrigues et al., 2017)","previouslyFormattedCitation":"(Reigado Rodrigues et al., 2017)"},"properties":{"noteIndex":0},"schema":"https://github.com/citation-style-language/schema/raw/master/csl-citation.json"}</w:instrText>
            </w:r>
            <w:r w:rsidRPr="00A04DD6">
              <w:rPr>
                <w:sz w:val="20"/>
                <w:szCs w:val="20"/>
                <w:lang w:val="en-GB"/>
              </w:rPr>
              <w:fldChar w:fldCharType="separate"/>
            </w:r>
            <w:r w:rsidR="008E630B" w:rsidRPr="008E630B">
              <w:rPr>
                <w:noProof/>
                <w:sz w:val="20"/>
                <w:szCs w:val="20"/>
                <w:lang w:val="en-GB"/>
              </w:rPr>
              <w:t>(Reigado Rodrigues et al., 2017)</w:t>
            </w:r>
            <w:r w:rsidRPr="00A04DD6">
              <w:rPr>
                <w:sz w:val="20"/>
                <w:szCs w:val="20"/>
                <w:lang w:val="en-GB"/>
              </w:rPr>
              <w:fldChar w:fldCharType="end"/>
            </w:r>
          </w:p>
          <w:p w14:paraId="258D9551" w14:textId="34F02861" w:rsidR="005E0E7F" w:rsidRPr="00746DB3" w:rsidRDefault="005E0E7F" w:rsidP="00D62E44">
            <w:pPr>
              <w:rPr>
                <w:sz w:val="20"/>
                <w:szCs w:val="20"/>
              </w:rPr>
            </w:pPr>
            <w:r w:rsidRPr="00A04DD6">
              <w:rPr>
                <w:sz w:val="20"/>
                <w:szCs w:val="20"/>
                <w:lang w:val="en-GB"/>
              </w:rPr>
              <w:fldChar w:fldCharType="begin" w:fldLock="1"/>
            </w:r>
            <w:r w:rsidR="003027D4">
              <w:rPr>
                <w:sz w:val="20"/>
                <w:szCs w:val="20"/>
              </w:rPr>
              <w:instrText>ADDIN CSL_CITATION {"citationItems":[{"id":"ITEM-1","itemData":{"DOI":"10.1016/j.resconrec.2017.10.031","ISBN":"09213449 (ISSN)","ISSN":"18790658","abstract":"The circular economy system represents the generation of opportunities in production chains. This is to ensure that product development can adjust to natural cycles, seeking minimization of the negative externalities of production processes. In Brazil, circular economy models are still incipient and need identification and articulation of actions that will be coordinated by companies. Starting with the endogenous characteristics of interaction and cooperation related to the composition of local arrangements, this study aims to contribute to the expansion of the circular economy in Brazil by identifying the challenges and opportunities for a furniture cluster. Methodological strategies included data triangulation using document analyses, observation of visual communication materials, and inquiry in companies of local productive arrangements of furniture. The study encompasses 23 companies specializing in wooden furniture situated in five different cities, and it uses a local furniture company as the benchmark. The results indicate the extent to which companies adhere to the strategic guidelines for a circular economy in the cluster context and identify the disposal mode and final destination for the main solid residues generated by the industries. This approach makes it possible to certify the potential for development and consolidation of the circular economy actions in the local productive arrangement.","author":[{"dropping-particle":"","family":"Ribeiro de Oliveira","given":"Fábio","non-dropping-particle":"","parse-names":false,"suffix":""},{"dropping-particle":"","family":"Braga França","given":"Sergio Luiz","non-dropping-particle":"","parse-names":false,"suffix":""},{"dropping-particle":"","family":"Duncan Rangel","given":"Luis Alberto","non-dropping-particle":"","parse-names":false,"suffix":""}],"container-title":"Resources, Conservation and Recycling","id":"ITEM-1","issued":{"date-parts":[["2018"]]},"page":"202-209","publisher":"Elsevier","title":"Challenges and opportunities in a circular economy for a local productive arrangement of furniture in Brazil","type":"article-journal","volume":"135"},"uris":["http://www.mendeley.com/documents/?uuid=ef8a8932-ccd3-49cf-b182-e04e2390fcd9","http://www.mendeley.com/documents/?uuid=a750476c-3210-4100-9aec-937892f1cffa"]}],"mendeley":{"formattedCitation":"(Ribeiro de Oliveira et al., 2018)","plainTextFormattedCitation":"(Ribeiro de Oliveira et al., 2018)","previouslyFormattedCitation":"(Ribeiro de Oliveira et al., 2018)"},"properties":{"noteIndex":0},"schema":"https://github.com/citation-style-language/schema/raw/master/csl-citation.json"}</w:instrText>
            </w:r>
            <w:r w:rsidRPr="00A04DD6">
              <w:rPr>
                <w:sz w:val="20"/>
                <w:szCs w:val="20"/>
                <w:lang w:val="en-GB"/>
              </w:rPr>
              <w:fldChar w:fldCharType="separate"/>
            </w:r>
            <w:r w:rsidR="003445CC" w:rsidRPr="003445CC">
              <w:rPr>
                <w:noProof/>
                <w:sz w:val="20"/>
                <w:szCs w:val="20"/>
              </w:rPr>
              <w:t>(Ribeiro de Oliveira et al., 2018)</w:t>
            </w:r>
            <w:r w:rsidRPr="00A04DD6">
              <w:rPr>
                <w:sz w:val="20"/>
                <w:szCs w:val="20"/>
                <w:lang w:val="en-GB"/>
              </w:rPr>
              <w:fldChar w:fldCharType="end"/>
            </w:r>
          </w:p>
          <w:p w14:paraId="43A61CB1" w14:textId="47D40FCF" w:rsidR="005E0E7F" w:rsidRPr="00746DB3" w:rsidRDefault="005E0E7F" w:rsidP="00D62E44">
            <w:pPr>
              <w:rPr>
                <w:sz w:val="20"/>
                <w:szCs w:val="20"/>
              </w:rPr>
            </w:pPr>
            <w:r w:rsidRPr="00A04DD6">
              <w:rPr>
                <w:sz w:val="20"/>
                <w:szCs w:val="20"/>
                <w:lang w:val="en-GB"/>
              </w:rPr>
              <w:fldChar w:fldCharType="begin" w:fldLock="1"/>
            </w:r>
            <w:r w:rsidR="003445CC">
              <w:rPr>
                <w:sz w:val="20"/>
                <w:szCs w:val="20"/>
                <w:lang w:val="en-GB"/>
              </w:rPr>
              <w:instrText>ADDIN CSL_CITATION {"citationItems":[{"id":"ITEM-1","itemData":{"DOI":"10.1007/978-3-642-16327-2","ISBN":"3642163262 | 9783642163265","ISSN":"18684238","abstract":"Information and Communication Technologies (ICT) have made significant contributions to business innovation and wealth generation for organisations, societies and nations. ICT have also made significant contributions to environmental degradation. Confronted by the necessity to respond to growing environmental concerns in society, regulatory imperatives and market pressure, many business leaders express uncertainty about how best to proceed. The challenges of environmental sustainability are particularly acute for small and medium enterprises (SMEs) due to their limited capabilities to initiate significant change without external assistance. With a track record of investigating diverse aspects of Information and Communications Technology (ICT) applications and practices in organizations, Information Systems (IS) researchers appear well placed to provide such assistance. Unfortunately, IS researchers have failed to engage with environmental sustainability of ICT as either a problem requiring resolution or as an opportunity to present innovative solutions.This paper aims to facilitate development of SME business practice in the environmental sustainability of ICT and promotion of an industry-relevant IS research agenda. Contributions are: identification and categorization of a diversity of literature sources to inform SMEs on the topic; proposal of a stages of development framework for building SME capabilities in ICT environmental sustainability based on current literature and a case study of leading SME practice; and proposal of an industry-relevant IS research agenda. Implications of the framework for SMEs and for IS research are discussed.","author</w:instrText>
            </w:r>
            <w:r w:rsidR="003445CC" w:rsidRPr="00EE64F6">
              <w:rPr>
                <w:sz w:val="20"/>
                <w:szCs w:val="20"/>
              </w:rPr>
              <w:instrText>":[{"dropping-particle":"","family":"Romero","given":"David","non-dropping-particle":"","parse-names":false,"suffix":""},{"dropping-particle":"","family":"Molina","given":"Arturo","non-dropping-particle":"","parse-names":false,"suffix":""}],"container-title":"Collaborative Networks in the Internet of Services - 13th IFIP WG 3.5 Working Conference on Virtual Enterprises, PRO-VE 2012","edition":"IFIP AICT","editor":[{"dropping-particle":"","family":"Camarinha-Matos","given":"Luis M.","non-dropping-particle":"","parse-names":false,"suffix":""},{"dropping-particle":"","family":"Xu","given":"Lai","non-dropping-particle":"","parse-names":false,"suffix":""},{"dropping-particle":"","family":"Afsarmanesh","given":"Hamideh","non-dropping-particle":"","parse-names":false,"suffix":""}],"id":"ITEM-1","issued":{"date-parts":[["2012"]]},"page":"427-436","publisher":"IFIP International Federation for Information Processing 2012","publisher-place":"Bournemouth, UK","title":"Green Virtual Enterprise Breeding Environments: A Sustainable Industrial Development Model for a Circular Economy","type":"paper-conference"},"uris":["http://www.mendeley.com/documents/?uuid=b3e10d25-bc44-4649-afc2-8005b786d642"]}],"mendeley":{"formattedCitation":"(Romero and Molina, 2012)","plainTextFormattedCitation":"(Romero and Molina, 2012)","previouslyFormattedCitation":"(Romero and Molina, 2012)"},"properties":{"noteIndex":0},"schema":"https://github.com/citation-style-language/schema/raw/master/csl-citation.json"}</w:instrText>
            </w:r>
            <w:r w:rsidRPr="00A04DD6">
              <w:rPr>
                <w:sz w:val="20"/>
                <w:szCs w:val="20"/>
                <w:lang w:val="en-GB"/>
              </w:rPr>
              <w:fldChar w:fldCharType="separate"/>
            </w:r>
            <w:r w:rsidRPr="00746DB3">
              <w:rPr>
                <w:noProof/>
                <w:sz w:val="20"/>
                <w:szCs w:val="20"/>
              </w:rPr>
              <w:t>(Romero and Molina, 2012)</w:t>
            </w:r>
            <w:r w:rsidRPr="00A04DD6">
              <w:rPr>
                <w:sz w:val="20"/>
                <w:szCs w:val="20"/>
                <w:lang w:val="en-GB"/>
              </w:rPr>
              <w:fldChar w:fldCharType="end"/>
            </w:r>
          </w:p>
          <w:p w14:paraId="56A78B17" w14:textId="6891EF64"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{"citationItems":[{"id":"ITEM-1","itemData":{"DOI":"10.1016/j.procir.2017.03.133","ISBN":"22128271 (ISSN)","ISSN":"22128271","abstract":"Circular Lean Product-Service Systems (CLPSSs) are a new type of PSS, a combination of a tangible circular product with intangible value-added service elements, and its related supporting closed-loop networks and infrastructure. CLPSSs can lead to dematerialization through reducing the creation of waste in manufacturing and services operations, and the consumption of virgin materials, thanks to a restorative and regenerative operational system by design that can satisfy customers' needs, decouple economic growth from environmental impact and create new revenue streams out of extending the residual value of products. This paper aims to demonstrate the compatibility of circular economy and lean principles in the context of PSSs and contribute to their integration in order to create customer-oriented solutions that minimize resources consumption and enhance the ultimate value-added to the end-user.","author":[{"dropping-particle":"","family":"Romero","given":"David","non-dropping-particle":"","parse-names":false,"suffix":""},{"dropping-particle":"","family":"Rossi","given":"Monica","non-dropping-particle":"","parse-names":false,"suffix":""}],"container-title":"Procedia CIRP","id":"ITEM-1","issued":{"date-parts":[["2017"]]},"page":"13-18","publisher":"The Author(s)","title":"Towards Circular Lean Product-Service Systems","type":"article-journal","volume":"64"},"uris":["http://www.mendeley.com/documents/?uuid=2302cd52-3606-4c11-9cd2-e60e271edc3f"]}],"mendeley":{"formattedCitation":"(Romero and Rossi, 2017)","plainTextFormattedCitation":"(Romero and Rossi, 2017)","previouslyFormattedCitation":"(Romero and Rossi, 2017)"},"properties":{"noteIndex":0},"schema":"https://github.com/citation-style-language/schema/raw/master/csl-citation.json"}</w:instrText>
            </w:r>
            <w:r w:rsidRPr="00A04DD6">
              <w:rPr>
                <w:sz w:val="20"/>
                <w:szCs w:val="20"/>
                <w:lang w:val="en-GB"/>
              </w:rPr>
              <w:fldChar w:fldCharType="separate"/>
            </w:r>
            <w:r w:rsidRPr="00746DB3">
              <w:rPr>
                <w:noProof/>
                <w:sz w:val="20"/>
                <w:szCs w:val="20"/>
              </w:rPr>
              <w:t>(Romero and Rossi, 2017)</w:t>
            </w:r>
            <w:r w:rsidRPr="00A04DD6">
              <w:rPr>
                <w:sz w:val="20"/>
                <w:szCs w:val="20"/>
                <w:lang w:val="en-GB"/>
              </w:rPr>
              <w:fldChar w:fldCharType="end"/>
            </w:r>
          </w:p>
          <w:p w14:paraId="748FD48F" w14:textId="217E84CA"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{"citationItems":[{"id":"ITEM-1","itemData":{"DOI":"10.3390/resources3010248","ISBN":"2079-9276","ISSN":"2079-9276","abstract":"This article briefly discusses the origins and development of the business model concept resulting in a high level definition. Against this backdrop, frameworks from the literature around green business models with examples of green business models and the business model innovation process are presented. The article then discusses the origins and meaning of different “green” concepts relevant for the circular value chain concluding with a high level definition. The article finally outline the process by which a business model for a circular value chain can be developed taking into account the social dilemma that exist in these type of situations. The article concludes with the specific questions that need to be answered in order to create an appropriate business model for a circular value chain.","author":[{"dropping-particle":"","family":"Roos","given":"Göran","non-dropping-particle":"","parse-names":false,"suffix":""}],"container-title":"Resources","id":"ITEM-1","issue":"1","issued":{"date-parts":[["2014"]]},"page":"248-274","title":"Business Model Innovation to Create and Capture Resource Value in Future Circular Material Chains","type":"article-journal","volume":"3"},"uris":["http://www.mendeley.com/documents/?uuid=9b117769-3345-4e34-a6a8-2ac79a116cf3"]}],"mendeley":{"formattedCitation":"(Roos, 2014)","plainTextFormattedCitation":"(Roos, 2014)","previouslyFormattedCitation":"(Roos, 2014)"},"properties":{"noteIndex":0},"schema":"https://github.com/citation-style-language/schema/raw/master/csl-citation.json"}</w:instrText>
            </w:r>
            <w:r w:rsidRPr="00A04DD6">
              <w:rPr>
                <w:sz w:val="20"/>
                <w:szCs w:val="20"/>
                <w:lang w:val="en-GB"/>
              </w:rPr>
              <w:fldChar w:fldCharType="separate"/>
            </w:r>
            <w:r w:rsidRPr="00746DB3">
              <w:rPr>
                <w:noProof/>
                <w:sz w:val="20"/>
                <w:szCs w:val="20"/>
              </w:rPr>
              <w:t>(Roos, 2014)</w:t>
            </w:r>
            <w:r w:rsidRPr="00A04DD6">
              <w:rPr>
                <w:sz w:val="20"/>
                <w:szCs w:val="20"/>
                <w:lang w:val="en-GB"/>
              </w:rPr>
              <w:fldChar w:fldCharType="end"/>
            </w:r>
          </w:p>
          <w:p w14:paraId="4CDA5EAB" w14:textId="5B2F591E"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{"citationItems":[{"id":"ITEM-1","itemData":{"DOI":"10.1016/j.indmarman.2016.07.001","ISBN":"0169-5347","ISSN":"00198501","PMID":"21227342","abstract":"This paper questions the assumption in much of the marketing and product-service literature that products can be treated as stable platforms for the delivery of services. Instead, it uses the notion of the product biography to argue that products are chronically unstable, both physically and institutionally, and focusses on the managerial and institutional effort required to temporarily stabilise and qualify products for exchange or service value-creation. The context of the circular economy, which presents particularly acute challenges of qualification, is used to stimulate insights into how the product biography approach can inform the servitization debate. In particular, the circular economy perspective emphasises the need to see products as qualified by and constitutive of a distributed network, rather than defined once and for all by their producer, and points to entrepreneurial opportunity in the moments of transition between singularised, unique specimens and general, commodified, manageable objects – and vice versa. The wider and multiple product biographies occasioned by the circular economy also lead to reconfiguration of networks, as new potential valuations give rise to new entrepreneurial spaces.","author":[{"dropping-particle":"","family":"Spring","given":"Martin","non-dropping-particle":"","parse-names":false,"suffix":""},{"dropping-particle":"","family":"Araujo","given":"Luis","non-dropping-particle":"","parse-names":false,"suffix":""}],"container-title":"Industrial Marketing Management","id":"ITEM-1","issued":{"date-parts":[["2017"]]},"page":"126-137","publisher":"Elsevier Inc.","title":"Product biographies in servitization and the circular economy","type":"article-journal","volume":"60"},"uris":["http://www.mendeley.com/documents/?uuid=a78a9b8b-7a06-4473-b224-2e106e567f8d"]}],"mendeley":{"formattedCitation":"(Spring and Araujo, 2017)","plainTextFormattedCitation":"(Spring and Araujo, 2017)","previouslyFormattedCitation":"(Spring and Araujo, 2017)"},"properties":{"noteIndex":0},"schema":"https://github.com/citation-style-language/schema/raw/master/csl-citation.json"}</w:instrText>
            </w:r>
            <w:r w:rsidRPr="00A04DD6">
              <w:rPr>
                <w:sz w:val="20"/>
                <w:szCs w:val="20"/>
                <w:lang w:val="en-GB"/>
              </w:rPr>
              <w:fldChar w:fldCharType="separate"/>
            </w:r>
            <w:r w:rsidR="008E630B" w:rsidRPr="00746DB3">
              <w:rPr>
                <w:noProof/>
                <w:sz w:val="20"/>
                <w:szCs w:val="20"/>
              </w:rPr>
              <w:t>(Spring and Araujo, 2017)</w:t>
            </w:r>
            <w:r w:rsidRPr="00A04DD6">
              <w:rPr>
                <w:sz w:val="20"/>
                <w:szCs w:val="20"/>
                <w:lang w:val="en-GB"/>
              </w:rPr>
              <w:fldChar w:fldCharType="end"/>
            </w:r>
          </w:p>
          <w:p w14:paraId="706EB589" w14:textId="25F7A43A"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{"citationItems":[{"id":"ITEM-1","itemData":{"DOI":"10.1007/s13243-017-0031-9","ISSN":"22104690","abstract":"Eco-efficient Value Creation is a method to analyse innovative product and service design together with circular business strategies. The method is based on combined analyses of the costs, market value (perceived customer value) and eco-costs. This provides a prevention-based single indicator for ‘external environmental costs’ in LCA. The remanufacturing of products is an environmental and sustainable approach, in the circular economy, and can deliver lower eco-costs of materials depletion and pollution. From a business point of view, however, remanufacturing seems to be viable in B2B niche markets only. In consumer markets, remanufacturing is less common. The question is how can remanufacturing become a viable business solution for mainstream consumer markets. Traditional ‘green’ marketing approaches are not enough: green has a positive, but also negative connotations, so marketing approaches are complex. By using the Eco-efficient Value Creation method, marketing strategies for the roll-out of remanufacturing in mainstream consumer markets, can be revealed. This approach has led to the development of five aspects, which are key to innovative circular business models, for remanufacturing: (1) buyers differ from the buyers of the ‘new product’ (2) quality must be emphasised in all communications (3) risk must be taken away from the buyer (4) top level service is required to convince the buyer (5) a ‘green’ brand may support the remanufactured product image. © 2017 Springer Science+Business Media Dordrecht","author":[{"dropping-particle":"","family":"Vogtländer","given":"Joost G.","non-dropping-particle":"","parse-names":false,"suffix":""},{"dropping-particle":"","family":"Scheepens","given":"Arno E.","non-dropping-particle":"","parse-names":false,"suffix":""},{"dropping-particle":"","family":"Bocken","given":"Nancy M.P.","non-dropping-particle":"","parse-names":false,"suffix":""},{"dropping-particle":"","family":"Peck","given":"David","non-dropping-particle":"","parse-names":false,"suffix":""}],"container-title":"Journal of Remanufacturing","id":"ITEM-1","issue":"1","issued":{"date-parts":[["2017"]]},"page":"1-17","publisher":"Journal of Remanufacturing","title":"Combined analyses of costs, market value and eco-costs in circular business models: eco-efficient value creation in remanufacturing","type":"article-journal","volume":"7"},"uris":["http://www.mendeley.com/documents/?uuid=2cb5d35c-d5ac-42d8-beb3-abbd4bd63095"]}],"mendeley":{"formattedCitation":"(Vogtländer et al., 2017)","plainTextFormattedCitation":"(Vogtländer et al., 2017)","previouslyFormattedCitation":"(Vogtländer et al., 2017)"},"properties":{"noteIndex":0},"schema":"https://github.com/citation-style-language/schema/raw/master/csl-citation.json"}</w:instrText>
            </w:r>
            <w:r w:rsidRPr="00A04DD6">
              <w:rPr>
                <w:sz w:val="20"/>
                <w:szCs w:val="20"/>
                <w:lang w:val="en-GB"/>
              </w:rPr>
              <w:fldChar w:fldCharType="separate"/>
            </w:r>
            <w:r w:rsidR="008E630B" w:rsidRPr="00746DB3">
              <w:rPr>
                <w:noProof/>
                <w:sz w:val="20"/>
                <w:szCs w:val="20"/>
              </w:rPr>
              <w:t>(Vogtländer et al., 2017)</w:t>
            </w:r>
            <w:r w:rsidRPr="00A04DD6">
              <w:rPr>
                <w:sz w:val="20"/>
                <w:szCs w:val="20"/>
                <w:lang w:val="en-GB"/>
              </w:rPr>
              <w:fldChar w:fldCharType="end"/>
            </w:r>
          </w:p>
          <w:p w14:paraId="62374CCB" w14:textId="13DC36F3" w:rsidR="005E0E7F" w:rsidRPr="00746DB3" w:rsidRDefault="005E0E7F" w:rsidP="00D62E44">
            <w:pPr>
              <w:rPr>
                <w:sz w:val="20"/>
                <w:szCs w:val="20"/>
              </w:rPr>
            </w:pPr>
            <w:r w:rsidRPr="00A04DD6">
              <w:rPr>
                <w:sz w:val="20"/>
                <w:szCs w:val="20"/>
                <w:lang w:val="en-GB"/>
              </w:rPr>
              <w:fldChar w:fldCharType="begin" w:fldLock="1"/>
            </w:r>
            <w:r w:rsidR="003445CC">
              <w:rPr>
                <w:sz w:val="20"/>
                <w:szCs w:val="20"/>
              </w:rPr>
              <w:instrText>ADDIN CSL_CITATION {"citationItems":[{"id":"ITEM-1","itemData":{"DOI":"10.1016/j.jclepro.2014.03.041","ISBN":"0959-6526","ISSN":"09596526","abstract":"By strengthening material metabolism among collocated enterprises in leading industrial production chains in eco-industrial parks (EIPs), an industrial symbiosis (IS) system can be constructed, which is effective in strengthening the circular economy (CE). It has become important for EIPs to quantitatively evaluate the CE performance of the production chain while also seeking specific measures that could promote resources utilization efficiency. In this paper, we combine the substance flow analysis (SFA) approach with the resource productivity (RP) indicator to evaluate the contribution of IS to the development of circular economy. Through questionnaires and field surveys of key enterprises in Suzhou New District (SND), a substance flow analysis and resource productivity indicator were developed for core materials (copper, water and energy) in printed circuit boards (PCB) production under the excluding waste utilization scenario and including waste utilization scenario. The results show that the RPCuof chain from electrolytic copper production enterprises (ECPE) to electrolytic copper foil production enterprises is respectively 21.38 and 23.15 thousand yuan per ton, from ECPE to copper clad laminate (CCL) production enterprises is respectively 64.15 and 71.32 thousand yuan per ton, and from ECPE to PCB production enterprises is respectively 176.47and 211.21 thousand yuan per ton under the two scenarios. RP is enhanced by prolonging the industrial production chain and the RP under the excluding waste utilization scenario is higher than the including waste utilization scenario for the same chain, which can be achieved through greater IS. Finally we propose further implications on developing CE in EIPs.","author":[{"dropping-particle":"","family":"Wen","given":"Zong-guo","non-dropping-particle":"","parse-names":false,"suffix":""},{"dropping-particle":"","family":"Meng","given":"Xiaoyan","non-dropping-particle":"","parse-names":false,"suffix":""}],"container-title":"Journal of Cleaner Production","id":"ITEM-1","issued":{"date-parts":[["2015"]]},"page":"211-219","publisher":"Elsevier Ltd","title":"Quantitative assessment of industrial symbiosis for the promotion of circular economy: A case study of the printed circuit boards industry in China's Suzhou New District","type":"article-journal","volume":"90"},"uris":["http://www.mendeley.com/documents/?uuid=0e0f4ff5-600d-457e-9d6f-06443d62f990","http://www.mendeley.com/documents/?uuid=a337ba4c-fcf8-4f95-a22f-631ebee08be2"]}],"mendeley":{"formattedCitation":"(Wen and Meng, 2015)","plainTextFormattedCitation":"(Wen and Meng, 2015)","previouslyFormattedCitation":"(Wen and Meng, 2015)"},"properties":{"noteIndex":0},"schema":"https://github.com/citation-style-language/schema/raw/master/csl-citation.json"}</w:instrText>
            </w:r>
            <w:r w:rsidRPr="00A04DD6">
              <w:rPr>
                <w:sz w:val="20"/>
                <w:szCs w:val="20"/>
                <w:lang w:val="en-GB"/>
              </w:rPr>
              <w:fldChar w:fldCharType="separate"/>
            </w:r>
            <w:r w:rsidRPr="00746DB3">
              <w:rPr>
                <w:noProof/>
                <w:sz w:val="20"/>
                <w:szCs w:val="20"/>
              </w:rPr>
              <w:t>(Wen and Meng, 2015)</w:t>
            </w:r>
            <w:r w:rsidRPr="00A04DD6">
              <w:rPr>
                <w:sz w:val="20"/>
                <w:szCs w:val="20"/>
                <w:lang w:val="en-GB"/>
              </w:rPr>
              <w:fldChar w:fldCharType="end"/>
            </w:r>
          </w:p>
          <w:p w14:paraId="7E89E3AE" w14:textId="43327A9E"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{"citationItems":[{"id":"ITEM-1","itemData":{"author":[{"dropping-particle":"","family":"Yazan","given":"Devrim Murat","non-dropping-particle":"","parse-names":false,"suffix":""},{"dropping-particle":"","family":"Cafagna","given":"D.","non-dropping-particle":"","parse-names":false,"suffix":""},{"dropping-particle":"","family":"Mes","given":"M.","non-dropping-particle":"","parse-names":false,"suffix":""},{"dropping-particle":"","family":"Fraccascia","given":"Luca","non-dropping-particle":"","parse-names":false,"suffix":""},{"dropping-particle":"","family":"Pontrandolfo","given":"P.","non-dropping-particle":"","parse-names":false,"suffix":""},{"dropping-particle":"","family":"Zijm","given":"H.","non-dropping-particle":"","parse-names":false,"suffix":""}],"container-title":"4th GIN Conference 2015","id":"ITEM-1","issued":{"date-parts":[["2015"]]},"page":"1-24","title":"Economic sustainability of biogas production from animal manure: A regional circular economy model","type":"paper-conference"},"uris":["http://www.mendeley.com/documents/?uuid=6d313a50-5228-4ea1-8eb9-0b6d9bc5f24d"]}],"mendeley":{"formattedCitation":"(Yazan et al., 2015)","plainTextFormattedCitation":"(Yazan et al., 2015)","previouslyFormattedCitation":"(Yazan et al., 2015)"},"properties":{"noteIndex":0},"schema":"https://github.com/citation-style-language/schema/raw/master/csl-citation.json"}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(Yazan et al., 2015)</w:t>
            </w:r>
            <w:r w:rsidRPr="00A04DD6">
              <w:rPr>
                <w:sz w:val="20"/>
                <w:szCs w:val="20"/>
                <w:lang w:val="en-GB"/>
              </w:rPr>
              <w:fldChar w:fldCharType="end"/>
            </w:r>
          </w:p>
          <w:p w14:paraId="0AF0858C" w14:textId="393C8DF9"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{"citationItems":[{"id":"ITEM-1","itemData":{"DOI":"10.1016/j.jclepro.2016.10.093","ISBN":"09596526 (ISSN)","ISSN":"09596526","abstract":"An eco-industrial park is the practical application of sustainable supply chain management at an industrial park level. As the external sustainability of the supply chain becomes more difficult, integrating the circular economy concept into supply chain management is required to achieve an optimal balance of economic, social, and environmental benefits for a company. Based on institutional theory, we construct a concept model according to the paradigm of “institution-conduct-performance.” We then test the mechanism and relationships among institutional pressure, supply chain relationship management, sustainable supply chain design, and circular economy capability using data collected from eco-industrial park firms in China via 363 questionnaires. The findings show that institutional pressure has a significant positive impact on supply chain relationship management and sustainable supply chain design; sustainable supply chain management practice is an important factor promoting the improvement of the circular economy capability of companies, and coercive pressure, normative pressure, and mimetic pressure exert different degrees of negative moderating effects. This study expands our knowledge of variables affecting sustainable supply chain management and also provides theoretical guidance for successful green production practices of eco-industrial park firms.","author":[{"dropping-particle":"","family":"Zeng","given":"Huixiang","non-dropping-particle":"","parse-names":false,"suffix":""},{"dropping-particle":"","family":"Chen","given":"Xiaohong","non-dropping-particle":"","parse-names":false,"suffix":""},{"dropping-particle":"","family":"Xiao","given":"Xu","non-dropping-particle":"","parse-names":false,"suffix":""},{"dropping-particle":"","family":"Zhou","given":"Zhifang","non-dropping-particle":"","parse-names":false,"suffix":""}],"container-title":"Journal of Cleaner Production","id":"ITEM-1","issued":{"date-parts":[["2017"]]},"page":"54-65","publisher":"Elsevier Ltd","title":"Institutional pressures, sustainable supply chain management, and circular economy capability: Empirical evidence from Chinese eco-industrial park firms","type":"article-journal","volume":"155"},"uris":["http://www.mendeley.com/documents/?uuid=3fb02b56-9630-47b5-a887-b9496479a02b","http://www.mendeley.com/documents/?uuid=5ef6b80f-7fa5-4de0-be8b-34605ff5da23"]}],"mendeley":{"formattedCitation":"(Zeng et al., 2017)","plainTextFormattedCitation":"(Zeng et al., 2017)","previouslyFormattedCitation":"(Zeng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(Zeng et al., 2017)</w:t>
            </w:r>
            <w:r w:rsidRPr="00A04DD6">
              <w:rPr>
                <w:sz w:val="20"/>
                <w:szCs w:val="20"/>
                <w:lang w:val="en-GB"/>
              </w:rPr>
              <w:fldChar w:fldCharType="end"/>
            </w:r>
          </w:p>
          <w:p w14:paraId="483FFEBC" w14:textId="7F13A365"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{"citationItems":[{"id":"ITEM-1","itemData":{"DOI":"10.1016/j.jclepro.2016.11.041","ISBN":"09596526","ISSN":"09596526","abstract":"With the increasing conflicts among economic growth, environmental deterioration, and resource shortage, as an effective way to achieve the sustainable development and circular economy, the eco-industrial park gradually becomes a critical research issue in the field of recycling economy. In this paper, a hybrid framework for evaluating the comprehensive benefit of eco-industrial parks from the perspective of circular economy was proposed. Firstly, the evaluation index system for eco-industrial parks was constructed by employing the grey-Delphi method according to the opinions provided by experts from relevant fields, which includes economic benefit criteria, social benefit criteria, environmental benefit criteria, ecology industry construction criteria, and management level criteria, consisting of seventeen quantitative sub-criteria and nine qualitative sub-criteria. Secondly, in order to solve complicated, uncertain and ambiguous problems under the fuzzy background, a hybrid multi-criteria decision making (MCDM) approach was put forward on the basis of superiority linguistic ratings and entropy weight method for weight determination as well as fuzzy-VIKOR for ranking alternatives. Finally, the effectiveness and practicality of the proposed hybrid MCDM approach was demonstrated through a case analysis of six representative eco-industrial parks in China, and the comprehensive benefits of six eco-industrial parks were prioritized effectively. The hybrid MCDM approach in this paper presents a great potential in evaluating and ranking the comprehensive benefits of eco-industrial parks through solving complex and ambiguous problems in a fuzzy environment and varying MCDM tools. The evaluation findings by employing the proposed MCDM approach can provide references for the construction and management of eco-industrial parks and relevant policy formulation.","author":[{"dropping-particle":"","family":"Zhao","given":"Haoran","non-dropping-particle":"","parse-names":false,"suffix":""},{"dropping-particle":"","family":"Zhao","given":"Huiru","non-dropping-particle":"","parse-names":false,"suffix":""},{"dropping-particle":"","family":"Guo","given":"Sen","non-dropping-particle":"","parse-names":false,"suffix":""}],"container-title":"Journal of Cleaner Production","id":"ITEM-1","issued":{"date-parts":[["2017"]]},"page":"2262-2276","publisher":"Elsevier Ltd","title":"Evaluating the comprehensive benefit of eco-industrial parks by employing multi-criteria decision making approach for circular economy","type":"article-journal","volume":"142"},"uris":["http://www.mendeley.com/documents/?uuid=011da03e-e862-4084-b82c-9c36c0210050"]}],"mendeley":{"formattedCitation":"(Zhao et al., 2017)","plainTextFormattedCitation":"(Zhao et al., 2017)","previouslyFormattedCitation":"(Zhao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(Zhao et al., 2017)</w:t>
            </w:r>
            <w:r w:rsidRPr="00A04DD6">
              <w:rPr>
                <w:sz w:val="20"/>
                <w:szCs w:val="20"/>
                <w:lang w:val="en-GB"/>
              </w:rPr>
              <w:fldChar w:fldCharType="end"/>
            </w:r>
            <w:r w:rsidRPr="00A04DD6">
              <w:rPr>
                <w:sz w:val="20"/>
                <w:szCs w:val="20"/>
                <w:lang w:val="en-GB"/>
              </w:rPr>
              <w:t xml:space="preserve"> </w:t>
            </w:r>
          </w:p>
        </w:tc>
        <w:tc>
          <w:tcPr>
            <w:tcW w:w="1728" w:type="pct"/>
          </w:tcPr>
          <w:p w14:paraId="5A1C58F3" w14:textId="4255FD8C" w:rsidR="005E0E7F" w:rsidRPr="00A04DD6" w:rsidRDefault="00377A50" w:rsidP="00D62E44">
            <w:pPr>
              <w:jc w:val="center"/>
              <w:rPr>
                <w:sz w:val="20"/>
                <w:szCs w:val="20"/>
                <w:lang w:val="en-GB"/>
              </w:rPr>
            </w:pPr>
            <w:r w:rsidRPr="00A04DD6">
              <w:rPr>
                <w:sz w:val="20"/>
                <w:szCs w:val="20"/>
                <w:lang w:val="en-GB"/>
              </w:rPr>
              <w:lastRenderedPageBreak/>
              <w:t>x</w:t>
            </w:r>
          </w:p>
          <w:p w14:paraId="0C8D3647" w14:textId="4D2870E0" w:rsidR="005E0E7F" w:rsidRPr="00A04DD6" w:rsidRDefault="00377A50" w:rsidP="00D62E44">
            <w:pPr>
              <w:jc w:val="center"/>
              <w:rPr>
                <w:sz w:val="20"/>
                <w:szCs w:val="20"/>
                <w:lang w:val="en-GB"/>
              </w:rPr>
            </w:pPr>
            <w:r w:rsidRPr="00A04DD6">
              <w:rPr>
                <w:sz w:val="20"/>
                <w:szCs w:val="20"/>
                <w:lang w:val="en-GB"/>
              </w:rPr>
              <w:t>x</w:t>
            </w:r>
          </w:p>
          <w:p w14:paraId="2067E6A9" w14:textId="77777777" w:rsidR="005E0E7F" w:rsidRPr="00A04DD6" w:rsidRDefault="005E0E7F" w:rsidP="00D62E44">
            <w:pPr>
              <w:jc w:val="center"/>
              <w:rPr>
                <w:sz w:val="20"/>
                <w:szCs w:val="20"/>
                <w:lang w:val="en-GB"/>
              </w:rPr>
            </w:pPr>
          </w:p>
          <w:p w14:paraId="4D08A2F5" w14:textId="5F7A50AF" w:rsidR="005E0E7F" w:rsidRPr="00A04DD6" w:rsidRDefault="00377A50" w:rsidP="00D62E44">
            <w:pPr>
              <w:jc w:val="center"/>
              <w:rPr>
                <w:sz w:val="20"/>
                <w:szCs w:val="20"/>
                <w:lang w:val="en-GB"/>
              </w:rPr>
            </w:pPr>
            <w:r w:rsidRPr="00A04DD6">
              <w:rPr>
                <w:sz w:val="20"/>
                <w:szCs w:val="20"/>
                <w:lang w:val="en-GB"/>
              </w:rPr>
              <w:t>x</w:t>
            </w:r>
          </w:p>
          <w:p w14:paraId="5F60685E" w14:textId="3B729193" w:rsidR="005E0E7F" w:rsidRPr="00A04DD6" w:rsidRDefault="00377A50" w:rsidP="00D62E44">
            <w:pPr>
              <w:jc w:val="center"/>
              <w:rPr>
                <w:sz w:val="20"/>
                <w:szCs w:val="20"/>
                <w:lang w:val="en-GB"/>
              </w:rPr>
            </w:pPr>
            <w:r w:rsidRPr="00A04DD6">
              <w:rPr>
                <w:sz w:val="20"/>
                <w:szCs w:val="20"/>
                <w:lang w:val="en-GB"/>
              </w:rPr>
              <w:t>x</w:t>
            </w:r>
          </w:p>
          <w:p w14:paraId="1090D669" w14:textId="138AC4D2" w:rsidR="005E0E7F" w:rsidRPr="00A04DD6" w:rsidRDefault="00377A50" w:rsidP="00D62E44">
            <w:pPr>
              <w:jc w:val="center"/>
              <w:rPr>
                <w:sz w:val="20"/>
                <w:szCs w:val="20"/>
                <w:lang w:val="en-GB"/>
              </w:rPr>
            </w:pPr>
            <w:r w:rsidRPr="00A04DD6">
              <w:rPr>
                <w:sz w:val="20"/>
                <w:szCs w:val="20"/>
                <w:lang w:val="en-GB"/>
              </w:rPr>
              <w:t>x</w:t>
            </w:r>
          </w:p>
          <w:p w14:paraId="1F7E4214" w14:textId="11E0559E" w:rsidR="005E0E7F" w:rsidRPr="00A04DD6" w:rsidRDefault="00377A50" w:rsidP="00D62E44">
            <w:pPr>
              <w:jc w:val="center"/>
              <w:rPr>
                <w:sz w:val="20"/>
                <w:szCs w:val="20"/>
                <w:lang w:val="en-GB"/>
              </w:rPr>
            </w:pPr>
            <w:r w:rsidRPr="00A04DD6">
              <w:rPr>
                <w:sz w:val="20"/>
                <w:szCs w:val="20"/>
                <w:lang w:val="en-GB"/>
              </w:rPr>
              <w:t>x</w:t>
            </w:r>
          </w:p>
          <w:p w14:paraId="49B9BB21" w14:textId="77777777" w:rsidR="005E0E7F" w:rsidRPr="00A04DD6" w:rsidRDefault="005E0E7F" w:rsidP="00D62E44">
            <w:pPr>
              <w:jc w:val="center"/>
              <w:rPr>
                <w:sz w:val="20"/>
                <w:szCs w:val="20"/>
                <w:lang w:val="en-GB"/>
              </w:rPr>
            </w:pPr>
          </w:p>
          <w:p w14:paraId="754CADDD" w14:textId="77777777" w:rsidR="005E0E7F" w:rsidRPr="00A04DD6" w:rsidRDefault="005E0E7F" w:rsidP="00D62E44">
            <w:pPr>
              <w:jc w:val="center"/>
              <w:rPr>
                <w:sz w:val="20"/>
                <w:szCs w:val="20"/>
                <w:lang w:val="en-GB"/>
              </w:rPr>
            </w:pPr>
          </w:p>
          <w:p w14:paraId="19B6DF10" w14:textId="6FAE89DF" w:rsidR="005E0E7F" w:rsidRPr="00A04DD6" w:rsidRDefault="00377A50" w:rsidP="00D62E44">
            <w:pPr>
              <w:jc w:val="center"/>
              <w:rPr>
                <w:sz w:val="20"/>
                <w:szCs w:val="20"/>
                <w:lang w:val="en-GB"/>
              </w:rPr>
            </w:pPr>
            <w:r w:rsidRPr="00A04DD6">
              <w:rPr>
                <w:sz w:val="20"/>
                <w:szCs w:val="20"/>
                <w:lang w:val="en-GB"/>
              </w:rPr>
              <w:t>x</w:t>
            </w:r>
          </w:p>
          <w:p w14:paraId="17983252" w14:textId="77777777" w:rsidR="005E0E7F" w:rsidRPr="00A04DD6" w:rsidRDefault="005E0E7F" w:rsidP="00D62E44">
            <w:pPr>
              <w:jc w:val="center"/>
              <w:rPr>
                <w:sz w:val="20"/>
                <w:szCs w:val="20"/>
                <w:lang w:val="en-GB"/>
              </w:rPr>
            </w:pPr>
          </w:p>
          <w:p w14:paraId="44CF2E88" w14:textId="77777777" w:rsidR="005E0E7F" w:rsidRPr="00A04DD6" w:rsidRDefault="005E0E7F" w:rsidP="00D62E44">
            <w:pPr>
              <w:jc w:val="center"/>
              <w:rPr>
                <w:sz w:val="20"/>
                <w:szCs w:val="20"/>
                <w:lang w:val="en-GB"/>
              </w:rPr>
            </w:pPr>
          </w:p>
          <w:p w14:paraId="5B3900D4" w14:textId="77777777" w:rsidR="005E0E7F" w:rsidRPr="00A04DD6" w:rsidRDefault="005E0E7F" w:rsidP="00D62E44">
            <w:pPr>
              <w:jc w:val="center"/>
              <w:rPr>
                <w:sz w:val="20"/>
                <w:szCs w:val="20"/>
                <w:lang w:val="en-GB"/>
              </w:rPr>
            </w:pPr>
          </w:p>
          <w:p w14:paraId="34E1B4A9" w14:textId="77777777" w:rsidR="005E0E7F" w:rsidRPr="00A04DD6" w:rsidRDefault="005E0E7F" w:rsidP="00D62E44">
            <w:pPr>
              <w:jc w:val="center"/>
              <w:rPr>
                <w:sz w:val="20"/>
                <w:szCs w:val="20"/>
                <w:lang w:val="en-GB"/>
              </w:rPr>
            </w:pPr>
          </w:p>
          <w:p w14:paraId="51DC8399" w14:textId="21E2B5A4" w:rsidR="005E0E7F" w:rsidRPr="00A04DD6" w:rsidRDefault="00377A50" w:rsidP="00D62E44">
            <w:pPr>
              <w:jc w:val="center"/>
              <w:rPr>
                <w:sz w:val="20"/>
                <w:szCs w:val="20"/>
                <w:lang w:val="en-GB"/>
              </w:rPr>
            </w:pPr>
            <w:r w:rsidRPr="00A04DD6">
              <w:rPr>
                <w:sz w:val="20"/>
                <w:szCs w:val="20"/>
                <w:lang w:val="en-GB"/>
              </w:rPr>
              <w:t>x</w:t>
            </w:r>
          </w:p>
          <w:p w14:paraId="13B15402" w14:textId="77777777" w:rsidR="005E0E7F" w:rsidRPr="00A04DD6" w:rsidRDefault="005E0E7F" w:rsidP="00D62E44">
            <w:pPr>
              <w:jc w:val="center"/>
              <w:rPr>
                <w:sz w:val="20"/>
                <w:szCs w:val="20"/>
                <w:lang w:val="en-GB"/>
              </w:rPr>
            </w:pPr>
          </w:p>
          <w:p w14:paraId="14F098E3" w14:textId="77777777" w:rsidR="005E0E7F" w:rsidRPr="00A04DD6" w:rsidRDefault="005E0E7F" w:rsidP="00D62E44">
            <w:pPr>
              <w:jc w:val="center"/>
              <w:rPr>
                <w:sz w:val="20"/>
                <w:szCs w:val="20"/>
                <w:lang w:val="en-GB"/>
              </w:rPr>
            </w:pPr>
          </w:p>
          <w:p w14:paraId="6D25ECDE" w14:textId="77777777" w:rsidR="005E0E7F" w:rsidRPr="00A04DD6" w:rsidRDefault="005E0E7F" w:rsidP="00D62E44">
            <w:pPr>
              <w:jc w:val="center"/>
              <w:rPr>
                <w:sz w:val="20"/>
                <w:szCs w:val="20"/>
                <w:lang w:val="en-GB"/>
              </w:rPr>
            </w:pPr>
          </w:p>
          <w:p w14:paraId="62FCE786" w14:textId="0A50FE62" w:rsidR="005E0E7F" w:rsidRPr="00A04DD6" w:rsidRDefault="00377A50" w:rsidP="00D62E44">
            <w:pPr>
              <w:jc w:val="center"/>
              <w:rPr>
                <w:sz w:val="20"/>
                <w:szCs w:val="20"/>
                <w:lang w:val="en-GB"/>
              </w:rPr>
            </w:pPr>
            <w:r w:rsidRPr="00A04DD6">
              <w:rPr>
                <w:sz w:val="20"/>
                <w:szCs w:val="20"/>
                <w:lang w:val="en-GB"/>
              </w:rPr>
              <w:t>x</w:t>
            </w:r>
          </w:p>
          <w:p w14:paraId="1B4AE8A8" w14:textId="6E9835FE" w:rsidR="005E0E7F" w:rsidRPr="00A04DD6" w:rsidRDefault="00377A50" w:rsidP="00D62E44">
            <w:pPr>
              <w:jc w:val="center"/>
              <w:rPr>
                <w:sz w:val="20"/>
                <w:szCs w:val="20"/>
                <w:lang w:val="en-GB"/>
              </w:rPr>
            </w:pPr>
            <w:r w:rsidRPr="00A04DD6">
              <w:rPr>
                <w:sz w:val="20"/>
                <w:szCs w:val="20"/>
                <w:lang w:val="en-GB"/>
              </w:rPr>
              <w:t>x</w:t>
            </w:r>
          </w:p>
          <w:p w14:paraId="23CC3ADE" w14:textId="77777777" w:rsidR="005E0E7F" w:rsidRPr="00A04DD6" w:rsidRDefault="005E0E7F" w:rsidP="00D62E44">
            <w:pPr>
              <w:jc w:val="center"/>
              <w:rPr>
                <w:sz w:val="20"/>
                <w:szCs w:val="20"/>
                <w:lang w:val="en-GB"/>
              </w:rPr>
            </w:pPr>
          </w:p>
          <w:p w14:paraId="6CFB1536" w14:textId="4D8C8B13" w:rsidR="005E0E7F" w:rsidRPr="00A04DD6" w:rsidRDefault="00377A50" w:rsidP="00D62E44">
            <w:pPr>
              <w:jc w:val="center"/>
              <w:rPr>
                <w:sz w:val="20"/>
                <w:szCs w:val="20"/>
                <w:lang w:val="en-GB"/>
              </w:rPr>
            </w:pPr>
            <w:r w:rsidRPr="00A04DD6">
              <w:rPr>
                <w:sz w:val="20"/>
                <w:szCs w:val="20"/>
                <w:lang w:val="en-GB"/>
              </w:rPr>
              <w:t>x</w:t>
            </w:r>
          </w:p>
          <w:p w14:paraId="7769AC27" w14:textId="77777777" w:rsidR="005E0E7F" w:rsidRPr="00A04DD6" w:rsidRDefault="005E0E7F" w:rsidP="00D62E44">
            <w:pPr>
              <w:jc w:val="center"/>
              <w:rPr>
                <w:sz w:val="20"/>
                <w:szCs w:val="20"/>
                <w:lang w:val="en-GB"/>
              </w:rPr>
            </w:pPr>
          </w:p>
          <w:p w14:paraId="2BFE57F8" w14:textId="77777777" w:rsidR="005E0E7F" w:rsidRPr="00A04DD6" w:rsidRDefault="005E0E7F" w:rsidP="00D62E44">
            <w:pPr>
              <w:jc w:val="center"/>
              <w:rPr>
                <w:sz w:val="20"/>
                <w:szCs w:val="20"/>
                <w:lang w:val="en-GB"/>
              </w:rPr>
            </w:pPr>
          </w:p>
          <w:p w14:paraId="57818C0D" w14:textId="1F04BA6A" w:rsidR="005E0E7F" w:rsidRPr="00A04DD6" w:rsidRDefault="00377A50" w:rsidP="00D62E44">
            <w:pPr>
              <w:jc w:val="center"/>
              <w:rPr>
                <w:sz w:val="20"/>
                <w:szCs w:val="20"/>
                <w:lang w:val="en-GB"/>
              </w:rPr>
            </w:pPr>
            <w:r w:rsidRPr="00A04DD6">
              <w:rPr>
                <w:sz w:val="20"/>
                <w:szCs w:val="20"/>
                <w:lang w:val="en-GB"/>
              </w:rPr>
              <w:t>x</w:t>
            </w:r>
          </w:p>
          <w:p w14:paraId="1FE6A917" w14:textId="5222100D" w:rsidR="005E0E7F" w:rsidRPr="00A04DD6" w:rsidRDefault="00377A50" w:rsidP="00D62E44">
            <w:pPr>
              <w:jc w:val="center"/>
              <w:rPr>
                <w:sz w:val="20"/>
                <w:szCs w:val="20"/>
                <w:lang w:val="en-GB"/>
              </w:rPr>
            </w:pPr>
            <w:r w:rsidRPr="00A04DD6">
              <w:rPr>
                <w:sz w:val="20"/>
                <w:szCs w:val="20"/>
                <w:lang w:val="en-GB"/>
              </w:rPr>
              <w:t>x</w:t>
            </w:r>
          </w:p>
          <w:p w14:paraId="6EF18D14" w14:textId="37920CDE" w:rsidR="005E0E7F" w:rsidRPr="00A04DD6" w:rsidRDefault="00377A50" w:rsidP="00D62E44">
            <w:pPr>
              <w:jc w:val="center"/>
              <w:rPr>
                <w:sz w:val="20"/>
                <w:szCs w:val="20"/>
                <w:lang w:val="en-GB"/>
              </w:rPr>
            </w:pPr>
            <w:r w:rsidRPr="00A04DD6">
              <w:rPr>
                <w:sz w:val="20"/>
                <w:szCs w:val="20"/>
                <w:lang w:val="en-GB"/>
              </w:rPr>
              <w:t>x</w:t>
            </w:r>
          </w:p>
          <w:p w14:paraId="43BE1B2C" w14:textId="3CC7947A" w:rsidR="005E0E7F" w:rsidRPr="00A04DD6" w:rsidRDefault="00377A50" w:rsidP="00D62E44">
            <w:pPr>
              <w:jc w:val="center"/>
              <w:rPr>
                <w:sz w:val="20"/>
                <w:szCs w:val="20"/>
                <w:lang w:val="en-GB"/>
              </w:rPr>
            </w:pPr>
            <w:r w:rsidRPr="00A04DD6">
              <w:rPr>
                <w:sz w:val="20"/>
                <w:szCs w:val="20"/>
                <w:lang w:val="en-GB"/>
              </w:rPr>
              <w:t>x</w:t>
            </w:r>
          </w:p>
        </w:tc>
        <w:tc>
          <w:tcPr>
            <w:tcW w:w="1728" w:type="pct"/>
          </w:tcPr>
          <w:p w14:paraId="6F2537D4" w14:textId="77777777" w:rsidR="005E0E7F" w:rsidRPr="00A04DD6" w:rsidRDefault="005E0E7F" w:rsidP="00D62E44">
            <w:pPr>
              <w:jc w:val="center"/>
              <w:rPr>
                <w:sz w:val="20"/>
                <w:szCs w:val="20"/>
                <w:lang w:val="en-GB"/>
              </w:rPr>
            </w:pPr>
          </w:p>
          <w:p w14:paraId="01DBBFD9" w14:textId="77777777" w:rsidR="005E0E7F" w:rsidRPr="00A04DD6" w:rsidRDefault="005E0E7F" w:rsidP="00D62E44">
            <w:pPr>
              <w:jc w:val="center"/>
              <w:rPr>
                <w:sz w:val="20"/>
                <w:szCs w:val="20"/>
                <w:lang w:val="en-GB"/>
              </w:rPr>
            </w:pPr>
          </w:p>
          <w:p w14:paraId="665B96CF" w14:textId="126DF8AC" w:rsidR="005E0E7F" w:rsidRPr="00A04DD6" w:rsidRDefault="00377A50" w:rsidP="00D62E44">
            <w:pPr>
              <w:jc w:val="center"/>
              <w:rPr>
                <w:sz w:val="20"/>
                <w:szCs w:val="20"/>
                <w:lang w:val="en-GB"/>
              </w:rPr>
            </w:pPr>
            <w:r w:rsidRPr="00A04DD6">
              <w:rPr>
                <w:sz w:val="20"/>
                <w:szCs w:val="20"/>
                <w:lang w:val="en-GB"/>
              </w:rPr>
              <w:t>x</w:t>
            </w:r>
          </w:p>
          <w:p w14:paraId="62B57F22" w14:textId="77777777" w:rsidR="005E0E7F" w:rsidRPr="00A04DD6" w:rsidRDefault="005E0E7F" w:rsidP="00D62E44">
            <w:pPr>
              <w:jc w:val="center"/>
              <w:rPr>
                <w:sz w:val="20"/>
                <w:szCs w:val="20"/>
                <w:lang w:val="en-GB"/>
              </w:rPr>
            </w:pPr>
          </w:p>
          <w:p w14:paraId="67DB1676" w14:textId="77777777" w:rsidR="005E0E7F" w:rsidRPr="00A04DD6" w:rsidRDefault="005E0E7F" w:rsidP="00D62E44">
            <w:pPr>
              <w:jc w:val="center"/>
              <w:rPr>
                <w:sz w:val="20"/>
                <w:szCs w:val="20"/>
                <w:lang w:val="en-GB"/>
              </w:rPr>
            </w:pPr>
          </w:p>
          <w:p w14:paraId="5AF9A846" w14:textId="77777777" w:rsidR="005E0E7F" w:rsidRPr="00A04DD6" w:rsidRDefault="005E0E7F" w:rsidP="00D62E44">
            <w:pPr>
              <w:jc w:val="center"/>
              <w:rPr>
                <w:sz w:val="20"/>
                <w:szCs w:val="20"/>
                <w:lang w:val="en-GB"/>
              </w:rPr>
            </w:pPr>
          </w:p>
          <w:p w14:paraId="36B9657D" w14:textId="77777777" w:rsidR="005E0E7F" w:rsidRPr="00A04DD6" w:rsidRDefault="005E0E7F" w:rsidP="00D62E44">
            <w:pPr>
              <w:jc w:val="center"/>
              <w:rPr>
                <w:sz w:val="20"/>
                <w:szCs w:val="20"/>
                <w:lang w:val="en-GB"/>
              </w:rPr>
            </w:pPr>
          </w:p>
          <w:p w14:paraId="01774102" w14:textId="5F2C950E" w:rsidR="005E0E7F" w:rsidRPr="00A04DD6" w:rsidRDefault="00377A50" w:rsidP="00D62E44">
            <w:pPr>
              <w:jc w:val="center"/>
              <w:rPr>
                <w:sz w:val="20"/>
                <w:szCs w:val="20"/>
                <w:lang w:val="en-GB"/>
              </w:rPr>
            </w:pPr>
            <w:r w:rsidRPr="00A04DD6">
              <w:rPr>
                <w:sz w:val="20"/>
                <w:szCs w:val="20"/>
                <w:lang w:val="en-GB"/>
              </w:rPr>
              <w:t>x</w:t>
            </w:r>
          </w:p>
          <w:p w14:paraId="57059FF9" w14:textId="77A0305A" w:rsidR="005E0E7F" w:rsidRPr="00A04DD6" w:rsidRDefault="00377A50" w:rsidP="00D62E44">
            <w:pPr>
              <w:jc w:val="center"/>
              <w:rPr>
                <w:sz w:val="20"/>
                <w:szCs w:val="20"/>
                <w:lang w:val="en-GB"/>
              </w:rPr>
            </w:pPr>
            <w:r w:rsidRPr="00A04DD6">
              <w:rPr>
                <w:sz w:val="20"/>
                <w:szCs w:val="20"/>
                <w:lang w:val="en-GB"/>
              </w:rPr>
              <w:lastRenderedPageBreak/>
              <w:t>x</w:t>
            </w:r>
          </w:p>
          <w:p w14:paraId="0DD700C8" w14:textId="77777777" w:rsidR="005E0E7F" w:rsidRPr="00A04DD6" w:rsidRDefault="005E0E7F" w:rsidP="00D62E44">
            <w:pPr>
              <w:jc w:val="center"/>
              <w:rPr>
                <w:sz w:val="20"/>
                <w:szCs w:val="20"/>
                <w:lang w:val="en-GB"/>
              </w:rPr>
            </w:pPr>
          </w:p>
          <w:p w14:paraId="0C45B820" w14:textId="608EDAC5" w:rsidR="005E0E7F" w:rsidRPr="00A04DD6" w:rsidRDefault="00377A50" w:rsidP="00D62E44">
            <w:pPr>
              <w:jc w:val="center"/>
              <w:rPr>
                <w:sz w:val="20"/>
                <w:szCs w:val="20"/>
                <w:lang w:val="en-GB"/>
              </w:rPr>
            </w:pPr>
            <w:r w:rsidRPr="00A04DD6">
              <w:rPr>
                <w:sz w:val="20"/>
                <w:szCs w:val="20"/>
                <w:lang w:val="en-GB"/>
              </w:rPr>
              <w:t>x</w:t>
            </w:r>
          </w:p>
          <w:p w14:paraId="69B55154" w14:textId="30B8F453" w:rsidR="005E0E7F" w:rsidRPr="00A04DD6" w:rsidRDefault="00377A50" w:rsidP="00D62E44">
            <w:pPr>
              <w:jc w:val="center"/>
              <w:rPr>
                <w:sz w:val="20"/>
                <w:szCs w:val="20"/>
                <w:lang w:val="en-GB"/>
              </w:rPr>
            </w:pPr>
            <w:r w:rsidRPr="00A04DD6">
              <w:rPr>
                <w:sz w:val="20"/>
                <w:szCs w:val="20"/>
                <w:lang w:val="en-GB"/>
              </w:rPr>
              <w:t>x</w:t>
            </w:r>
          </w:p>
          <w:p w14:paraId="6BFDFC13" w14:textId="0CE4A2D6" w:rsidR="005E0E7F" w:rsidRPr="00A04DD6" w:rsidRDefault="00377A50" w:rsidP="00D62E44">
            <w:pPr>
              <w:jc w:val="center"/>
              <w:rPr>
                <w:sz w:val="20"/>
                <w:szCs w:val="20"/>
                <w:lang w:val="en-GB"/>
              </w:rPr>
            </w:pPr>
            <w:r w:rsidRPr="00A04DD6">
              <w:rPr>
                <w:sz w:val="20"/>
                <w:szCs w:val="20"/>
                <w:lang w:val="en-GB"/>
              </w:rPr>
              <w:t>x</w:t>
            </w:r>
          </w:p>
          <w:p w14:paraId="09BC48B6" w14:textId="6BD03531" w:rsidR="005E0E7F" w:rsidRPr="00A04DD6" w:rsidRDefault="00377A50" w:rsidP="00D62E44">
            <w:pPr>
              <w:jc w:val="center"/>
              <w:rPr>
                <w:sz w:val="20"/>
                <w:szCs w:val="20"/>
                <w:lang w:val="en-GB"/>
              </w:rPr>
            </w:pPr>
            <w:r w:rsidRPr="00A04DD6">
              <w:rPr>
                <w:sz w:val="20"/>
                <w:szCs w:val="20"/>
                <w:lang w:val="en-GB"/>
              </w:rPr>
              <w:t>x</w:t>
            </w:r>
          </w:p>
          <w:p w14:paraId="173E1F7F" w14:textId="77777777" w:rsidR="005E0E7F" w:rsidRPr="00A04DD6" w:rsidRDefault="005E0E7F" w:rsidP="00D62E44">
            <w:pPr>
              <w:jc w:val="center"/>
              <w:rPr>
                <w:sz w:val="20"/>
                <w:szCs w:val="20"/>
                <w:lang w:val="en-GB"/>
              </w:rPr>
            </w:pPr>
          </w:p>
          <w:p w14:paraId="454B1983" w14:textId="5AB1E002" w:rsidR="005E0E7F" w:rsidRPr="00A04DD6" w:rsidRDefault="00377A50" w:rsidP="00D62E44">
            <w:pPr>
              <w:jc w:val="center"/>
              <w:rPr>
                <w:sz w:val="20"/>
                <w:szCs w:val="20"/>
                <w:lang w:val="en-GB"/>
              </w:rPr>
            </w:pPr>
            <w:r w:rsidRPr="00A04DD6">
              <w:rPr>
                <w:sz w:val="20"/>
                <w:szCs w:val="20"/>
                <w:lang w:val="en-GB"/>
              </w:rPr>
              <w:t>x</w:t>
            </w:r>
          </w:p>
          <w:p w14:paraId="6D1E9047" w14:textId="0DDAB4B8" w:rsidR="005E0E7F" w:rsidRPr="00A04DD6" w:rsidRDefault="00377A50" w:rsidP="00D62E44">
            <w:pPr>
              <w:jc w:val="center"/>
              <w:rPr>
                <w:sz w:val="20"/>
                <w:szCs w:val="20"/>
                <w:lang w:val="en-GB"/>
              </w:rPr>
            </w:pPr>
            <w:r w:rsidRPr="00A04DD6">
              <w:rPr>
                <w:sz w:val="20"/>
                <w:szCs w:val="20"/>
                <w:lang w:val="en-GB"/>
              </w:rPr>
              <w:t>x</w:t>
            </w:r>
          </w:p>
          <w:p w14:paraId="4891DDE4" w14:textId="152D2F50" w:rsidR="005E0E7F" w:rsidRPr="00A04DD6" w:rsidRDefault="00377A50" w:rsidP="00D62E44">
            <w:pPr>
              <w:jc w:val="center"/>
              <w:rPr>
                <w:sz w:val="20"/>
                <w:szCs w:val="20"/>
                <w:lang w:val="en-GB"/>
              </w:rPr>
            </w:pPr>
            <w:r w:rsidRPr="00A04DD6">
              <w:rPr>
                <w:sz w:val="20"/>
                <w:szCs w:val="20"/>
                <w:lang w:val="en-GB"/>
              </w:rPr>
              <w:t>x</w:t>
            </w:r>
          </w:p>
          <w:p w14:paraId="1EFA5576" w14:textId="77777777" w:rsidR="005E0E7F" w:rsidRPr="00A04DD6" w:rsidRDefault="005E0E7F" w:rsidP="00D62E44">
            <w:pPr>
              <w:jc w:val="center"/>
              <w:rPr>
                <w:sz w:val="20"/>
                <w:szCs w:val="20"/>
                <w:lang w:val="en-GB"/>
              </w:rPr>
            </w:pPr>
          </w:p>
          <w:p w14:paraId="04AD5D59" w14:textId="77777777" w:rsidR="005E0E7F" w:rsidRPr="00A04DD6" w:rsidRDefault="005E0E7F" w:rsidP="00D62E44">
            <w:pPr>
              <w:jc w:val="center"/>
              <w:rPr>
                <w:sz w:val="20"/>
                <w:szCs w:val="20"/>
                <w:lang w:val="en-GB"/>
              </w:rPr>
            </w:pPr>
          </w:p>
          <w:p w14:paraId="09E2CBC5" w14:textId="29526339" w:rsidR="005E0E7F" w:rsidRPr="00A04DD6" w:rsidRDefault="00377A50" w:rsidP="00D62E44">
            <w:pPr>
              <w:jc w:val="center"/>
              <w:rPr>
                <w:sz w:val="20"/>
                <w:szCs w:val="20"/>
                <w:lang w:val="en-GB"/>
              </w:rPr>
            </w:pPr>
            <w:r w:rsidRPr="00A04DD6">
              <w:rPr>
                <w:sz w:val="20"/>
                <w:szCs w:val="20"/>
                <w:lang w:val="en-GB"/>
              </w:rPr>
              <w:t>x</w:t>
            </w:r>
          </w:p>
          <w:p w14:paraId="5CAFED07" w14:textId="77777777" w:rsidR="005E0E7F" w:rsidRPr="00A04DD6" w:rsidRDefault="005E0E7F" w:rsidP="00D62E44">
            <w:pPr>
              <w:jc w:val="center"/>
              <w:rPr>
                <w:sz w:val="20"/>
                <w:szCs w:val="20"/>
                <w:lang w:val="en-GB"/>
              </w:rPr>
            </w:pPr>
          </w:p>
          <w:p w14:paraId="642502AD" w14:textId="3C80D555" w:rsidR="005E0E7F" w:rsidRPr="00A04DD6" w:rsidRDefault="00377A50" w:rsidP="00D62E44">
            <w:pPr>
              <w:jc w:val="center"/>
              <w:rPr>
                <w:sz w:val="20"/>
                <w:szCs w:val="20"/>
                <w:lang w:val="en-GB"/>
              </w:rPr>
            </w:pPr>
            <w:r w:rsidRPr="00A04DD6">
              <w:rPr>
                <w:sz w:val="20"/>
                <w:szCs w:val="20"/>
                <w:lang w:val="en-GB"/>
              </w:rPr>
              <w:t>x</w:t>
            </w:r>
          </w:p>
          <w:p w14:paraId="7AE49E94" w14:textId="48204B07" w:rsidR="005E0E7F" w:rsidRPr="00A04DD6" w:rsidRDefault="00377A50" w:rsidP="00D62E44">
            <w:pPr>
              <w:jc w:val="center"/>
              <w:rPr>
                <w:sz w:val="20"/>
                <w:szCs w:val="20"/>
                <w:lang w:val="en-GB"/>
              </w:rPr>
            </w:pPr>
            <w:r w:rsidRPr="00A04DD6">
              <w:rPr>
                <w:sz w:val="20"/>
                <w:szCs w:val="20"/>
                <w:lang w:val="en-GB"/>
              </w:rPr>
              <w:t>x</w:t>
            </w:r>
          </w:p>
        </w:tc>
      </w:tr>
      <w:tr w:rsidR="005E0E7F" w:rsidRPr="0037718C" w14:paraId="73B6EFD0" w14:textId="77777777" w:rsidTr="00746DB3">
        <w:trPr>
          <w:jc w:val="center"/>
        </w:trPr>
        <w:tc>
          <w:tcPr>
            <w:tcW w:w="1544" w:type="pct"/>
          </w:tcPr>
          <w:p w14:paraId="594E9182" w14:textId="77777777" w:rsidR="005E0E7F" w:rsidRPr="00A04DD6" w:rsidRDefault="005E0E7F" w:rsidP="00D62E44">
            <w:pPr>
              <w:rPr>
                <w:b/>
                <w:sz w:val="20"/>
                <w:szCs w:val="20"/>
                <w:lang w:val="en-GB"/>
              </w:rPr>
            </w:pPr>
            <w:r w:rsidRPr="00A04DD6">
              <w:rPr>
                <w:b/>
                <w:sz w:val="20"/>
                <w:szCs w:val="20"/>
                <w:lang w:val="en-GB"/>
              </w:rPr>
              <w:lastRenderedPageBreak/>
              <w:t>Total</w:t>
            </w:r>
          </w:p>
        </w:tc>
        <w:tc>
          <w:tcPr>
            <w:tcW w:w="1728" w:type="pct"/>
          </w:tcPr>
          <w:p w14:paraId="36311FD0" w14:textId="77777777" w:rsidR="005E0E7F" w:rsidRPr="00A04DD6" w:rsidRDefault="005E0E7F" w:rsidP="00D62E44">
            <w:pPr>
              <w:jc w:val="center"/>
              <w:rPr>
                <w:sz w:val="20"/>
                <w:szCs w:val="20"/>
                <w:lang w:val="en-GB"/>
              </w:rPr>
            </w:pPr>
            <w:r w:rsidRPr="00A04DD6">
              <w:rPr>
                <w:b/>
                <w:sz w:val="20"/>
                <w:szCs w:val="20"/>
                <w:lang w:val="en-GB"/>
              </w:rPr>
              <w:t>15</w:t>
            </w:r>
          </w:p>
        </w:tc>
        <w:tc>
          <w:tcPr>
            <w:tcW w:w="1728" w:type="pct"/>
          </w:tcPr>
          <w:p w14:paraId="159E4482" w14:textId="77777777" w:rsidR="005E0E7F" w:rsidRPr="00A04DD6" w:rsidRDefault="005E0E7F" w:rsidP="00D62E44">
            <w:pPr>
              <w:keepNext/>
              <w:jc w:val="center"/>
              <w:rPr>
                <w:b/>
                <w:sz w:val="20"/>
                <w:szCs w:val="20"/>
                <w:lang w:val="en-GB"/>
              </w:rPr>
            </w:pPr>
            <w:r w:rsidRPr="00A04DD6">
              <w:rPr>
                <w:b/>
                <w:sz w:val="20"/>
                <w:szCs w:val="20"/>
                <w:lang w:val="en-GB"/>
              </w:rPr>
              <w:t>13</w:t>
            </w:r>
          </w:p>
        </w:tc>
      </w:tr>
    </w:tbl>
    <w:p w14:paraId="4C1AEE6E" w14:textId="77777777" w:rsidR="005E0E7F" w:rsidRPr="00A04DD6" w:rsidRDefault="005E0E7F" w:rsidP="005E0E7F">
      <w:pPr>
        <w:spacing w:line="480" w:lineRule="auto"/>
        <w:rPr>
          <w:lang w:val="en-GB"/>
        </w:rPr>
      </w:pPr>
    </w:p>
    <w:p w14:paraId="4039D325" w14:textId="38BF2F43" w:rsidR="005E0E7F" w:rsidRPr="00A04DD6" w:rsidRDefault="00BB1208" w:rsidP="005E0E7F">
      <w:pPr>
        <w:spacing w:after="240" w:line="360" w:lineRule="auto"/>
        <w:jc w:val="both"/>
        <w:rPr>
          <w:lang w:val="en-GB" w:bidi="en-US"/>
        </w:rPr>
      </w:pPr>
      <w:r>
        <w:rPr>
          <w:lang w:val="en-GB" w:bidi="en-US"/>
        </w:rPr>
        <w:t>R</w:t>
      </w:r>
      <w:r w:rsidR="005E0E7F" w:rsidRPr="00A04DD6">
        <w:rPr>
          <w:lang w:val="en-GB" w:bidi="en-US"/>
        </w:rPr>
        <w:t>ecycling practices belong to the “Loop” macro category (</w:t>
      </w:r>
      <w:r w:rsidR="00E52A54">
        <w:rPr>
          <w:lang w:val="en-GB" w:bidi="en-US"/>
        </w:rPr>
        <w:t>Table 10</w:t>
      </w:r>
      <w:r w:rsidR="005E0E7F" w:rsidRPr="00A04DD6">
        <w:rPr>
          <w:lang w:val="en-GB" w:bidi="en-US"/>
        </w:rPr>
        <w:t>)</w:t>
      </w:r>
      <w:r>
        <w:rPr>
          <w:lang w:val="en-GB" w:bidi="en-US"/>
        </w:rPr>
        <w:t>.</w:t>
      </w:r>
      <w:r w:rsidR="005E0E7F" w:rsidRPr="00A04DD6">
        <w:rPr>
          <w:lang w:val="en-GB" w:bidi="en-US"/>
        </w:rPr>
        <w:t xml:space="preserve"> </w:t>
      </w:r>
      <w:r w:rsidR="00011090">
        <w:rPr>
          <w:lang w:val="en-GB" w:bidi="en-US"/>
        </w:rPr>
        <w:t xml:space="preserve">They </w:t>
      </w:r>
      <w:r w:rsidR="005E0E7F" w:rsidRPr="00A04DD6">
        <w:rPr>
          <w:lang w:val="en-GB" w:bidi="en-US"/>
        </w:rPr>
        <w:t>attempt to reuse inorganic/technical materials processed and put them back into the economy</w:t>
      </w:r>
      <w:r w:rsidR="00011090">
        <w:rPr>
          <w:lang w:val="en-GB" w:bidi="en-US"/>
        </w:rPr>
        <w:t xml:space="preserve">. </w:t>
      </w:r>
      <w:r w:rsidR="00592D99">
        <w:rPr>
          <w:lang w:val="en-GB" w:bidi="en-US"/>
        </w:rPr>
        <w:t>Recycling actions</w:t>
      </w:r>
      <w:r w:rsidR="005E0E7F" w:rsidRPr="00A04DD6">
        <w:rPr>
          <w:lang w:val="en-GB" w:bidi="en-US"/>
        </w:rPr>
        <w:t xml:space="preserve"> result to be the most suitable solution to pursue CE</w:t>
      </w:r>
      <w:r w:rsidR="00592D99">
        <w:rPr>
          <w:lang w:val="en-GB" w:bidi="en-US"/>
        </w:rPr>
        <w:t>, considering the</w:t>
      </w:r>
      <w:r w:rsidR="00592D99" w:rsidRPr="00A04DD6">
        <w:rPr>
          <w:lang w:val="en-GB" w:bidi="en-US"/>
        </w:rPr>
        <w:t xml:space="preserve"> literature</w:t>
      </w:r>
      <w:r w:rsidR="005E0E7F" w:rsidRPr="00A04DD6">
        <w:rPr>
          <w:lang w:val="en-GB" w:bidi="en-US"/>
        </w:rPr>
        <w:t>. However, also refurbish</w:t>
      </w:r>
      <w:r w:rsidR="00592D99">
        <w:rPr>
          <w:lang w:val="en-GB" w:bidi="en-US"/>
        </w:rPr>
        <w:t>ing</w:t>
      </w:r>
      <w:r w:rsidR="005E0E7F" w:rsidRPr="00A04DD6">
        <w:rPr>
          <w:lang w:val="en-GB" w:bidi="en-US"/>
        </w:rPr>
        <w:t xml:space="preserve"> and remanufacturing</w:t>
      </w:r>
      <w:r w:rsidR="00592D99">
        <w:rPr>
          <w:lang w:val="en-GB" w:bidi="en-US"/>
        </w:rPr>
        <w:t xml:space="preserve"> </w:t>
      </w:r>
      <w:r w:rsidR="005E0E7F" w:rsidRPr="00A04DD6">
        <w:rPr>
          <w:lang w:val="en-GB" w:bidi="en-US"/>
        </w:rPr>
        <w:t>were indicated in several articles as a right move to pursue CE.</w:t>
      </w:r>
    </w:p>
    <w:p w14:paraId="0565FC79" w14:textId="3B5F492C" w:rsidR="005E0E7F" w:rsidRPr="00A04DD6" w:rsidRDefault="005E0E7F" w:rsidP="005E0E7F">
      <w:pPr>
        <w:pStyle w:val="Didascalia"/>
        <w:spacing w:line="360" w:lineRule="auto"/>
        <w:jc w:val="center"/>
        <w:rPr>
          <w:b w:val="0"/>
          <w:caps w:val="0"/>
          <w:sz w:val="24"/>
          <w:lang w:val="en-GB"/>
        </w:rPr>
      </w:pPr>
      <w:r w:rsidRPr="00A04DD6">
        <w:rPr>
          <w:caps w:val="0"/>
          <w:sz w:val="24"/>
          <w:lang w:val="en-GB"/>
        </w:rPr>
        <w:t xml:space="preserve">Table </w:t>
      </w:r>
      <w:r w:rsidRPr="00A04DD6">
        <w:rPr>
          <w:sz w:val="24"/>
          <w:lang w:val="en-GB"/>
        </w:rPr>
        <w:fldChar w:fldCharType="begin"/>
      </w:r>
      <w:r w:rsidRPr="008F6A43">
        <w:rPr>
          <w:sz w:val="24"/>
          <w:lang w:val="en-GB"/>
        </w:rPr>
        <w:instrText xml:space="preserve"> SEQ Table \* ARABIC </w:instrText>
      </w:r>
      <w:r w:rsidRPr="00A04DD6">
        <w:rPr>
          <w:sz w:val="24"/>
          <w:lang w:val="en-GB"/>
        </w:rPr>
        <w:fldChar w:fldCharType="separate"/>
      </w:r>
      <w:r w:rsidR="008F7F15">
        <w:rPr>
          <w:noProof/>
          <w:sz w:val="24"/>
          <w:lang w:val="en-GB"/>
        </w:rPr>
        <w:t>10</w:t>
      </w:r>
      <w:r w:rsidRPr="00A04DD6">
        <w:rPr>
          <w:sz w:val="24"/>
          <w:lang w:val="en-GB"/>
        </w:rPr>
        <w:fldChar w:fldCharType="end"/>
      </w:r>
      <w:r w:rsidRPr="00A04DD6">
        <w:rPr>
          <w:sz w:val="24"/>
          <w:lang w:val="en-GB"/>
        </w:rPr>
        <w:t>.</w:t>
      </w:r>
      <w:r w:rsidRPr="00A04DD6">
        <w:rPr>
          <w:caps w:val="0"/>
          <w:sz w:val="24"/>
          <w:lang w:val="en-GB"/>
        </w:rPr>
        <w:t xml:space="preserve"> </w:t>
      </w:r>
      <w:r w:rsidRPr="00A04DD6">
        <w:rPr>
          <w:b w:val="0"/>
          <w:caps w:val="0"/>
          <w:sz w:val="24"/>
          <w:lang w:val="en-GB"/>
        </w:rPr>
        <w:t xml:space="preserve">Circular business models: loop actions (adapted from </w:t>
      </w:r>
      <w:r w:rsidRPr="00A04DD6">
        <w:rPr>
          <w:b w:val="0"/>
          <w:caps w:val="0"/>
          <w:sz w:val="24"/>
          <w:lang w:val="en-GB"/>
        </w:rPr>
        <w:fldChar w:fldCharType="begin" w:fldLock="1"/>
      </w:r>
      <w:r w:rsidR="003445CC">
        <w:rPr>
          <w:b w:val="0"/>
          <w:caps w:val="0"/>
          <w:sz w:val="24"/>
          <w:lang w:val="en-GB"/>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id":"ITEM-2","itemData":{"author":[{"dropping-particle":"","family":"OECD","given":"","non-dropping-particle":"","parse-names":false,"suffix":""}],"id":"ITEM-2","issue":"June","issued":{"date-parts":[["2017"]]},"number-of-pages":"1-73","title":"New Business Models for the Circular Economy - Opportunities and Challenges from a Policy Perspective","type":"report"},"uris":["http://www.mendeley.com/documents/?uuid=451a73ce-eb83-45f7-bb85-3165f4ff0b8f"]}],"mendeley":{"formattedCitation":"(OECD, 2017; The Ellen MacArthur Foundation, 2015)","plainTextFormattedCitation":"(OECD, 2017; The Ellen MacArthur Foundation, 2015)","previouslyFormattedCitation":"(OECD, 2017; The Ellen MacArthur Foundation, 2015)"},"properties":{"noteIndex":0},"schema":"https://github.com/citation-style-language/schema/raw/master/csl-citation.json"}</w:instrText>
      </w:r>
      <w:r w:rsidRPr="00A04DD6">
        <w:rPr>
          <w:b w:val="0"/>
          <w:caps w:val="0"/>
          <w:sz w:val="24"/>
          <w:lang w:val="en-GB"/>
        </w:rPr>
        <w:fldChar w:fldCharType="separate"/>
      </w:r>
      <w:r w:rsidRPr="00A04DD6">
        <w:rPr>
          <w:b w:val="0"/>
          <w:caps w:val="0"/>
          <w:noProof/>
          <w:sz w:val="24"/>
          <w:lang w:val="en-GB"/>
        </w:rPr>
        <w:t>(OECD, 2017; The Ellen MacArthur Foundation, 2015)</w:t>
      </w:r>
      <w:r w:rsidRPr="00A04DD6">
        <w:rPr>
          <w:b w:val="0"/>
          <w:caps w:val="0"/>
          <w:sz w:val="24"/>
          <w:lang w:val="en-GB"/>
        </w:rPr>
        <w:fldChar w:fldCharType="end"/>
      </w:r>
      <w:r w:rsidRPr="00A04DD6">
        <w:rPr>
          <w:b w:val="0"/>
          <w:caps w:val="0"/>
          <w:sz w:val="24"/>
          <w:lang w:val="en-GB"/>
        </w:rPr>
        <w:t>)</w:t>
      </w:r>
    </w:p>
    <w:p w14:paraId="3493731E" w14:textId="77777777" w:rsidR="005E0E7F" w:rsidRPr="00A04DD6" w:rsidRDefault="005E0E7F" w:rsidP="005E0E7F">
      <w:pPr>
        <w:rPr>
          <w:lang w:val="en-GB"/>
        </w:rPr>
      </w:pPr>
    </w:p>
    <w:tbl>
      <w:tblPr>
        <w:tblStyle w:val="Grigliatabella"/>
        <w:tblW w:w="5000" w:type="pct"/>
        <w:jc w:val="center"/>
        <w:tblLook w:val="01E0" w:firstRow="1" w:lastRow="1" w:firstColumn="1" w:lastColumn="1" w:noHBand="0" w:noVBand="0"/>
      </w:tblPr>
      <w:tblGrid>
        <w:gridCol w:w="3396"/>
        <w:gridCol w:w="3114"/>
        <w:gridCol w:w="3112"/>
      </w:tblGrid>
      <w:tr w:rsidR="005E0E7F" w:rsidRPr="00A04DD6" w14:paraId="0E03CAA0" w14:textId="77777777" w:rsidTr="00746DB3">
        <w:trPr>
          <w:jc w:val="center"/>
        </w:trPr>
        <w:tc>
          <w:tcPr>
            <w:tcW w:w="1765" w:type="pct"/>
            <w:vMerge w:val="restart"/>
            <w:vAlign w:val="center"/>
          </w:tcPr>
          <w:p w14:paraId="17B4127A" w14:textId="77777777" w:rsidR="005E0E7F" w:rsidRPr="00746DB3" w:rsidRDefault="005E0E7F" w:rsidP="00D62E44">
            <w:pPr>
              <w:rPr>
                <w:b/>
                <w:szCs w:val="20"/>
                <w:lang w:val="en-GB"/>
              </w:rPr>
            </w:pPr>
            <w:r w:rsidRPr="00746DB3">
              <w:rPr>
                <w:b/>
                <w:szCs w:val="20"/>
                <w:lang w:val="en-GB"/>
              </w:rPr>
              <w:t>Author</w:t>
            </w:r>
          </w:p>
        </w:tc>
        <w:tc>
          <w:tcPr>
            <w:tcW w:w="3235" w:type="pct"/>
            <w:gridSpan w:val="2"/>
            <w:vAlign w:val="center"/>
          </w:tcPr>
          <w:p w14:paraId="72359E38" w14:textId="0DBF5E69" w:rsidR="005E0E7F" w:rsidRPr="00746DB3" w:rsidRDefault="005E0E7F" w:rsidP="00D62E44">
            <w:pPr>
              <w:jc w:val="center"/>
              <w:rPr>
                <w:b/>
                <w:szCs w:val="20"/>
                <w:lang w:val="en-GB"/>
              </w:rPr>
            </w:pPr>
            <w:r w:rsidRPr="00746DB3">
              <w:rPr>
                <w:b/>
                <w:szCs w:val="20"/>
                <w:lang w:val="en-GB"/>
              </w:rPr>
              <w:t>Loop</w:t>
            </w:r>
            <w:r w:rsidR="00A52511">
              <w:rPr>
                <w:b/>
                <w:szCs w:val="20"/>
                <w:lang w:val="en-GB"/>
              </w:rPr>
              <w:t xml:space="preserve"> actions</w:t>
            </w:r>
          </w:p>
        </w:tc>
      </w:tr>
      <w:tr w:rsidR="005E0E7F" w:rsidRPr="00A04DD6" w14:paraId="560BD670" w14:textId="77777777" w:rsidTr="00746DB3">
        <w:trPr>
          <w:jc w:val="center"/>
        </w:trPr>
        <w:tc>
          <w:tcPr>
            <w:tcW w:w="1765" w:type="pct"/>
            <w:vMerge/>
            <w:vAlign w:val="center"/>
          </w:tcPr>
          <w:p w14:paraId="42810E67" w14:textId="77777777" w:rsidR="005E0E7F" w:rsidRPr="00746DB3" w:rsidRDefault="005E0E7F" w:rsidP="00D62E44">
            <w:pPr>
              <w:rPr>
                <w:b/>
                <w:szCs w:val="20"/>
                <w:lang w:val="en-GB"/>
              </w:rPr>
            </w:pPr>
          </w:p>
        </w:tc>
        <w:tc>
          <w:tcPr>
            <w:tcW w:w="1618" w:type="pct"/>
            <w:vAlign w:val="center"/>
          </w:tcPr>
          <w:p w14:paraId="6C125AAF" w14:textId="77777777" w:rsidR="005E0E7F" w:rsidRPr="00746DB3" w:rsidRDefault="005E0E7F" w:rsidP="00D62E44">
            <w:pPr>
              <w:jc w:val="center"/>
              <w:rPr>
                <w:b/>
                <w:szCs w:val="20"/>
                <w:lang w:val="en-GB"/>
              </w:rPr>
            </w:pPr>
            <w:r w:rsidRPr="00746DB3">
              <w:rPr>
                <w:b/>
                <w:szCs w:val="20"/>
                <w:lang w:val="en-GB"/>
              </w:rPr>
              <w:t>Refurbish / Remanufacture</w:t>
            </w:r>
          </w:p>
        </w:tc>
        <w:tc>
          <w:tcPr>
            <w:tcW w:w="1618" w:type="pct"/>
            <w:vAlign w:val="center"/>
          </w:tcPr>
          <w:p w14:paraId="172DE08A" w14:textId="77777777" w:rsidR="005E0E7F" w:rsidRPr="00746DB3" w:rsidRDefault="005E0E7F" w:rsidP="00D62E44">
            <w:pPr>
              <w:jc w:val="center"/>
              <w:rPr>
                <w:b/>
                <w:szCs w:val="20"/>
                <w:lang w:val="en-GB"/>
              </w:rPr>
            </w:pPr>
            <w:r w:rsidRPr="00746DB3">
              <w:rPr>
                <w:b/>
                <w:szCs w:val="20"/>
                <w:lang w:val="en-GB"/>
              </w:rPr>
              <w:t>Recycling</w:t>
            </w:r>
          </w:p>
        </w:tc>
      </w:tr>
      <w:tr w:rsidR="005E0E7F" w:rsidRPr="00A04DD6" w14:paraId="7864B378" w14:textId="77777777" w:rsidTr="00746DB3">
        <w:trPr>
          <w:jc w:val="center"/>
        </w:trPr>
        <w:tc>
          <w:tcPr>
            <w:tcW w:w="1765" w:type="pct"/>
            <w:vAlign w:val="center"/>
          </w:tcPr>
          <w:p w14:paraId="1F2E6B65" w14:textId="58A9A1FD"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author":[{"dropping-particle":"","family":"Beulque","given":"Rémi","non-dropping-particle":"","parse-names":false,"suffix":""},{"dropping-particle":"","family":"Aggeri","given":"Franck","non-dropping-particle":"","parse-names":false,"suffix":""}],"container-title":"Egos Confernce","id":"ITEM-1","issued":{"date-parts":[["2016"]]},"page":"1-29","publisher-place":"Naples","title":"Circular Business Model Innovation: Key Patterns and Challenges to unleash recycling value creation potential","type":"paper-conference"},"uris":["http://www.mendeley.com/documents/?uuid=421bde00-743f-42fc-a1bc-55e843bc74f3"]}],"mendeley":{"formattedCitation":"(Beulque and Aggeri, 2016)","plainTextFormattedCitation":"(Beulque and Aggeri, 2016)","previouslyFormattedCitation":"(Beulque and Aggeri,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(Beulque and Aggeri, 2016)</w:t>
            </w:r>
            <w:r w:rsidRPr="00A04DD6">
              <w:rPr>
                <w:sz w:val="20"/>
                <w:szCs w:val="20"/>
                <w:lang w:val="en-GB"/>
              </w:rPr>
              <w:fldChar w:fldCharType="end"/>
            </w:r>
          </w:p>
          <w:p w14:paraId="52DAB9F6" w14:textId="5FE06295"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{"citationItems":[{"id":"ITEM-1","itemData":{"DOI":"10.1016/j.procir.2016.03.247","ISBN":"22128271 (ISSN)","ISSN":"22128271","abstract":"Early stages of a product's design are critical for decisions impacting the entire life-cycle cost. Product designers have mastered the first generation, but they have no ability to know the impact of their decisions on multi-generational products. There is a need for tools that aim at closing the gap between total life-cycle information and the traditional design process. This paper presents a framework for a decision support tool that uses a combination of a life-cycle costing methodology and an evolutionary algorithm to assess design decisions specifically related to material selection. A case study is included to validate the new methodology.","author":[{"dropping-particle":"","family":"Bradley","given":"Ryan","non-dropping-particle":"","parse-names":false,"suffix":""},{"dropping-particle":"","family":"Jawahir","given":"I.S.","non-dropping-particle":"","parse-names":false,"suffix":""},{"dropping-particle":"","family":"Badurdeen","given":"Fazleena","non-dropping-particle":"","parse-names":false,"suffix":""},{"dropping-particle":"","family":"Rouch","given":"Keith","non-dropping-particle":"","parse-names":false,"suffix":""}],"container-title":"Procedia CIRP","id":"ITEM-1","issued":{"date-parts":[["2016"]]},"page":"370-375","title":"A Framework for Material Selection in Multi-Generational Components: Sustainable Value Creation for a Circular Economy","type":"article-journal","volume":"48"},"uris":["http://www.mendeley.com/documents/?uuid=12a26697-8b90-42cc-add5-3f268c349c85","http://www.mendeley.com/documents/?uuid=3902d3d2-37a0-4da6-8946-43c961bc20cb"]}],"mendeley":{"formattedCitation":"(Bradley et al., 2016)","plainTextFormattedCitation":"(Bradley et al., 2016)","previouslyFormattedCitation":"(Bradley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(Bradley et al., 2016)</w:t>
            </w:r>
            <w:r w:rsidRPr="00A04DD6">
              <w:rPr>
                <w:sz w:val="20"/>
                <w:szCs w:val="20"/>
                <w:lang w:val="en-GB"/>
              </w:rPr>
              <w:fldChar w:fldCharType="end"/>
            </w:r>
          </w:p>
          <w:p w14:paraId="2C1CFC05"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{"citationItems":[{"id":"ITEM-1","itemData":{"DOI":"10.1016/j.jclepro.2006.08.003","ISBN":"0959-6526","ISSN":"09596526","abstract":"Eco-effectiveness and cradle-to-cradle design present an alternative design and production concept to the strategies of zero emission and eco-efficiency. Where eco-efficiency and zero emission seek to reduce the unintended negative consequences of processes of production and consumption, eco-effectiveness is a positive agenda for the conception and production of goods and services that incorporate social, economic, and environmental benefit, enabling triple top line growth. Eco-effectiveness moves beyond zero emission approaches by focusing on the development of products and industrial systems that maintain or enhance the quality and productivity of materials through subsequent life cycles. The concept of eco-effectiveness also addresses the major shortcomings of eco-efficiency approaches: their inability to address the necessity for fundamental redesign of material flows, their inherent antagonism towards long-term economic growth and innovation, and their insufficiency in addressing toxicity issues. A central component of the eco-effectiveness concept, cradle-to-cradle design provides a practical design framework for creating products and industrial systems in a positive relationship with ecological health and abundance, and long-term economic growth. Against this background, the transition to eco-effective industrial systems is a five-step process beginning with an elimination of undesirable substances and ultimately calling for a reinvention of products by reconsidering how they may optimally fulfill the need or needs for which they are actually intended while simultaneously being supportive of ecological and social systems. This process necessitates the creation of an eco-effective system of \"nutrient\" management to coordinate the material flows amongst actors in the product system. The concept of intelligent materials pooling illustrates how such a system might take shape, in reality. © 2006.","author":[{"dropping-particle":"","family":"Braungart","given":"Michael","non-dropping-particle":"","parse-names":false,"suffix":""},{"dropping-particle":"","family":"McDonough","given":"William","non-dropping-particle":"","parse-names":false,"suffix":""},{"dropping-particle":"","family":"Bollinger","given":"Andrew","non-dropping-particle":"","parse-names":false,"suffix":""}],"container-title":"Journal of Cleaner Production","id":"ITEM-1","issue":"13-14","issued":{"date-parts":[["2007"]]},"page":"1337-1348","title":"Cradle-to-cradle design: creating healthy emissions - a strategy for eco-effective product and system design","type":"article-journal","volume":"15"},"uris":["http://www.mendeley.com/documents/?uuid=21105744-ce83-4875-9acf-b75225eb46e6","http://www.mendeley.com/documents/?uuid=c9256fa3-984f-43ae-bb60-9b8f84227bf6"]}],"mendeley":{"formattedCitation":"(Braungart et al., 2007)","plainTextFormattedCitation":"(Braungart et al., 2007)","previouslyFormattedCitation":"(Braungart et al., 2007)"},"properties":{"noteIndex":0},"schema":"https://github.com/citation-style-language/schema/raw/master/csl-citation.json"}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(Braungart et al., 2007)</w:t>
            </w:r>
            <w:r w:rsidRPr="00A04DD6">
              <w:rPr>
                <w:sz w:val="20"/>
                <w:szCs w:val="20"/>
                <w:lang w:val="en-GB"/>
              </w:rPr>
              <w:fldChar w:fldCharType="end"/>
            </w:r>
          </w:p>
          <w:p w14:paraId="6EFD03A3"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{"citationItems":[{"id":"ITEM-1","itemData":{"DOI":"10.1007/s11367-016-1081-1","ISBN":"0948-3349","ISSN":"16147502","abstract":"Purpose: In a world where the population is expected to peak at around 9 billion people in the next 30 to 40 years, carefully managing our finite natural resources is becoming critical. We must abandon the outdated ‘take, make, consume and dispose’ mentality and move toward a circular economy model for optimal resource efficiency. Products must be designed for reuse and remanufacturing, which would reduce significant costs in terms of energy and natural resources. Methods: To measure progress in achieving a circular economy, we need a life cycle approach that measures the social, economic and environmental impact of a product throughout its full life cycle—from raw material extraction to end-of-life (EoL) recycling or disposal. Life cycle thinking must become a key requirement for all manufacturing decisions, ensuring that the most appropriate material is chosen for the specific application, considering all aspects of a products’ life. The steel industry has been developing LCI data for 20 years. This is used to assess a product’s environmental performance from steel production to steel recycling at end-of-life. The steel industry has developed a methodology to show the benefits of using recycled steel to make new products. Using recycled materials also carries an embodied burden that should be considered when undertaking a full LCA. Results and discussion: The recycling methodology is in accordance with ISO 14040/44:2006 and considers the environmental burden of using steel scrap and the benefit of scrap recycling from end-of-life products. It considers the recycling of scrap into new steel as closed material loop recycling, and thus, recycling steel scrap avoids the production of primary steel. The methodology developed shows that for every 1 kg of steel scrap that is recycled at the end of the products life, a saving of 1.5 kg CO2-e emissions, 13.4 MJ primary energy and 1.4 kg iron ore can be achieved. This equates to 73, 64 and 90 %, respectively, when compared to 100 % primary production. Conclusions: Incorporating this recycling methodology into a full LCA demonstrates how the steel industry is an integral part of the circular economy model which promotes zero waste; a reduction in the amount of materials used and encourages the reuse and recycling of materials. © 2016 The Author(s)","author":[{"dropping-particle":"","family":"Broadbent","given":"Clare","non-dropping-particle":"","parse-names":false,"suffix":""}],"container-title":"International Journal of Life Cycle Assessment","id":"ITEM-1","issue":"11","issued":{"date-parts":[["2016"]]},"page":"1658-1665","publisher":"The International Journal of Life Cycle Assessment","title":"Steel’s recyclability: demonstrating the benefits of recycling steel to achieve a circular economy","type":"article-journal","volume":"21"},"uris":["http://www.mendeley.com/documents/?uuid=f3166ca3-bd98-4d66-b9fb-472ab2e2f39c","http://www.mendeley.com/documents/?uuid=9d7d536f-7292-4b4d-8f72-9a6a6c0daf99"]}],"mendeley":{"formattedCitation":"(Broadbent, 2016)","plainTextFormattedCitation":"(Broadbent, 2016)","previouslyFormattedCitation":"(Broadbent,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(Broadbent, 2016)</w:t>
            </w:r>
            <w:r w:rsidRPr="00A04DD6">
              <w:rPr>
                <w:sz w:val="20"/>
                <w:szCs w:val="20"/>
                <w:lang w:val="en-GB"/>
              </w:rPr>
              <w:fldChar w:fldCharType="end"/>
            </w:r>
          </w:p>
          <w:p w14:paraId="7B816A6A" w14:textId="304BD953"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{"citationItems":[{"id":"ITEM-1","itemData":{"DOI":"10.3390/su9122345","ISBN":"3493254180","ISSN":"20711050","abstract":"The European circular economy action plan, launched in 2015 includes a group of measures aligned with the 3r principles. To meet recycling goals, valuable materials such as aluminium must have packaging that helps to increase their recycling rate above the current 45.6%. This recycling rate could be improved with the help of current consumers and the education of future generations. In this way, the aim of this study is to prove the positive effects of childhood education in the circular economy by teaching sustainable practices in the case of aluminium packaging recycling. The study was conducted in the form of a survey, with data being gathered via questionnaires carried out “pre” and “post” workshop in schools of different regions of Spain in students between 8 and 12 years old. This study provides an exciting opportunity to advance our knowledge of the use of workshops to increase children’s knowledge, awareness, and intention of recycling.","author":[{"dropping-particle":"","family":"Buil","given":"Pilar","non-dropping-particle":"","parse-names":false,"suffix":""},{"dropping-particle":"","family":"Roger-Loppacher","given":"Olga","non-dropping-particle":"","parse-names":false,"suffix":""},{"dropping-particle":"","family":"Selvam","given":"Rejina M.","non-dropping-particle":"","parse-names":false,"suffix":""},{"dropping-particle":"","family":"Prieto-Sandoval","given":"Vanessa","non-dropping-particle":"","parse-names":false,"suffix":""}],"container-title":"Sustainability (Switzerland)","id":"ITEM-1","issue":"2345","issued":{"date-parts":[["2017"]]},"page":"1-13","title":"The involvement of future generations in the circular economy paradigm: An empirical analysis on aluminium packaging recycling in spain","type":"article-journal","volume":"9"},"uris":["http://www.mendeley.com/documents/?uuid=98fd7598-8a40-403e-b5fb-1154a18a7075","http://www.mendeley.com/documents/?uuid=1739ec5b-8f5e-4a75-9b91-1a5dbab5aa33"]}],"mendeley":{"formattedCitation":"(Buil et al., 2017)","plainTextFormattedCitation":"(Buil et al., 2017)","previouslyFormattedCitation":"(Buil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(Buil et al., 2017)</w:t>
            </w:r>
            <w:r w:rsidRPr="00A04DD6">
              <w:rPr>
                <w:sz w:val="20"/>
                <w:szCs w:val="20"/>
                <w:lang w:val="en-GB"/>
              </w:rPr>
              <w:fldChar w:fldCharType="end"/>
            </w:r>
          </w:p>
          <w:p w14:paraId="2EDC5B6C" w14:textId="1E43CF3D"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{"citationItems":[{"id":"ITEM-1","itemData":{"DOI":"10.1016/j.jclepro.2017.02.115","ISBN":"09596526 (ISSN)","ISSN":"09596526","abstract":"Traditional linear production mode “take-make-dispose” has brought about increasing resource scarcity, great environmental cost and endangered human health. To address the problem, the concept of circular economy has been introduced and accepted as a solution. In a circular economy, end-of-life (EOL) products can be introduced into multiple life cycles, which maximize the utility and value of components and materials. The economic viability of value recovery from an EOL product is greatly affected by the plan and technologies used for dismantling that product. This paper presents an approach to find a profitable EOL strategy, which includes a method for generating a dismantling transition matrix and making decisions on the best dismantling sequence, level, and EOL options for components/parts. A preservative disassembly transition matrix is a description of possible ways to disassemble a product into individual parts without any damage. A guideline is created to include destructive and automated operations in order to expand a preservative disassembly matrix into a dismantling transition matrix, because dismantling EOL products might produce more profit than pure preservative disassembly. Based on the dismantling transition matrix, binary integer programming is used to formulate EOL product value recovery while considering possible options for components/subassemblies as well as the transition cost between dismantling operations, tools costs, and recycling regulations or goals. A hard disk drive (HDD) is used as a case study to demonstrate the approach.","author":[{"dropping-particle":"","family":"Cong","given":"Liang","non-dropping-particle":"","parse-names":false,"suffix":""},{"dropping-particle":"","family":"Zhao","given":"Fu","non-dropping-particle":"","parse-names":false,"suffix":""},{"dropping-particle":"","family":"Sutherland","given":"John W.","non-dropping-particle":"","parse-names":false,"suffix":""}],"container-title":"Journal of Cleaner Production","id":"ITEM-1","issued":{"date-parts":[["2017"]]},"page":"378-386","publisher":"Elsevier Ltd","title":"Integration of dismantling operations into a value recovery plan for circular economy","type":"article-journal","volume":"149"},"uris":["http://www.mendeley.com/documents/?uuid=9f97235f-ddd1-4cb5-9674-7006ea656c69"]}],"mendeley":{"formattedCitation":"(Cong et al., 2017)","plainTextFormattedCitation":"(Cong et al., 2017)","previouslyFormattedCitation":"(Cong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(Cong et al., 2017)</w:t>
            </w:r>
            <w:r w:rsidRPr="00A04DD6">
              <w:rPr>
                <w:sz w:val="20"/>
                <w:szCs w:val="20"/>
                <w:lang w:val="en-GB"/>
              </w:rPr>
              <w:fldChar w:fldCharType="end"/>
            </w:r>
          </w:p>
          <w:p w14:paraId="56ABFBE6" w14:textId="5819BD46"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{"citationItems":[{"id":"ITEM-1","itemData":{"DOI":"10.1109/EGG.2016.7829845","ISBN":"9781509052080","abstract":"Circular business models are considered to be one of the key building blocks in the transition to a Circular Economy, but the viability of such business models is often dependent upon supporting policies. Relevant policies include support for waste infrastructure, regulatory frameworks, taxes and charges, and various informative instruments. This contribution reviews the literature on circular economy policies and discusses how current and new policies can support circular business models. Two companies who sell reconditioned ICT products are used as case studies in order to get a more detailed picture of the main barriers, and the need for policy support to overcome the barriers. The cases are built on semi-structured interviews with company representatives. The two companies both identify high taxes on labour and consumer perceptions among the most important barriers. The two companies differ in their opinions regarding the need for political support and whether waste rules are a major barrier, reflecting differences in their markets and supply chains.","author":[{"dropping-particle":"","family":"Dalhammar","given":"Carl","non-dropping-particle":"","parse-names":false,"suffix":""},{"dropping-particle":"","family":"Milios","given":"Leonidas","non-dropping-particle":"","parse-names":false,"suffix":""}],"container-title":"EGG 2016 - Electronics Goes Green 2016+","id":"ITEM-1","issued":{"date-parts":[["2016"]]},"page":"1-9","title":"Policies to support reconditioning and reuse of ICT","type":"paper-conference"},"uris":["http://www.mendeley.com/documents/?uuid=6a817822-c40a-4ec7-9763-78c59cd94547"]}],"mendeley":{"formattedCitation":"(Dalhammar and Milios, 2016)","plainTextFormattedCitation":"(Dalhammar and Milios, 2016)","previouslyFormattedCitation":"(Dalhammar and Milios, 2016)"},"properties":{"noteIndex":0},"schema":"https://github.com/citation-style-language/schema/raw/master/csl-citation.json"}</w:instrText>
            </w:r>
            <w:r w:rsidRPr="00A04DD6">
              <w:rPr>
                <w:sz w:val="20"/>
                <w:szCs w:val="20"/>
                <w:lang w:val="en-GB"/>
              </w:rPr>
              <w:fldChar w:fldCharType="separate"/>
            </w:r>
            <w:r w:rsidR="008E630B" w:rsidRPr="008E630B">
              <w:rPr>
                <w:noProof/>
                <w:sz w:val="20"/>
                <w:szCs w:val="20"/>
                <w:lang w:val="en-GB"/>
              </w:rPr>
              <w:t>(Dalhammar and Milios, 2016)</w:t>
            </w:r>
            <w:r w:rsidRPr="00A04DD6">
              <w:rPr>
                <w:sz w:val="20"/>
                <w:szCs w:val="20"/>
                <w:lang w:val="en-GB"/>
              </w:rPr>
              <w:fldChar w:fldCharType="end"/>
            </w:r>
          </w:p>
          <w:p w14:paraId="1EEB9334" w14:textId="0AD5C805"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author":[{"dropping-particle":"","family":"Lange","given":"Jasper","non-dropping-particle":"de","parse-names":false,"suffix":""},{"dropping-particle":"","family":"Rodić","given":"Ljiljana","non-dropping-particle":"","parse-names":false,"suffix":""}],"id":"ITEM-1","issued":{"date-parts":[["2013"]]},"number-of-pages":"1-18","title":"From Waste Handler to Resource Manager : New Roles for Solid Waste Management Companies in a Circular Economy","type":"report"},"uris":["http://www.mendeley.com/documents/?uuid=ec3a0cb7-271c-413d-9975-6f77c951b46f"]}],"mendeley":{"formattedCitation":"(de Lange and Rodić, 2013)","plainTextFormattedCitation":"(de Lange and Rodić, 2013)","previouslyFormattedCitation":"(de Lange and Rodić, 2013)"},"properties":{"noteIndex":0},"schema":"https://github.com/citation-style-language/schema/raw/master/csl-citation.json"}</w:instrText>
            </w:r>
            <w:r w:rsidRPr="00A04DD6">
              <w:rPr>
                <w:sz w:val="20"/>
                <w:szCs w:val="20"/>
                <w:lang w:val="en-GB"/>
              </w:rPr>
              <w:fldChar w:fldCharType="separate"/>
            </w:r>
            <w:r w:rsidR="008E630B" w:rsidRPr="008E630B">
              <w:rPr>
                <w:noProof/>
                <w:sz w:val="20"/>
                <w:szCs w:val="20"/>
                <w:lang w:val="en-GB"/>
              </w:rPr>
              <w:t>(de Lange and Rodić, 2013)</w:t>
            </w:r>
            <w:r w:rsidRPr="00A04DD6">
              <w:rPr>
                <w:sz w:val="20"/>
                <w:szCs w:val="20"/>
                <w:lang w:val="en-GB"/>
              </w:rPr>
              <w:fldChar w:fldCharType="end"/>
            </w:r>
          </w:p>
          <w:p w14:paraId="4E7AF3E7" w14:textId="0C8DC564"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{"citationItems":[{"id":"ITEM-1","itemData":{"DOI":"10.1680/warm.2008.161.1.3","ISBN":"10881980","ISSN":"1747-6526","abstract":"In order to move towards a more sustainable development, it is necessary not only to minimize the use of materials in the design stage and to find new materials as alternatives to nonrenewable ones (e.g. optical fiber instead of copper, biopolymers instead of polymers from oil) but also to reclaim as much as possible material value through effective recycling. To this extent, recycling can play a key role in multiple dimensions, while providing new business opportunities for innovative companies, having positive impacts on the society and the environment and fostering an effective circular economy as well. Because of the advanced waste management infrastructures available in developed countries, it is possible to achieve an almost complete collection of solid wastes into a variety of controlled bulk material flows. However, the picture for the follow-up step, the recycling of raw materials such as steel, non-ferrous metals, polymers and glass from these flows, is less positive. Materials value recovered from waste represents a very small fraction of European GDP. The fundamental issue is that policymakers still lack an effective key performance indicator for stimulating the recycling industry. Therefore although recycling plays an important role in the circular economy perspective, it is necessary to radically change the metric used so far to compute the recycling rate. Nowadays, the recycling rate is computed measuring the amount of material entering the recycling facilities. This approach has brought about an inaccurate and somehow misleading indicator (the recycling rate) which contributed to wrong decision making and to poor innovation in the industry. The new approach proposed in this paper considers the use of a Circular Economy Index (CEI) as the ratio of the material value produced by the recycler (market value) by the intrinsic material value1 entering the recycling facility.","author":[{"dropping-particle":"","family":"Maio","given":"Francesco","non-dropping-particle":"Di","parse-names":false,"suffix":""},{"dropping-particle":"","family":"Rem","given":"Peter Carlo","non-dropping-particle":"","parse-names":false,"suffix":""}],"container-title":"Journal of Environmental Protection","id":"ITEM-1","issued":{"date-parts":[["2015"]]},"page":"1095-1104","title":"A Robust Indicator for Promoting Circular Economy through Recycling","type":"article-journal","volume":"6"},"uris":["http://www.mendeley.com/documents/?uuid=2856ece3-55ef-4f79-8d37-1f21e33109ce","http://www.mendeley.com/documents/?uuid=f6bb92e2-a9d4-4de5-8b7f-f2214a41321e"]}],"mendeley":{"formattedCitation":"(Di Maio and Rem, 2015)","plainTextFormattedCitation":"(Di Maio and Rem, 2015)","previouslyFormattedCitation":"(Di Maio and Rem, 2015)"},"properties":{"noteIndex":0},"schema":"https://github.com/citation-style-language/schema/raw/master/csl-citation.json"}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(Di Maio and Rem, 2015)</w:t>
            </w:r>
            <w:r w:rsidRPr="00A04DD6">
              <w:rPr>
                <w:sz w:val="20"/>
                <w:szCs w:val="20"/>
                <w:lang w:val="en-GB"/>
              </w:rPr>
              <w:fldChar w:fldCharType="end"/>
            </w:r>
          </w:p>
          <w:p w14:paraId="5DEBBFBB" w14:textId="735DFA99"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{"citationItems":[{"id":"ITEM-1","itemData":{"DOI":"10.1515/cks-2015-0009","ISSN":"1338-5283","abstract":"&lt;p&gt;is to partially describe underpinning economics for the circular economy. A circular economy (closed-loop system) is an advancement from the linear economy (open-loop system) which behaves according to the hierarchy of 6R, preferring reuse, remanufacture or recycle solutions insead of disposal (known also as a „linear dead-end“).&lt;/p&gt;","author":[{"dropping-particle":"","family":"Dolinsky","given":"Martin","non-dropping-particle":"","parse-names":false,"suffix":""},{"dropping-particle":"","family":"Maier","given":"Stephan","non-dropping-particle":"","parse-names":false,"suffix":""}],"container-title":"Creative and Knowledge Society","id":"ITEM-1","issue":"2","issued":{"date-parts":[["2015"]]},"page":"1-10","title":"Market-based Approach in Shift from Linear Economy Towards Circular Economy Supported by Game Theory Analysis","type":"article-journal","volume":"5"},"uris":["http://www.mendeley.com/documents/?uuid=cebf0799-a036-48b2-8f59-ad91b3e85544"]}],"mendeley":{"formattedCitation":"(Dolinsky and Maier, 2015)","plainTextFormattedCitation":"(Dolinsky and Maier, 2015)","previouslyFormattedCitation":"(Dolinsky and Maier, 2015)"},"properties":{"noteIndex":0},"schema":"https://github.com/citation-style-language/schema/raw/master/csl-citation.json"}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(Dolinsky and Maier, 2015)</w:t>
            </w:r>
            <w:r w:rsidRPr="00A04DD6">
              <w:rPr>
                <w:sz w:val="20"/>
                <w:szCs w:val="20"/>
                <w:lang w:val="en-GB"/>
              </w:rPr>
              <w:fldChar w:fldCharType="end"/>
            </w:r>
          </w:p>
          <w:p w14:paraId="38274878"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{"citationItems":[{"id":"ITEM-1","itemData":{"DOI":"10.1080/19397038.2016.1270369","ISSN":"19397046","abstract":"Recently, environmentally conscious design and extended producer responsibility have become key aspects for companies that need to develop products that are sustainable along their whole life cycle. Design for End of Life (EoL) is a strategy that aims to reduce landfill waste through the implementation of closed-loop product life cycles. It is important to consider disassembly and EoL scenario management as early as the design phase. For these reasons, this paper presents an approach to help designers in the evaluation and subsequent improvement in product EoL performance. The method is based on four innovative EoL indices that compare different EoL scenarios for each product component. In this way, the designer can modify the product structure or the liaisons to maximise the reuse and remanufacture of components as well as material recycling. The presented case studies confirm the validity of the approach in helping designers during the redesign phase of goods and products to reduce the quantity of materials and industrial wastes sent to landfill.","author":[{"dropping-particle":"","family":"Favi","given":"Claudio","non-dropping-particle":"","parse-names":false,"suffix":""},{"dropping-particle":"","family":"Germani","given":"Michele","non-dropping-particle":"","parse-names":false,"suffix":""},{"dropping-particle":"","family":"Luzi","given":"Andrea","non-dropping-particle":"","parse-names":false,"suffix":""},{"dropping-particle":"","family":"Mandolini","given":"Marco","non-dropping-particle":"","parse-names":false,"suffix":""},{"dropping-particle":"","family":"Marconi","given":"Marco","non-dropping-particle":"","parse-names":false,"suffix":""}],"container-title":"International Journal of Sustainable Engineering","id":"ITEM-1","issue":"3","issued":{"date-parts":[["2017"]]},"page":"136-146","publisher":"Taylor &amp; Francis","title":"A design for EoL approach and metrics to favour closed-loop scenarios for products","type":"article-journal","volume":"10"},"uris":["http://www.mendeley.com/documents/?uuid=450ec5d3-1c11-4ffb-99db-c136fa269d7c","http://www.mendeley.com/documents/?uuid=2d9fdc74-142f-4be9-8a4e-e69deef1a771"]}],"mendeley":{"formattedCitation":"(Favi et al., 2017)","plainTextFormattedCitation":"(Favi et al., 2017)","previouslyFormattedCitation":"(Favi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(Favi et al., 2017)</w:t>
            </w:r>
            <w:r w:rsidRPr="00A04DD6">
              <w:rPr>
                <w:sz w:val="20"/>
                <w:szCs w:val="20"/>
                <w:lang w:val="en-GB"/>
              </w:rPr>
              <w:fldChar w:fldCharType="end"/>
            </w:r>
          </w:p>
          <w:p w14:paraId="5613EDC6" w14:textId="395D8797"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{"citationItems":[{"id":"ITEM-1","itemData":{"DOI":"10.3843/SusDev.15.3","ISBN":"1350-4509","ISSN":"1350-4509","abstract":"China is pioneering a new sustainable development model which has the ability to overcome current environmental and resource management problems, while achieving improvements in resource productivity and eco-efficiency. This model, formally accepted in 2002 and termed the ‘circular economy’, is understood to mean the realisation of a closed loop of material flows in the Chinese economic system. Successful implementation of this model is seen as one way in which China can ‘leapfrog’ past environmental damage that is typically seen as economies industrialise. This paper introduces the development of the model in China, and presents the current situation of circular economy practice in China. The paper describes current measures being implemented in China for the long-term promotion of a circular economy, including the formulation of objectives, legislation, policies and measures, so that the country can ‘leapfrog’ its way from environmentally-damaging development to a more sustainable path. The paper then identifies a series of barriers and challenges to the implementation of the concept in China. Finally, conclusions on the future of the circular economy concept are drawn. Data were derived primarily from an analysis of secondary sources (i.e. previously published papers). Additional primary data derived from the main author’s personal involvement in several circular economy initiatives were also employed.","author":[{"dropping-particle":"","family":"Geng","given":"Y","non-dropping-particle":"","parse-names":false,"suffix":""},{"dropping-particle":"","family":"Doberstein","given":"B","non-dropping-particle":"","parse-names":false,"suffix":""}],"container-title":"International Journal of Sustainable Development &amp; World Ecology","id":"ITEM-1","issue":"April 2016","issued":{"date-parts":[["2008"]]},"page":"231–239","title":"Developing the circular economy in China: Challenges and opportunities for achieving'leapfrog development'","type":"article-journal","volume":"15"},"uris":["http://www.mendeley.com/documents/?uuid=c00f6348-1cea-4e2d-83b6-85b6b0789c97"]}],"mendeley":{"formattedCitation":"(Geng and Doberstein, 2008)","plainTextFormattedCitation":"(Geng and Doberstein, 2008)","previouslyFormattedCitation":"(Geng and Doberstein, 2008)"},"properties":{"noteIndex":0},"schema":"https://github.com/citation-style-language/schema/raw/master/csl-citation.json"}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(Geng and Doberstein, 2008)</w:t>
            </w:r>
            <w:r w:rsidRPr="00A04DD6">
              <w:rPr>
                <w:sz w:val="20"/>
                <w:szCs w:val="20"/>
                <w:lang w:val="en-GB"/>
              </w:rPr>
              <w:fldChar w:fldCharType="end"/>
            </w:r>
          </w:p>
          <w:p w14:paraId="55959806"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{"citationItems":[{"id":"ITEM-1","itemData":{"DOI":"10.1016/j.jclepro.2015.09.007","ISBN":"0959-6526","ISSN":"09596526","PMID":"24910141","abstract":"In the last few years Circular Economy (CE) is receiving increasing attention worldwide as a way to overcome the current production and consumption model based on continuous growth and increasing resource throughput. By promoting the adoption of closing-the-loop production patterns within an economic system CE aims to increase the efficiency of resource use, with special focus on urban and industrial waste, to achieve a better balance and harmony between economy, environment and society. This study provides an extensive review of the literature of last two decades, with the purpose of grasping the main CE features and perspectives: origins, basic principles, advantages and disadvantages, modelling and implementation of CE at the different levels (micro, meso and macro) worldwide. Results evidence that CE origins are mainly rooted in ecological and environmental economics and industrial ecology. In China CE is promoted as a top-down national political objective while in other areas and countries as European Union, Japan and USA it is a tool to design bottom-up environmental and waste management policies. The ultimate goal of promoting CE is the decoupling of environmental pressure from economic growth. The implementation of CE worldwide still seems in the early stages, mainly focused on recycle rather than reuse. Important results have been achieved in some activity sectors (e.g. in waste management, where large waste recycling rates are achieved in selected developed countries). CE implies the adoption of cleaner production patterns at company level, an increase of producers and consumers responsibility and awareness, the use of renewable technologies and materials (wherever possible) as well as the adoption of suitable, clear and stable policies and tools. The lesson learned from successful experiences is that the transition towards CE comes from the involvement of all actors of the society and their capacity to link and create suitable collaboration and exchange patterns. Success stories also point out the need for an economic return on investment, in order to provide suitable motivation to companies and investors. In summary, the CE transition has just started. Moreover, the interdisciplinary framework underpinning CE offers good prospects for gradual improvement of the present production and consumption models, no longer adequate because of their environmental load and social inequity, a clear indicator of resource use inefficiency.","author":[{"dropping-particle":"","family":"Ghisellini","given":"Patrizia","non-dropping-particle":"","parse-names":false,"suffix":""},{"dropping-particle":"","family":"Cialani","given":"Catia","non-dropping-particle":"","parse-names":false,"suffix":""},{"dropping-particle":"","family":"Ulgiati","given":"Sergio","non-dropping-particle":"","parse-names":false,"suffix":""}],"container-title":"Journal of Cleaner Production","id":"ITEM-1","issued":{"date-parts":[["2016"]]},"page":"11-32","publisher":"Elsevier Ltd","title":"A review on circular economy: The expected transition to a balanced interplay of environmental and economic systems","type":"article-journal","volume":"114"},"uris":["http://www.mendeley.com/documents/?uuid=b16925b9-4d4d-4329-9dc2-0e6055369931","http://www.mendeley.com/documents/?uuid=6a5baf73-6887-4320-aac1-94fe927a80f4"]}],"mendeley":{"formattedCitation":"(Ghisellini et al., 2016)","plainTextFormattedCitation":"(Ghisellini et al., 2016)","previouslyFormattedCitation":"(Ghisellini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(Ghisellini et al., 2016)</w:t>
            </w:r>
            <w:r w:rsidRPr="00A04DD6">
              <w:rPr>
                <w:sz w:val="20"/>
                <w:szCs w:val="20"/>
                <w:lang w:val="en-GB"/>
              </w:rPr>
              <w:fldChar w:fldCharType="end"/>
            </w:r>
          </w:p>
          <w:p w14:paraId="66F608E0"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{"citationItems":[{"id":"ITEM-1","itemData":{"DOI":"10.3390/resources3020432","ISSN":"2079-9276","abstract":"The concept of the circular economy proposes new patterns of production, consumption and use, based on circular flows of resources. Under a scenario where there is a global shift towards the circular economy, this paper discusses the advent of two parallel and yet-to-be-connected trends for Australia, namely: (i) responsible minerals supply chains and (ii) additive manufacturing, also known as 3D production systems. Acknowledging the current context for waste management, the paper explores future interlinked questions which arise in the circular economy for responsible supply chains, additive manufacturing, and metals recycling. For example, where do mined and recycled resources fit in responsible supply chains as inputs to responsible production? What is required to ensure 3D production systems are resource efficient? How could more distributed models of production, enabled by additive manufacturing, change the geographical scale at which it is economic or desirable to close the loop? Examples are given to highlight the need for an integrated research agenda to address these questions and to foster Australian opportunities in the circular economy.","author":[{"dropping-particle":"","family":"Giurco","given":"Damien","non-dropping-particle":"","parse-names":false,"suffix":""},{"dropping-particle":"","family":"Littleboy","given":"Anna","non-dropping-particle":"","parse-names":false,"suffix":""},{"dropping-particle":"","family":"Boyle","given":"Thomas","non-dropping-particle":"","parse-names":false,"suffix":""},{"dropping-particle":"","family":"Fyfe","given":"Julian","non-dropping-particle":"","parse-names":false,"suffix":""},{"dropping-particle":"","family":"White","given":"Stuart","non-dropping-particle":"","parse-names":false,"suffix":""}],"container-title":"Resources","id":"ITEM-1","issue":"2","issued":{"date-parts":[["2014"]]},"page":"432-453","title":"Circular Economy: Questions for Responsible Minerals, Additive Manufacturing and Recycling of Metals","type":"article-journal","volume":"3"},"uris":["http://www.mendeley.com/documents/?uuid=240309b1-ef4d-463b-aa9d-764554529343","http://www.mendeley.com/documents/?uuid=f275aaa5-a638-40ed-83d1-079a9e1961bc"]}],"mendeley":{"formattedCitation":"(Giurco et al., 2014)","plainTextFormattedCitation":"(Giurco et al., 2014)","previouslyFormattedCitation":"(Giurco et al., 2014)"},"properties":{"noteIndex":0},"schema":"https://github.com/citation-style-language/schema/raw/master/csl-citation.json"}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(Giurco et al., 2014)</w:t>
            </w:r>
            <w:r w:rsidRPr="00A04DD6">
              <w:rPr>
                <w:sz w:val="20"/>
                <w:szCs w:val="20"/>
                <w:lang w:val="en-GB"/>
              </w:rPr>
              <w:fldChar w:fldCharType="end"/>
            </w:r>
          </w:p>
          <w:p w14:paraId="07BF6C65" w14:textId="68BE66F7"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{"citationItems":[{"id":"ITEM-1","itemData":{"DOI":"10.1002/tie","ISBN":"10964762","ISSN":"10964762","PMID":"84540683","abstract":"The article presents a case study to examine the Vietnamese business custom of gift giving to mark the beginning or end of a business relationship. A group of American businesspeople visiting Vietnam to scout for investment opportunities. Face to face meetings are considered a vital prelude to business dealings in Vietnam, and the American group had a positive experience. At the final meeting between the group and the Vietnamese officials with whom they had met, however, the group committed several social gaffes in the matter of their parting gift for the woman government employee who had been their tour guide and handled all its arrangements. It is suggested that Americans visting Vietnam need to plan gift-giving and similar social acknowledgements before leaving the U.S. It is also advised that American groups should appoint one person to act as their group's social spokesman.","author":[{"dropping-particle":"","family":"Goyal","given":"Sandeep","non-dropping-particle":"","parse-names":false,"suffix":""},{"dropping-particle":"","family":"Esposito","given":"Mark","non-dropping-particle":"","parse-names":false,"suffix":""},{"dropping-particle":"","family":"Kapoor","given":"Amit","non-dropping-particle":"","parse-names":false,"suffix":""}],"container-title":"Thunderbird International Business Review","id":"ITEM-1","issued":{"date-parts":[["2016"]]},"page":"1-15","title":"Circular Economy Business Models in Developing Economies: Lessons from India on Reduce, Recycle, and Reuse Paradigms","type":"article-journal"},"uris":["http://www.mendeley.com/documents/?uuid=2fe6ad3e-efc5-4a85-abfe-c04e1d2c40e2"]}],"mendeley":{"formattedCitation":"(Goyal et al., 2016)","plainTextFormattedCitation":"(Goyal et al., 2016)","previouslyFormattedCitation":"(Goyal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(Goyal et al., 2016)</w:t>
            </w:r>
            <w:r w:rsidRPr="00A04DD6">
              <w:rPr>
                <w:sz w:val="20"/>
                <w:szCs w:val="20"/>
                <w:lang w:val="en-GB"/>
              </w:rPr>
              <w:fldChar w:fldCharType="end"/>
            </w:r>
          </w:p>
          <w:p w14:paraId="55AE0B33" w14:textId="7776AC6A"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{"citationItems":[{"id":"ITEM-1","itemData":{"ISBN":"9788793435865","abstract":"Best practice examples of circular business models are presented in this report. The purpose is to inform and inspire interested readers, in particular companies that aspire to examine the potentials of the circular economy. Circular business models in two different sectors are examined, namely the textile and clothing sector as well as the durable goods sector. In order to appreciate the notion of circular business models, the basics of the circular economy are outlined along with three frameworks for categorizing the various types of circular business models. The frameworks take point of departure in resource loops, value bases and business model archetypes respectively, and they are applied for analysing and organizing the business models that are presented throughout the report. The investigations in the report show that circular business models are relevant to businesses because they hold the potential to provide significant economic benefits in addition to new ways of forming partnerships with suppliers and connecting with customers. Furthermore, circular business models generate essential environmental benefits as a result of the improved resource productivity they offer. These benefits are, however, not the key focus of the current report. The point of the study is to describe the diverse and unique circular business models that companies around the globe have established already within the textile and clothing sector and within the durable goods sector. Even though these two sectors are different, circular business models can be found in both. These models operate in both young and mature firms, small and large, which points to the fact that circular business models can be successfully implemented in a wide range of business settings as long as they are individually tailored to each company. The notion of individually tailored business models is important. Hence, the business models are found to be versatile in both industries, and speading across all of the aforementioned resource loops, value bases and business model archetypes. Some companies choose to focus on just one resource loop, while others are involved in several loops. Some work with resource loops in relation to their supply chain, invisible to the end-user, but others built relationships with end-users through new circular offerings. Moreover, in some of the best practice examples presented, resource loops are tightly closed, whereas in other cases they are more open due to initia…","author":[{"dropping-particle":"","family":"Guldmann","given":"Eva","non-dropping-particle":"","parse-names":false,"suffix":""}],"id":"ITEM-1","issued":{"date-parts":[["2016"]]},"number-of-pages":"56","title":"Best Practice Examples of Circular Business Models","type":"report"},"uris":["http://www.mendeley.com/documents/?uuid=6258e57f-2f23-4b2e-a719-8d90db390f3e"]}],"mendeley":{"formattedCitation":"(Guldmann, 2016)","plainTextFormattedCitation":"(Guldmann, 2016)","previouslyFormattedCitation":"(Guldmann,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(Guldmann, 2016)</w:t>
            </w:r>
            <w:r w:rsidRPr="00A04DD6">
              <w:rPr>
                <w:sz w:val="20"/>
                <w:szCs w:val="20"/>
                <w:lang w:val="en-GB"/>
              </w:rPr>
              <w:fldChar w:fldCharType="end"/>
            </w:r>
          </w:p>
          <w:p w14:paraId="10F07953"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{"citationItems":[{"id":"ITEM-1","itemData":{"DOI":"10.3390/recycling1020242","ISBN":"4961815942","ISSN":"2313-4321","abstract":"This paper provides an overview of ongoing European policy actions to improve the circular management of non-ferrous metals. After explaining why metals are at the center of the European Union’s circular economy initiative, the authors outline a number of issues that still need tackling to “close the loop”, and prevent Europe’s metals from being landfilled, incinerated, or exported without guarantee of high-quality treatment. Electronic waste is focused on in detail during this analysis, because of the special challenges in environmentally sound recovery of smaller quantities of valuable and precious metals. In particular, the authors find that a mandatory certification scheme for recyclers of electronic waste, in or out of Europe, would help to incentivize high-quality treatment processes and efficient material recovery. More generally, the article finds that the European Commission’s waste legislation proposals and Action Plan begins to address key challenges, provided the requirements are implemented strongly and consistently across Member States. In particular, it is crucial that EU policy establishes level playing field conditions for European metals recyclers.","author":[{"dropping-particle":"","family":"Hagelüken","given":"Christian","non-dropping-particle":"","parse-names":false,"suffix":""},{"dropping-particle":"","family":"Lee-Shin","given":"Ji","non-dropping-particle":"","parse-names":false,"suffix":""},{"dropping-particle":"","family":"Carpentier","given":"Annick","non-dropping-particle":"","parse-names":false,"suffix":""},{"dropping-particle":"","family":"Heron","given":"Chris","non-dropping-particle":"","parse-names":false,"suffix":""}],"container-title":"Recycling","id":"ITEM-1","issue":"2","issued":{"date-parts":[["2016"]]},"page":"242-253","title":"The EU Circular Economy and Its Relevance to Metal Recycling","type":"article-journal","volume":"1"},"uris":["http://www.mendeley.com/documents/?uuid=86f24375-4ddb-405e-a55a-d08c30f24e8a","http://www.mendeley.com/documents/?uuid=690300ba-925d-41ac-b892-ba27658e3e93"]}],"mendeley":{"formattedCitation":"(Hagelüken et al., 2016)","plainTextFormattedCitation":"(Hagelüken et al., 2016)","previouslyFormattedCitation":"(Hagelüken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(Hagelüken et al., 2016)</w:t>
            </w:r>
            <w:r w:rsidRPr="00A04DD6">
              <w:rPr>
                <w:sz w:val="20"/>
                <w:szCs w:val="20"/>
                <w:lang w:val="en-GB"/>
              </w:rPr>
              <w:fldChar w:fldCharType="end"/>
            </w:r>
          </w:p>
          <w:p w14:paraId="746B17CD" w14:textId="43C6E560"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{"citationItems":[{"id":"ITEM-1","itemData":{"DOI":"10.1186/s13243-016-0025-z","ISBN":"9788578110796","ISSN":"22104690","PMID":"25246403","abstract":"Legislative requirements are motivating vehicle manufacturers to produce innovative electric vehicle (EV), hybrid electric vehicle (HEV) and plug-in hybrid electric vehicle (PHEV) concepts. End-of-Life (EOL) for the vehicle's battery is often taken to be the battery having 80% retained capacity. Even at this lower threshold, there is still considerable inherent value embedded within the battery system. The extraction of raw materials through recycling and the use of the battery in second life applications are widely documented. In contrast, there has been relatively little research published that investigates the options and requirements for remanufacturing the vehicle's battery system as one means of improving the efficiency of the overall production process. This paper addresses two of the barriers, often cited, that inhibit organizations from adopting a remanufacturing strategy--ambiguity regarding the meaning of remanufacturing and uncertainty in how to manage intellectual property (IP). Based on a critical review of UK law and legal decisions pertaining to remanufacturing, the authors propose a revised set of definitions for circular economy activities, exploiting the terms: warranty and design-life to provide a clear differentiation for remanufacturing. The authors also propose a new framework for managing IP uncertainty. The model may be employed by both original equipment manufacturers (OEMs) to protect their innovations and remanufacturing activities and by independent organizations seeking to remanufacture OEM products.","author":[{"dropping-particle":"","family":"Hartwell","given":"Ian","non-dropping-particle":"","parse-names":false,"suffix":""},{"dropping-particle":"","family":"Marco","given":"James","non-dropping-particle":"","parse-names":false,"suffix":""}],"container-title":"Journal of Remanufacturing","id":"ITEM-1","issue":"3","issued":{"date-parts":[["2016"]]},"page":"1-19","publisher":"Journal of Remanufacturing","title":"Management of intellectual property uncertainty in a remanufacturing strategy for automotive energy storage systems","type":"article-journal","volume":"6"},"uris":["http://www.mendeley.com/documents/?uuid=08d041ff-92a9-4825-a7e2-5547774d0281"]}],"mendeley":{"formattedCitation":"(Hartwell and Marco, 2016)","plainTextFormattedCitation":"(Hartwell and Marco, 2016)","previouslyFormattedCitation":"(Hartwell and Marco,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(Hartwell and Marco, 2016)</w:t>
            </w:r>
            <w:r w:rsidRPr="00A04DD6">
              <w:rPr>
                <w:sz w:val="20"/>
                <w:szCs w:val="20"/>
                <w:lang w:val="en-GB"/>
              </w:rPr>
              <w:fldChar w:fldCharType="end"/>
            </w:r>
          </w:p>
          <w:p w14:paraId="4B7D0B95" w14:textId="03D2FBA0"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{"citationItems":[{"id":"ITEM-1","itemData":{"DOI":"10.1016/j.procir.2016.01.067","ISBN":"2212-8271","ISSN":"22128271","abstract":"At the current alarming growth rate of the world's consumption, the linear economy model of creating products, using these products, and then disposing of them, with no consideration of the environmental, societal and economic impacts and consequences, is a flawed manufacturing approach that is unsustainable. Therefore, envisioning a future where nothing is wasted; a future where every \"waste\" becomes an asset, and no value goes unrecovered; a future where all products at the end of their primary use are recovered and either reused, remanufactured, or recycled for multiple generations, has become more than a reality, but a necessity. This emerging concept of circular economy, although gaining attention, lacks a technological perspective for effective implementation. This paper presents the principles of sustainable manufacturing to serve as the basis, and to provide the technological elements to ensure the creation of a circular economy. 6R-based technological elements are identified and shown as essential ingredients for achieving economic growth, environmental protection and societal benefits. Also presented is a case study with application that shows the life cycle cost benefits. An outlook for future research is then presented.","author":[{"dropping-particle":"","family":"Jawahir","given":"I.S.","non-dropping-particle":"","parse-names":false,"suffix":""},{"dropping-particle":"","family":"Bradley","given":"Ryan","non-dropping-particle":"","parse-names":false,"suffix":""}],"container-title":"Procedia CIRP","id":"ITEM-1","issued":{"date-parts":[["2016"]]},"page":"103-108","publisher":"Elsevier B.V.","title":"Technological Elements of Circular Economy and the Principles of 6R-Based Closed-loop Material Flow in Sustainable Manufacturing","type":"article-journal","volume":"40"},"uris":["http://www.mendeley.com/documents/?uuid=577d678f-c121-45ac-bcd7-006a851b918c","http://www.mendeley.com/documents/?uuid=a51f5c7d-6aac-4eca-8bce-083d7393d191"]}],"mendeley":{"formattedCitation":"(Jawahir and Bradley, 2016)","plainTextFormattedCitation":"(Jawahir and Bradley, 2016)","previouslyFormattedCitation":"(Jawahir and Bradley,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(Jawahir and Bradley, 2016)</w:t>
            </w:r>
            <w:r w:rsidRPr="00A04DD6">
              <w:rPr>
                <w:sz w:val="20"/>
                <w:szCs w:val="20"/>
                <w:lang w:val="en-GB"/>
              </w:rPr>
              <w:fldChar w:fldCharType="end"/>
            </w:r>
          </w:p>
          <w:p w14:paraId="17323390" w14:textId="32EB5AF1"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{"citationItems":[{"id":"ITEM-1","itemData":{"DOI":"10.1016/j.jclepro.2017.11.023","ISSN":"09596526","abstract":"Remanufacturing is a viable way to prolong the useful life of an end-of-use product or its parts. Despite its economic, environmental, and social benefits, remanufacturing is associated with many challenges related to core (used product or its part) availability, timing and quality. The aim of this paper is to study how lean production could be used to tackle remanufacturing process challenges and contribute to shorter lead times. To meet this aim, we conducted a literature review and case studies of four remanufacturing companies. The case companies’ remanufacturing challenges were: (1) a lack of material requirements planning system, (2) poor core information, (3) a lack of core material, (4) poor spare parts information, (5) a lack of spare parts material, (6) insufficient quality management practices, (7) large inventories, (8) stochastic remanufacturing processes, (9) a lack of supply-demand balance, and (10) insufficient automation. These challenges contribute to long and variable remanufacturing process lead times. To tackle remanufacturing challenges, seven lean-based improvements with a major effect on improvements in lead time were suggested: standard operations, continuous flow, Kanban, teamwork, employee cross-training, layout for continuous flow, and supplier partnership. Providing that the suggested improvements are implemented, a possible lead time reduction of 83–99 per cent was projected.","author":[{"dropping-particle":"","family":"Kurilova-Palisaitiene","given":"Jelena","non-dropping-particle":"","parse-names":false,"suffix":""},{"dropping-particle":"","family":"Sundin","given":"Erik","non-dropping-particle":"","parse-names":false,"suffix":""},{"dropping-particle":"","family":"Poksinska","given":"Bonnie","non-dropping-particle":"","parse-names":false,"suffix":""}],"container-title":"Journal of Cleaner Production","id":"ITEM-1","issued":{"date-parts":[["2018"]]},"page":"3225-3236","publisher":"Elsevier Ltd","title":"Remanufacturing challenges and possible lean improvements","type":"article-journal","volume":"172"},"uris":["http://www.mendeley.com/documents/?uuid=c97b42aa-c134-45dc-a08f-1a6825fbdb56"]}],"mendeley":{"formattedCitation":"(Kurilova-Palisaitiene et al., 2018)","plainTextFormattedCitation":"(Kurilova-Palisaitiene et al., 2018)","previouslyFormattedCitation":"(Kurilova-Palisaitiene et al., 2018)"},"properties":{"noteIndex":0},"schema":"https://github.com/citation-style-language/schema/raw/master/csl-citation.json"}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(Kurilova-Palisaitiene et al., 2018)</w:t>
            </w:r>
            <w:r w:rsidRPr="00A04DD6">
              <w:rPr>
                <w:sz w:val="20"/>
                <w:szCs w:val="20"/>
                <w:lang w:val="en-GB"/>
              </w:rPr>
              <w:fldChar w:fldCharType="end"/>
            </w:r>
          </w:p>
          <w:p w14:paraId="7BF0EC62" w14:textId="77777777" w:rsidR="005E0E7F" w:rsidRPr="00A04DD6" w:rsidRDefault="005E0E7F" w:rsidP="00D62E44">
            <w:pPr>
              <w:rPr>
                <w:sz w:val="20"/>
                <w:szCs w:val="20"/>
                <w:lang w:val="en-GB"/>
              </w:rPr>
            </w:pPr>
            <w:r w:rsidRPr="00A04DD6">
              <w:rPr>
                <w:sz w:val="20"/>
                <w:szCs w:val="20"/>
                <w:lang w:val="en-GB"/>
              </w:rPr>
              <w:lastRenderedPageBreak/>
              <w:fldChar w:fldCharType="begin" w:fldLock="1"/>
            </w:r>
            <w:r w:rsidRPr="00A04DD6">
              <w:rPr>
                <w:sz w:val="20"/>
                <w:szCs w:val="20"/>
                <w:lang w:val="en-GB"/>
              </w:rPr>
              <w:instrText>ADDIN CSL_CITATION {"citationItems":[{"id":"ITEM-1","itemData":{"DOI":"10.1016/j.desal.2016.04.002","ISBN":"0011-9164","ISSN":"00119164","abstract":"Reverse osmosis (RO) is the most employed technology for water desalination. Energy consumption and membrane fouling represent some of the major concerns in membrane technology because they increase the costs associated with treated water. Membrane lifespan is mainly correlated to the quality of the water and the operation condition and it is estimated that often membrane lifespan is 5 to 10 years. Remarkable advances have been made improving the reverse osmosis desalination by integrating pretreatment and cleaning processes. Attending to the membrane active layer, substantial research efforts have been conducted in preparing new antifouling RO membranes to i) enhance antifouling properties, ii) obtain high recovery flux and iii) have low energy requirements. However, scarce research has been detected in literature regarding end-of-life membrane management. This review summarizes the most representative research activities conducted to prevent membrane fouling. In addition, it highlights alternative routes to discarded end-of-life-membranes in order to prevent the uncontrolled disposal of fouled membranes in landfills. In this way, this review aims at summarizing research efforts found in literature in order to approach a more circular economy society, covering the whole life cycle of RO membranes: from the new development of antifouling membranes to the membrane waste management.","author":[{"dropping-particle":"","family":"Landaburu-Aguirre","given":"Junkal","non-dropping-particle":"","parse-names":false,"suffix":""},{"dropping-particle":"","family":"García-Pacheco","given":"Raquel","non-dropping-particle":"","parse-names":false,"suffix":""},{"dropping-particle":"","family":"Molina","given":"Serena","non-dropping-particle":"","parse-names":false,"suffix":""},{"dropping-particle":"","family":"Rodríguez-Sáez","given":"Laura","non-dropping-particle":"","parse-names":false,"suffix":""},{"dropping-particle":"","family":"Rabadán","given":"Javier","non-dropping-particle":"","parse-names":false,"suffix":""},{"dropping-particle":"","family":"García-Calvo","given":"Eloy","non-dropping-particle":"","parse-names":false,"suffix":""}],"container-title":"Desalination","id":"ITEM-1","issued":{"date-parts":[["2016"]]},"page":"16-30","publisher":"Elsevier B.V.","title":"Fouling prevention, preparing for re-use and membrane recycling. Towards circular economy in RO desalination","type":"article-journal","volume":"393"},"uris":["http://www.mendeley.com/documents/?uuid=48c93363-3511-4fae-80c9-44c3e9bdc6ce","http://www.mendeley.com/documents/?uuid=8ce2456f-f955-4824-af2b-965730ac6a08"]}],"mendeley":{"formattedCitation":"(Landaburu-Aguirre et al., 2016)","plainTextFormattedCitation":"(Landaburu-Aguirre et al., 2016)","previouslyFormattedCitation":"(Landaburu-Aguirre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(Landaburu-Aguirre et al., 2016)</w:t>
            </w:r>
            <w:r w:rsidRPr="00A04DD6">
              <w:rPr>
                <w:sz w:val="20"/>
                <w:szCs w:val="20"/>
                <w:lang w:val="en-GB"/>
              </w:rPr>
              <w:fldChar w:fldCharType="end"/>
            </w:r>
          </w:p>
          <w:p w14:paraId="64A959F8" w14:textId="7AB778F9"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{"citationItems":[{"id":"ITEM-1","itemData":{"DOI":"10.1016/j.envint.2016.05.012","ISBN":"0160-4120","ISSN":"18736750","PMID":"27262786","abstract":"The Stockholm Convention bans toxic chemicals on its persistent organic pollutants (POPs) list in order to promote cleaner production and prevent POPs accumulation in the global environment. The original 'dirty dozen' set of POPs has been expanded to include some of the brominated diphenyl ether flame retardants (POP-BDEs). In addition to cleaner production, there is an urgent need for increased resource efficiency to address the finite amount of raw materials on Earth. Recycling plastic enhances resource efficiency and is part of the circular economy approach, but how clean are the materials we are recycling? With the help of a new screening method and detailed analyses, we set out to investigate where these largely obsolete BDEs were showing up in Dutch automotive and electronics waste streams, calculate mass flows and determine to what extent they are entering the new product chains. Our study revealed that banned BDEs and other toxic flame retardants are found at high concentrations in certain plastic materials destined for recycling markets. They were also found in a variety of new consumer products, including children's toys. A mass flow analysis showed that 22% of all the POP-BDE in waste electrical and electronic equipment (WEEE) is expected to end up in recycled plastics because these toxic, bioaccumulative and persistent substances are currently not effectively separated out of plastic waste streams. In the automotive sector, this is 14%, while an additional 19% is expected to end up in second-hand parts (reuse). These results raise the issue of delicate trade-offs between consumer safety/cleaner production and resource efficiency. As petroleum intensive materials, plastic products ought to be repaired, reused, remanufactured and recycled, making good use of the 'inner circles' of the circular economy. Keeping hazardous substances - whether they are well known POPs or emerging contaminants - out of products and plastic waste streams could make these cycles work better for businesses, people and nature.","author":[{"dropping-particle":"","family":"Leslie","given":"H.A.","non-dropping-particle":"","parse-names":false,"suffix":""},{"dropping-particle":"","family":"Leonards","given":"P.E.G.","non-dropping-particle":"","parse-names":false,"suffix":""},{"dropping-particle":"","family":"Brandsma","given":"S.H.","non-dropping-particle":"","parse-names":false,"suffix":""},{"dropping-particle":"","family":"Boer","given":"J.","non-dropping-particle":"de","parse-names":false,"suffix":""},{"dropping-particle":"","family":"Jonkers","given":"N.","non-dropping-particle":"","parse-names":false,"suffix":""}],"container-title":"Environment International","id":"ITEM-1","issued":{"date-parts":[["2016"]]},"page":"230-234","publisher":"Elsevier Ltd","title":"Propelling plastics into the circular economy - weeding out the toxics first","type":"article-journal","volume":"94"},"uris":["http://www.mendeley.com/documents/?uuid=1aa0b29f-64c0-4901-b754-1c506ac46d2a","http://www.mendeley.com/documents/?uuid=bed93ff2-0667-4957-9e2f-be1e00556584"]}],"mendeley":{"formattedCitation":"(Leslie et al., 2016)","plainTextFormattedCitation":"(Leslie et al., 2016)","previouslyFormattedCitation":"(Leslie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(Leslie et al., 2016)</w:t>
            </w:r>
            <w:r w:rsidRPr="00A04DD6">
              <w:rPr>
                <w:sz w:val="20"/>
                <w:szCs w:val="20"/>
                <w:lang w:val="en-GB"/>
              </w:rPr>
              <w:fldChar w:fldCharType="end"/>
            </w:r>
          </w:p>
          <w:p w14:paraId="4FED6E5D" w14:textId="329193BA"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{"citationItems":[{"id":"ITEM-1","itemData":{"DOI":"10.1007/s00170-017-0610-9","ISBN":"0017001706","ISSN":"14333015","abstract":"The recent circular economy movement has raised awareness and interest about untapped environmental and economic potential in the manufacturing industry. One of the crucial aspects in the implementation of circular or closed-loop manufacturing approach is the design of circular products. While it is obvious that three post-use strategies, i.e., reuse, remanufacturing, and recycling, are highly relevant to achieve loop closure, it is enormously challenging to choose “the right” strategy (if at all) during the early design stage and especially at the single component level. One reason is that economic and environmental impacts of adapting these strategies are not explicit as they vary depending on the chosen business model and associated supply chains. In this scenario, decision support is essential to motivate adaptation of regenerative design strategies. The main purpose of this paper is to provide reliable decision support at the intersection of multiple lifecycle design and business models in the circular economy context to identify effects on cost and CO2 emissions. The development of this work consists of a systematic method to quantify design effort for different circular design options through a multi-method simulation approach. The simulation model combines an agent-based product architecture and a discrete event closed-loop supply chain model. Feasibility of the model is tested using a case of a washing machine provided by Gorenje d.d. Firstly, design efforts for reuse, remanufacturing, and recycling are quantified. Secondly, cost and emissions of different design options are explored with different business model configurations. Finally, an optimization experiment is run to identify the most cost-effective combination of reused, remanufactured, and recycled components for a business model chosen on the basis of the explorative study results. © 2017 The Author(s)","author":[{"dropping-particle":"","family":"Lieder","given":"Michael","non-dropping-particle":"","parse-names":false,"suffix":""},{"dropping-particle":"","family":"Asif","given":"Farazee M.A.","non-dropping-particle":"","parse-names":false,"suffix":""},{"dropping-particle":"","family":"Rashid","given":"Amir","non-dropping-particle":"","parse-names":false,"suffix":""},{"dropping-particle":"","family":"Mihelič","given":"Aleš","non-dropping-particle":"","parse-names":false,"suffix":""},{"dropping-particle":"","family":"Kotnik","given":"Simon","non-dropping-particle":"","parse-names":false,"suffix":""}],"container-title":"International Journal of Advanced Manufacturing Technology","id":"ITEM-1","issue":"5-8","issued":{"date-parts":[["2017"]]},"page":"1953-1970","title":"Towards circular economy implementation in manufacturing systems using a multi-method simulation approach to link design and business strategy","type":"article-journal","volume":"93"},"uris":["http://www.mendeley.com/documents/?uuid=1c6b055f-f5f4-462b-aed9-8e35091db7ab"]}],"mendeley":{"formattedCitation":"(Lieder et al., 2017b)","plainTextFormattedCitation":"(Lieder et al., 2017b)","previouslyFormattedCitation":"(Lieder et al., 2017b)"},"properties":{"noteIndex":0},"schema":"https://github.com/citation-style-language/schema/raw/master/csl-citation.json"}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(Lieder et al., 2017b)</w:t>
            </w:r>
            <w:r w:rsidRPr="00A04DD6">
              <w:rPr>
                <w:sz w:val="20"/>
                <w:szCs w:val="20"/>
                <w:lang w:val="en-GB"/>
              </w:rPr>
              <w:fldChar w:fldCharType="end"/>
            </w:r>
          </w:p>
          <w:p w14:paraId="62AFB582" w14:textId="1945DAFA"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{"citationItems":[{"id":"ITEM-1","itemData":{"DOI":"10.1002/bse.1906","ISBN":"1099-0836","ISSN":"10990836","abstract":"Circular business models based on remanufacturing and reuse promise significant cost savings as well as radical reductions in environmental impact. Variants of such business models have been suggested for decades, and there are notable success stories such as the Xerox product–service offering based on photocopiers that are remanufactured. Still, we are not seeing widespread adoption in industry. This paper examines causes for reluctance. Drawing on a hypothesis-testing framework of business model innovation, we show that circular business models imply significant challenges to proactive uncertainty reduction for the entrepreneur. Moreover, we show that many product–service system variants that facilitate return flow control in circular business models further aggravate the potential negative effects of failed uncertainty reduction because of increased capital commitments. Through a longitudinal action research study we also provide a counterexample to many of the challenges identified in previous studies, which could be overcome in the studied case. Copyright © 2015 John Wiley &amp; Sons, Ltd and ERP Environment","author":[{"dropping-particle":"","family":"Linder","given":"Marcus","non-dropping-particle":"","parse-names":false,"suffix":""},{"dropping-particle":"","family":"Williander","given":"Mats","non-dropping-particle":"","parse-names":false,"suffix":""}],"container-title":"Business Strategy and the Environment","id":"ITEM-1","issue":"2","issued":{"date-parts":[["2017"]]},"page":"182-196","title":"Circular Business Model Innovation: Inherent Uncertainties","type":"article-journal","volume":"26"},"uris":["http://www.mendeley.com/documents/?uuid=bdb7f87c-693a-4e41-94b6-7eaa593e7503"]}],"mendeley":{"formattedCitation":"(Linder and Williander, 2017)","plainTextFormattedCitation":"(Linder and Williander, 2017)","previouslyFormattedCitation":"(Linder and Williander,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(Linder and Williander, 2017)</w:t>
            </w:r>
            <w:r w:rsidRPr="00A04DD6">
              <w:rPr>
                <w:sz w:val="20"/>
                <w:szCs w:val="20"/>
                <w:lang w:val="en-GB"/>
              </w:rPr>
              <w:fldChar w:fldCharType="end"/>
            </w:r>
          </w:p>
          <w:p w14:paraId="09D32042" w14:textId="204A406F"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{"citationItems":[{"id":"ITEM-1","itemData":{"DOI":"10.1002/pts.2337","ISSN":"10991522","abstract":"This paper draws on the findings of a Department for Environment and\nRural Affairs funded collaborative research project run by the\nLoughborough Design School in collaboration with Boots Alliance GmbH and\npresents guidelines for design teams regarding the design of successful,\nsustainable, refillable packaging. The study focused on body wash\nproducts in the area of personal care. A broad range of qualitative\nmethods were used to create a background framework, develop design\nconcepts, and test the viability of the design solutions. Two concepts\nwere turned into high-fidelity prototypes and tested in multi-activity\nuser focus groups. The prototypes were also evaluated from an\nenvironmental perspective using the Eco Indicator 99. Discussion is\nfocused around general findings regarding refillable packing and also on\nspecific findings related to concentrates mixed in the parent pack. The\nfindings from this study have dramatically increased levels of\nunderstanding about the potential implications of refillable packaging\nand how it might be successfully used by business. A range of guidelines\nfor the design of refills have been identified, which help to build a\nclearer picture of the requirements of successful refillable packaging\ndesign. Additionally, a much more detailed understanding of consumer\nperceptions, business challenges/opportunities, and environmental\nsavings associated with concentrated refills that are mixed in the\nparent pack, has been identified. It has been seen that to be successful\nrefills must perform for the consumer, the environment, and business,\nand although this may sound unsurprising, it is challenging to achieve.\nIt means they must offer good quality; be very easy to use and\nappropriately delivered; be clearly communicated; be offered through a\nbrand consumers like; and represent good value, whilst radically\nreducing the amount of packaging manufactured and distributed.\nIncorporating carefully considered consumer and environmental needs into\nthe brief is critical to the successful development of refillable\npackaging.","author":[{"dropping-particle":"","family":"Lofthouse","given":"Vicky","non-dropping-particle":"","parse-names":false,"suffix":""},{"dropping-particle":"","family":"Trimingham","given":"Rhoda","non-dropping-particle":"","parse-names":false,"suffix":""},{"dropping-particle":"","family":"Bhamra","given":"Tracy","non-dropping-particle":"","parse-names":false,"suffix":""}],"container-title":"Packaging Technology and Science","id":"ITEM-1","issue":"12","issued":{"date-parts":[["2017"]]},"page":"809-818","title":"Reinventing refills: guidelines for design","type":"article-journal","volume":"30"},"uris":["http://www.mendeley.com/documents/?uuid=88dad371-8f48-488b-b09d-9ba07457fd12"]}],"mendeley":{"formattedCitation":"(Lofthouse et al., 2017)","plainTextFormattedCitation":"(Lofthouse et al., 2017)","previouslyFormattedCitation":"(Lofthouse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(Lofthouse et al., 2017)</w:t>
            </w:r>
            <w:r w:rsidRPr="00A04DD6">
              <w:rPr>
                <w:sz w:val="20"/>
                <w:szCs w:val="20"/>
                <w:lang w:val="en-GB"/>
              </w:rPr>
              <w:fldChar w:fldCharType="end"/>
            </w:r>
          </w:p>
          <w:p w14:paraId="03894A43" w14:textId="2A882F7A"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{"citationItems":[{"id":"ITEM-1","itemData":{"author":[{"dropping-particle":"","family":"Milios","given":"Leonidas","non-dropping-particle":"","parse-names":false,"suffix":""}],"container-title":"ERSCP 2017 - 18th European Roundtable on Sustainable Consumption and Production Conference","id":"ITEM-1","issued":{"date-parts":[["2017"]]},"page":"1-11","title":"The 'circular' building materials challenge : a case-based policy approach policy approach","type":"paper-conference"},"uris":["http://www.mendeley.com/documents/?uuid=d765cb74-e10c-44bd-ac93-aa15cd79ce63","http://www.mendeley.com/documents/?uuid=f245ad80-84bd-4ecb-9698-772ab61bfa13"]}],"mendeley":{"formattedCitation":"(Milios, 2017)","plainTextFormattedCitation":"(Milios, 2017)","previouslyFormattedCitation":"(Milios,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(Milios, 2017)</w:t>
            </w:r>
            <w:r w:rsidRPr="00A04DD6">
              <w:rPr>
                <w:sz w:val="20"/>
                <w:szCs w:val="20"/>
                <w:lang w:val="en-GB"/>
              </w:rPr>
              <w:fldChar w:fldCharType="end"/>
            </w:r>
          </w:p>
          <w:p w14:paraId="44F2AE5A" w14:textId="4F55ECF4"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{"citationItems":[{"id":"ITEM-1","itemData":{"abstract":"The Circular Economy is increasingly seen as a complete or partial solution to address sustainable development. An economic system that minimises resource input into and waste, emission, and energy leakage out of the system, is hoped to mitigate negative impacts without jeopardising growth and prosperity. This paper discusses the sustainability performance of the circular business models (CBM) necessary to implement the concept on an organisational level with two case studies - an office furniture remanufacturing operation, and an aluminium sheet manufacturer - from a value-based perspective. We find that both companies feature a CBM and that it helps in realising their sustainability ambitions.","author":[{"dropping-particle":"","family":"Morioka","given":"Sandra Naomi","non-dropping-particle":"","parse-names":false,"suffix":""},{"dropping-particle":"","family":"Geissdoerfer","given":"Martin","non-dropping-particle":"","parse-names":false,"suffix":""},{"dropping-particle":"","family":"Evans","given":"Steve","non-dropping-particle":"","parse-names":false,"suffix":""}],"container-title":"EurOMA 2016 - 23rd European Operations Management Association Conference","id":"ITEM-1","issued":{"date-parts":[["2016"]]},"page":"1-10","publisher-place":"Trondheim","title":"A combined discussion on sustainable development and circular economy business models","type":"paper-conference"},"uris":["http://www.mendeley.com/documents/?uuid=17245906-8898-4c5e-bb7d-1c557ab030ed"]}],"mendeley":{"formattedCitation":"(Morioka et al., 2016)","plainTextFormattedCitation":"(Morioka et al., 2016)","previouslyFormattedCitation":"(Morioka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(Morioka et al., 2016)</w:t>
            </w:r>
            <w:r w:rsidRPr="00A04DD6">
              <w:rPr>
                <w:sz w:val="20"/>
                <w:szCs w:val="20"/>
                <w:lang w:val="en-GB"/>
              </w:rPr>
              <w:fldChar w:fldCharType="end"/>
            </w:r>
          </w:p>
          <w:p w14:paraId="2D178D83" w14:textId="55815499"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{"citationItems":[{"id":"ITEM-1","itemData":{"DOI":"10.1016/j.jclepro.2017.01.111","ISSN":"09596526","abstract":"As smartphones are being replaced at an increasing rate, it becomes more and more important to find ways to reuse (parts of) existing phones. This research investigates the potential of selling refurbished smartphones using a quantitative study. An online survey was conducted questioning 250 respondents, in which the perceived consumer risks and benefits associated with refurbished phones were investigated. Furthermore, we studied the impact of various incentives that companies can employ to improve consumers’ purchase intention of refurbished phones. Through a cluster analysis six distinct customer groups were identified. Our sample demonstrated a positive attitude towards refurbished smartphones, with most potential for three out of our six customer groups (46% of our sample). This indicates that refurbished smartphones can be a market success. It was found that perceived environmental benefits and awareness of refurbishing have a positive impact on the consumers’ purchase intention for refurbished smartphones. Most of the highest scoring incentives for purchasing refurbished smartphones were product-related and included improved battery life, guaranteed software updates and upgraded performance, indicating a need for continued performance. This research contributes to our theoretical understanding of consumer responses to refurbished smartphones and can help companies in launching these products successfully.","author":[{"dropping-particle":"","family":"Mugge","given":"Ruth","non-dropping-particle":"","parse-names":false,"suffix":""},{"dropping-particle":"","family":"Jockin","given":"Boris","non-dropping-particle":"","parse-names":false,"suffix":""},{"dropping-particle":"","family":"Bocken","given":"Nancy M.P.","non-dropping-particle":"","parse-names":false,"suffix":""}],"container-title":"Journal of Cleaner Production","id":"ITEM-1","issued":{"date-parts":[["2017"]]},"page":"284-296","publisher":"Elsevier Ltd","title":"How to sell refurbished smartphones? An investigation of different customer groups and appropriate incentives","type":"article-journal","volume":"147"},"uris":["http://www.mendeley.com/documents/?uuid=9580e64f-b1b7-46ec-b407-f9dc984b1e62"]}],"mendeley":{"formattedCitation":"(Mugge et al., 2017)","plainTextFormattedCitation":"(Mugge et al., 2017)","previouslyFormattedCitation":"(Mugge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(Mugge et al., 2017)</w:t>
            </w:r>
            <w:r w:rsidRPr="00A04DD6">
              <w:rPr>
                <w:sz w:val="20"/>
                <w:szCs w:val="20"/>
                <w:lang w:val="en-GB"/>
              </w:rPr>
              <w:fldChar w:fldCharType="end"/>
            </w:r>
          </w:p>
          <w:p w14:paraId="7B9C93C2"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{"citationItems":[{"id":"ITEM-1","itemData":{"DOI":"10.1021/acssuschemeng.6b01954","ISBN":"21680485","ISSN":"21680485","abstract":"Rapid innovation in the field of electronic technologies through the use of rare earth and specialty elements (RESE) has made the electronics industry one of the most rapidly evolving industries to date. However, innovations to harvest these same materials from complex waste streams have not kept pace, thus leading to an unsustainable material supply chain reliant on the mining of increasingly difficult-to-extract ores. Here, we aim to provide a strategy to mitigate these challenges, identifying the technical research and development needed to further sustainable electronics through Green Engineering and the vision of a “circular economy”. This strategy includes (1) design devices for disassembly, (2) materials for substitution, (3) manufacturing processes that enable the use of recycled materials, (4) fabrication efficiency, (5) technology interventions to enable e-waste recovery, (6) methods to collect and separate e-waste components, (7) technologies to digest and recover RESE, and (8) technologies to ...","author":[{"dropping-particle":"","family":"O'Connor","given":"Megan P.","non-dropping-particle":"","parse-names":false,"suffix":""},{"dropping-particle":"","family":"Zimmerman","given":"Julie B.","non-dropping-particle":"","parse-names":false,"suffix":""},{"dropping-particle":"","family":"Anastas","given":"Paul T.","non-dropping-particle":"","parse-names":false,"suffix":""},{"dropping-particle":"","family":"Plata","given":"Desiree L.","non-dropping-particle":"","parse-names":false,"suffix":""}],"container-title":"ACS Sustainable Chemistry and Engineering","id":"ITEM-1","issue":"11","issued":{"date-parts":[["2016"]]},"page":"5879-5888","title":"A strategy for material supply chain sustainability: Enabling a circular economy in the electronics industry through green engineering","type":"article-journal","volume":"4"},"uris":["http://www.mendeley.com/documents/?uuid=1a7ca7eb-c3cf-4cb6-a2fc-221669d2c210","http://www.mendeley.com/documents/?uuid=09729077-a3e4-430b-97e9-ccbfd84ce472"]}],"mendeley":{"formattedCitation":"(O’Connor et al., 2016)","plainTextFormattedCitation":"(O’Connor et al., 2016)","previouslyFormattedCitation":"(O’Connor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(O’Connor et al., 2016)</w:t>
            </w:r>
            <w:r w:rsidRPr="00A04DD6">
              <w:rPr>
                <w:sz w:val="20"/>
                <w:szCs w:val="20"/>
                <w:lang w:val="en-GB"/>
              </w:rPr>
              <w:fldChar w:fldCharType="end"/>
            </w:r>
          </w:p>
          <w:p w14:paraId="40DD6A05" w14:textId="4A573A12"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{"citationItems":[{"id":"ITEM-1","itemData":{"DOI":"10.1016/j.jclepro.2013.06.012","ISBN":"0959-6526","ISSN":"09596526","abstract":"For sustainability of our future societies we need sustainable manufacturing strategies with resource and environment conservation as their integral part. In this perspective closed-loop supply chains are considered as the most feasible solution. However, their implementation within the paradigm of prevailing open-loop product systems seems extremely complicated and practically infeasible. This paper argues for a radical shift in thinking on the closed-loop systems and presents the novel concept of Resource Conservative Manufacturing (ResCoM). The ResCoM concept considers the conservation of energy, material and value added with waste prevention and environment protection as integrated components of the product design and development strategy. It also presents the innovative idea of products with multiple lifecycles where several lifecycles of predefined duration are determined already at the product design stage thus demanding for new design strategies and methodologies. To succeed with this concept ResCoM advocates for new approach to supply chain design and business models as well, where the customers are integral part of manufacturing enterprises and the product design is effectively connected with the supply chain design. This work concludes that the products, supply chains and the business models developed for open-loop product systems are unable to cope with the dynamics of closed-loop systems. The uncertainties associated with product returns are inherent to the conventional concept of lifecycle and closed-loop systems. The ResCoM concept has much better capability in dealing with these uncertainties while developing sustainable closed-loop systems. The presented work outlines and discusses the conceptual framework of ResCoM. A comprehensive work on the strategic and tactical issues in the implementation of the ResCoM concept will follow.","author":[{"dropping-particle":"","family":"Rashid","given":"Amir","non-dropping-particle":"","parse-names":false,"suffix":""},{"dropping-particle":"","family":"Asif","given":"Farazee M.A.","non-dropping-particle":"","parse-names":false,"suffix":""},{"dropping-particle":"","family":"Krajnik","given":"Peter","non-dropping-particle":"","parse-names":false,"suffix":""},{"dropping-particle":"","family":"Nicolescu","given":"Cornel Mihai","non-dropping-particle":"","parse-names":false,"suffix":""}],"container-title":"Journal of Cleaner Production","id":"ITEM-1","issued":{"date-parts":[["2013"]]},"page":"166-177","publisher":"Elsevier Ltd","title":"Resource conservative manufacturing: An essential change in business and technology paradigm for sustainable manufacturing","type":"article-journal","volume":"57"},"uris":["http://www.mendeley.com/documents/?uuid=630cf1b2-8099-45c9-8caa-bfa597f29d2a"]}],"mendeley":{"formattedCitation":"(Rashid et al., 2013)","plainTextFormattedCitation":"(Rashid et al., 2013)","previouslyFormattedCitation":"(Rashid et al., 2013)"},"properties":{"noteIndex":0},"schema":"https://github.com/citation-style-language/schema/raw/master/csl-citation.json"}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(Rashid et al., 2013)</w:t>
            </w:r>
            <w:r w:rsidRPr="00A04DD6">
              <w:rPr>
                <w:sz w:val="20"/>
                <w:szCs w:val="20"/>
                <w:lang w:val="en-GB"/>
              </w:rPr>
              <w:fldChar w:fldCharType="end"/>
            </w:r>
          </w:p>
          <w:p w14:paraId="09391511" w14:textId="13E8ED31"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10.1109/EGG.2016.7829847","ISBN":"9783000537639","author":[{"dropping-particle":"","family":"Regenfelder","given":"Max","non-dropping-particle":"","parse-names":false,"suffix":""},{"dropping-particle":"","family":"Slowak","given":"André P","non-dropping-particle":"","parse-names":false,"suffix":""},{"dropping-particle":"","family":"Santacreu","given":"Alejandro","non-dropping-particle":"","parse-names":false,"suffix":""}],"container-title":"EGG 2016 - Electronics Goes Green 2016+","id":"ITEM-1","issued":{"date-parts":[["2016"]]},"page":"1-6","publisher-place":"Berlin, Germany","title":"Closed-Loop Innovation for Mobile Electronics – the Business Model Innovation Approach of the sustainablySMART Project","type":"paper-conference"},"uris":["http://www.mendeley.com/documents/?uuid=7c2c3ddf-91de-44c1-84ad-51e46538c214"]}],"mendeley":{"formattedCitation":"(Regenfelder et al., 2016)","plainTextFormattedCitation":"(Regenfelder et al., 2016)","previouslyFormattedCitation":"(Regenfelder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(Regenfelder et al., 2016)</w:t>
            </w:r>
            <w:r w:rsidRPr="00A04DD6">
              <w:rPr>
                <w:sz w:val="20"/>
                <w:szCs w:val="20"/>
                <w:lang w:val="en-GB"/>
              </w:rPr>
              <w:fldChar w:fldCharType="end"/>
            </w:r>
          </w:p>
          <w:p w14:paraId="6DE9D915" w14:textId="5182B0F4"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{"citationItems":[{"id":"ITEM-1","itemData":{"abstract":"This paper aims to explore the application of circular economy principles for designing product refurbish operations. It adopts the desk-based research approach. The paper presents the circular economy principles formulated to support the design of product refurbish. To support the low level design, the mathematical models have been developed.","author":[{"dropping-particle":"","family":"Ripanti","given":"Eva Faja","non-dropping-particle":"","parse-names":false,"suffix":""},{"dropping-particle":"","family":"Tjahjono","given":"Benny","non-dropping-particle":"","parse-names":false,"suffix":""},{"dropping-particle":"","family":"Fan","given":"Ip-shing","non-dropping-particle":"","parse-names":false,"suffix":""}],"container-title":"Production and Operations Management Society 27th Annual Conference","id":"ITEM-1","issued":{"date-parts":[["2016"]]},"page":"1-11","publisher-place":"Orlando FL, USA","title":"Circular economy in reverse logistics : formulation and potential design in product refurbish","type":"paper-conference"},"uris":["http://www.mendeley.com/documents/?uuid=351c07e4-5aed-4f0b-8f2a-dbe19eff1999"]}],"mendeley":{"formattedCitation":"(Ripanti et al., 2016)","plainTextFormattedCitation":"(Ripanti et al., 2016)","previouslyFormattedCitation":"(Ripanti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(Ripanti et al., 2016)</w:t>
            </w:r>
            <w:r w:rsidRPr="00A04DD6">
              <w:rPr>
                <w:sz w:val="20"/>
                <w:szCs w:val="20"/>
                <w:lang w:val="en-GB"/>
              </w:rPr>
              <w:fldChar w:fldCharType="end"/>
            </w:r>
          </w:p>
          <w:p w14:paraId="3F39E567"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{"citationItems":[{"id":"ITEM-1","itemData":{"DOI":"10.1002/csr.220","ISBN":"1535-3966","ISSN":"15353958","abstract":"The strategic application of reverse supply chain logistics to improve the reclamation of products at the end of their useful life is gaining increased attention. The environmental implications of reclamation, reuse, and recycling to save landfill space, fuel, and costs are becoming more important for organizations. The social and ethical dimensions of sustainability, particularly as they apply to reverse logistics, are emerging topics. The focus of existing reverse logistics research has been on the economic and environmental aspects of sustainability – social sustainability has yet to be comprehensively examined. This paper focuses on addressing this gap in the literature by linking various sustainable indicators with various reverse logistics practices to develop a profile of reverse logistics for social sustainability. By compiling practical, international examples from practice and research, we have used the structure of social sustainability to highlight reverse logistics for social sustainability. The paper concludes with some topics for future research. Copyright © 2010 John Wiley &amp; Sons, Ltd and ERP Environment.","author":[{"dropping-particle":"","family":"Sarkis","given":"Joseph","non-dropping-particle":"","parse-names":false,"suffix":""},{"dropping-particle":"","family":"Helms","given":"Marilyn Michelle","non-dropping-particle":"","parse-names":false,"suffix":""},{"dropping-particle":"","family":"Hervani","given":"Aref A.","non-dropping-particle":"","parse-names":false,"suffix":""}],"container-title":"Corporate Social Responsibility and Environmental Management","id":"ITEM-1","issue":"6","issued":{"date-parts":[["2010"]]},"page":"337-354","title":"Reverse logistics and social sustainability","type":"article-journal","volume":"17"},"uris":["http://www.mendeley.com/documents/?uuid=e5cc65a3-49bc-49a9-8cfa-684af80c6253","http://www.mendeley.com/documents/?uuid=41fe48f8-97cb-4402-aa70-7d48f3e958c0"]}],"mendeley":{"formattedCitation":"(Sarkis et al., 2010)","plainTextFormattedCitation":"(Sarkis et al., 2010)","previouslyFormattedCitation":"(Sarkis et al., 2010)"},"properties":{"noteIndex":0},"schema":"https://github.com/citation-style-language/schema/raw/master/csl-citation.json"}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(Sarkis et al., 2010)</w:t>
            </w:r>
            <w:r w:rsidRPr="00A04DD6">
              <w:rPr>
                <w:sz w:val="20"/>
                <w:szCs w:val="20"/>
                <w:lang w:val="en-GB"/>
              </w:rPr>
              <w:fldChar w:fldCharType="end"/>
            </w:r>
          </w:p>
          <w:p w14:paraId="2B22741D" w14:textId="201003DA"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10.1111/jiec.12732","ISSN":"15309290","author":[{"dropping-particle":"","family":"Schroeder","given":"Patrick","non-dropping-particle":"","parse-names":false,"suffix":""},{"dropping-particle":"","family":"Anggraeni","given":"Kartika","non-dropping-particle":"","parse-names":false,"suffix":""},{"dropping-particle":"","family":"Weber","given":"Uwe","non-dropping-particle":"","parse-names":false,"suffix":""}],"container-title":"Journal of Industrial Ecology","id":"ITEM-1","issue":"1","issued":{"date-parts":[["2018"]]},"page":"77-95","title":"The Relevance of Circular Economy Practices to the Sustainable Development Goals","type":"article-journal","volume":"23"},"uris":["http://www.mendeley.com/documents/?uuid=4ceea5ab-c7d3-4827-9c9e-847f60836931","http://www.mendeley.com/documents/?uuid=55de44fe-b268-48bf-9c4c-54537e02f50e"]}],"mendeley":{"formattedCitation":"(Schroeder et al., 2018)","plainTextFormattedCitation":"(Schroeder et al., 2018)","previouslyFormattedCitation":"(Schroeder et al., 2018)"},"properties":{"noteIndex":0},"schema":"https://github.com/citation-style-language/schema/raw/master/csl-citation.json"}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(Schroeder et al., 2018)</w:t>
            </w:r>
            <w:r w:rsidRPr="00A04DD6">
              <w:rPr>
                <w:sz w:val="20"/>
                <w:szCs w:val="20"/>
                <w:lang w:val="en-GB"/>
              </w:rPr>
              <w:fldChar w:fldCharType="end"/>
            </w:r>
          </w:p>
          <w:p w14:paraId="63CD5240" w14:textId="797A1183"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{"citationItems":[{"id":"ITEM-1","itemData":{"DOI":"10.3390/su9101752","ISSN":"20711050","abstract":"Glass manufacturing is a high-volume process, during which large substance quantities are transformed into commercial products, and significant amounts of non-renewable resources and energy (i.e., thermal fuels and electrical power) are consumed. The main purpose of this study is to give a critical explanation of the performance of the Italian container glass industry from the perspective of cullet being recycled, to outline the opportunities for transition towards circular business models that stimulate innovation in new sectors based on reverse-cycle activities for recycling. In 2015, disparate performances have been achieved as regards the container glass recycling rate in northern, central, and southern Italy, accounting for around 73%, 64%, and 55%, respectively. In fact, only northern Italy is in line with European targets, as by 2025 it will only need to increase its current performance by two percentage points, unlike central and southern Italy that will have to increase performance by, respectively, 11% and 20%. This shows a need to improve the efficiency of municipal waste collection systems in central and southern Italy, where undifferentiated waste still holds appreciable amounts of glass. Consequently, we propose several improvement channels, from the revision of waste legislation to the re-engineering of waste management supply chains.","author":[{"dropping-particle":"","family":"Testa","given":"Mario","non-dropping-particle":"","parse-names":false,"suffix":""},{"dropping-particle":"","family":"Malandrino","given":"Ornella","non-dropping-particle":"","parse-names":false,"suffix":""},{"dropping-particle":"","family":"Sessa","given":"Maria Rosaria","non-dropping-particle":"","parse-names":false,"suffix":""},{"dropping-particle":"","family":"Supino","given":"Stefania","non-dropping-particle":"","parse-names":false,"suffix":""},{"dropping-particle":"","family":"Sica","given":"Daniela","non-dropping-particle":"","parse-names":false,"suffix":""}],"container-title":"Sustainability (Switzerland)","id":"ITEM-1","issue":"1752","issued":{"date-parts":[["2017"]]},"page":"1-19","title":"Long-term sustainability from the perspective of cullet recycling in the container glass industry: Evidence from Italy","type":"article-journal","volume":"9"},"uris":["http://www.mendeley.com/documents/?uuid=774ad04d-f8e7-4883-bf56-9700c2b1c3bc","http://www.mendeley.com/documents/?uuid=b90447c5-c637-430c-8ecc-817eaa4648d1"]}],"mendeley":{"formattedCitation":"(Testa et al., 2017)","plainTextFormattedCitation":"(Testa et al., 2017)","previouslyFormattedCitation":"(Testa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(Testa et al., 2017)</w:t>
            </w:r>
            <w:r w:rsidRPr="00A04DD6">
              <w:rPr>
                <w:sz w:val="20"/>
                <w:szCs w:val="20"/>
                <w:lang w:val="en-GB"/>
              </w:rPr>
              <w:fldChar w:fldCharType="end"/>
            </w:r>
          </w:p>
          <w:p w14:paraId="56D959A9" w14:textId="7019EF52"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{"citationItems":[{"id":"ITEM-1","itemData":{"DOI":"10.1016/j.cirp.2017.05.001","ISSN":"17260604","abstract":"In the recent years, increasing attention has been posed towards enhancing the sustainability of manufacturing processes by reducing the consumption of resources and key materials, the energy consumption and the environmental footprint, while also increasing companies’ competitiveness in global market contexts. De- and remanufacturing includes the set of technologies/systems, tools and knowledge-based methods to recover and reuse functions and materials from industrial waste and post-consumer products, under a Circular Economy perspective. This new paradigm can potentially support the sustainability challenges in strategic manufacturing sectors, such as aeronautics, automotive, electronics, consumer goods, and mechatronics. A new generation of smart de- and remanufacturing systems showing higher levels of automation, flexibility and adaptability to changing material mixtures and values is emerging and there is a need for systematizing the existing approaches to support their operations. Such innovative de- and remanufacturing system design, management and control approaches as well as advanced technological enablers have a key role to support the Circular Economy paradigm. This paper revises system level problems, methods and tools to support this paradigm and highlights the main challenges and opportunities towards a new generation of advanced de- and remanufacturing systems.","author":[{"dropping-particle":"","family":"Tolio","given":"Tullio","non-dropping-particle":"","parse-names":false,"suffix":""},{"dropping-particle":"","family":"Bernard","given":"Alain","non-dropping-particle":"","parse-names":false,"suffix":""},{"dropping-particle":"","family":"Colledani","given":"Marcello","non-dropping-particle":"","parse-names":false,"suffix":""},{"dropping-particle":"","family":"Kara","given":"Sami","non-dropping-particle":"","parse-names":false,"suffix":""},{"dropping-particle":"","family":"Seliger","given":"Günther","non-dropping-particle":"","parse-names":false,"suffix":""},{"dropping-particle":"","family":"Duflou","given":"Joost R.","non-dropping-particle":"","parse-names":false,"suffix":""},{"dropping-particle":"","family":"Battaia","given":"Olga","non-dropping-particle":"","parse-names":false,"suffix":""},{"dropping-particle":"","family":"Takata","given":"Shozo","non-dropping-particle":"","parse-names":false,"suffix":""}],"container-title":"CIRP Annals - Manufacturing Technology","id":"ITEM-1","issue":"2","issued":{"date-parts":[["2017"]]},"page":"585-609","title":"Design, management and control of demanufacturing and remanufacturing systems","type":"article-journal","volume":"66"},"uris":["http://www.mendeley.com/documents/?uuid=cb739884-e74d-449c-a77b-376e28fce5da"]}],"mendeley":{"formattedCitation":"(Tolio et al., 2017)","plainTextFormattedCitation":"(Tolio et al., 2017)","previouslyFormattedCitation":"(Tolio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(Tolio et al., 2017)</w:t>
            </w:r>
            <w:r w:rsidRPr="00A04DD6">
              <w:rPr>
                <w:sz w:val="20"/>
                <w:szCs w:val="20"/>
                <w:lang w:val="en-GB"/>
              </w:rPr>
              <w:fldChar w:fldCharType="end"/>
            </w:r>
          </w:p>
          <w:p w14:paraId="6B517E43" w14:textId="0EC5A040" w:rsidR="005E0E7F" w:rsidRPr="00A04DD6" w:rsidRDefault="005E0E7F" w:rsidP="00D62E44">
            <w:pPr>
              <w:rPr>
                <w:sz w:val="20"/>
                <w:szCs w:val="20"/>
                <w:lang w:val="en-GB"/>
              </w:rPr>
            </w:pPr>
            <w:r w:rsidRPr="00A04DD6">
              <w:rPr>
                <w:sz w:val="20"/>
                <w:szCs w:val="20"/>
                <w:lang w:val="en-GB"/>
              </w:rPr>
              <w:fldChar w:fldCharType="begin" w:fldLock="1"/>
            </w:r>
            <w:r w:rsidR="003445CC">
              <w:rPr>
                <w:sz w:val="20"/>
                <w:szCs w:val="20"/>
                <w:lang w:val="en-GB"/>
              </w:rPr>
              <w:instrText>ADDIN CSL_CITATION {"citationItems":[{"id":"ITEM-1","itemData":{"DOI":"10.1080/00207543.2017.1367107","ISBN":"00207543 (ISSN)","ISSN":"1366588X","author":[{"dropping-particle":"","family":"Loon","given":"Patricia","non-dropping-particle":"van","parse-names":false,"suffix":""},{"dropping-particle":"","family":"Wassenhove","given":"Luk N.","non-dropping-particle":"Van","parse-names":false,"suffix":""}],"container-title":"International Journal of Production Research","id":"ITEM-1","issue":"September","issued":{"date-parts":[["2017"]]},"page":"1-13","publisher":"Taylor &amp; Francis","title":"Assessing the economic and environmental impact of remanufacturing: a decision support tool for OEM suppliers","type":"article-journal","volume":"7543"},"uris":["http://www.mendeley.com/documents/?uuid=2c942c08-fe59-4a93-bf64-a8ad18ddd7c6"]}],"mendeley":{"formattedCitation":"(van Loon and Van Wassenhove, 2017)","plainTextFormattedCitation":"(van Loon and Van Wassenhove, 2017)","previouslyFormattedCitation":"(van Loon and Van Wassenhove,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(van Loon and Van Wassenhove, 2017)</w:t>
            </w:r>
            <w:r w:rsidRPr="00A04DD6">
              <w:rPr>
                <w:sz w:val="20"/>
                <w:szCs w:val="20"/>
                <w:lang w:val="en-GB"/>
              </w:rPr>
              <w:fldChar w:fldCharType="end"/>
            </w:r>
          </w:p>
          <w:p w14:paraId="3065B053"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10.1080/14606925.2017.1352685","ISSN":"1460-6925","author":[{"dropping-particle":"","family":"Virtanen","given":"Maarit","non-dropping-particle":"","parse-names":false,"suffix":""},{"dropping-particle":"","family":"Manskinen","given":"Kati","non-dropping-particle":"","parse-names":false,"suffix":""},{"dropping-particle":"","family":"Eerola","given":"Sauli","non-dropping-particle":"","parse-names":false,"suffix":""}],"container-title":"The Design Journal","id":"ITEM-1","issue":"sup1","issued":{"date-parts":[["2017"]]},"page":"S1611-S1619","publisher":"Routledge","title":"Circular Material Library. An Innovative Tool to Design Circular Economy","type":"article-journal","volume":"20"},"uris":["http://www.mendeley.com/documents/?uuid=ec8f4427-bbd2-48ed-8d57-c7e954e76f38","http://www.mendeley.com/documents/?uuid=60d6e30d-81af-41dd-a66c-8f82dbbf2ccb"]}],"mendeley":{"formattedCitation":"(Virtanen et al., 2017)","plainTextFormattedCitation":"(Virtanen et al., 2017)","previouslyFormattedCitation":"(Virtanen et al.,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(Virtanen et al., 2017)</w:t>
            </w:r>
            <w:r w:rsidRPr="00A04DD6">
              <w:rPr>
                <w:sz w:val="20"/>
                <w:szCs w:val="20"/>
                <w:lang w:val="en-GB"/>
              </w:rPr>
              <w:fldChar w:fldCharType="end"/>
            </w:r>
          </w:p>
          <w:p w14:paraId="482A2DDA" w14:textId="77777777" w:rsidR="005E0E7F" w:rsidRPr="00A04DD6" w:rsidRDefault="005E0E7F"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{"citationItems":[{"id":"ITEM-1","itemData":{"author":[{"dropping-particle":"","family":"Zvarych","given":"Iryna","non-dropping-particle":"","parse-names":false,"suffix":""}],"container-title":"Journal of European Economy","id":"ITEM-1","issue":"60","issued":{"date-parts":[["2017"]]},"page":"38-53","title":"Circular Economy and Globalized Waste Management","type":"article-journal","volume":"16"},"uris":["http://www.mendeley.com/documents/?uuid=d4baabb1-ad87-49f2-a39a-1a69883c5f60","http://www.mendeley.com/documents/?uuid=d33825f8-ac66-4ebc-91a4-45d27091b292"]}],"mendeley":{"formattedCitation":"(Zvarych, 2017)","plainTextFormattedCitation":"(Zvarych, 2017)","previouslyFormattedCitation":"(Zvarych,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(Zvarych, 2017)</w:t>
            </w:r>
            <w:r w:rsidRPr="00A04DD6">
              <w:rPr>
                <w:sz w:val="20"/>
                <w:szCs w:val="20"/>
                <w:lang w:val="en-GB"/>
              </w:rPr>
              <w:fldChar w:fldCharType="end"/>
            </w:r>
          </w:p>
        </w:tc>
        <w:tc>
          <w:tcPr>
            <w:tcW w:w="1618" w:type="pct"/>
          </w:tcPr>
          <w:p w14:paraId="152DEBE6" w14:textId="77777777" w:rsidR="005E0E7F" w:rsidRPr="00A04DD6" w:rsidRDefault="005E0E7F" w:rsidP="00D62E44">
            <w:pPr>
              <w:jc w:val="center"/>
              <w:rPr>
                <w:sz w:val="20"/>
                <w:szCs w:val="20"/>
                <w:lang w:val="en-GB"/>
              </w:rPr>
            </w:pPr>
          </w:p>
          <w:p w14:paraId="1DBF9905" w14:textId="6A6DF025" w:rsidR="005E0E7F" w:rsidRPr="00A04DD6" w:rsidRDefault="00377A50" w:rsidP="00D62E44">
            <w:pPr>
              <w:jc w:val="center"/>
              <w:rPr>
                <w:sz w:val="20"/>
                <w:szCs w:val="20"/>
                <w:lang w:val="en-GB"/>
              </w:rPr>
            </w:pPr>
            <w:r w:rsidRPr="00A04DD6">
              <w:rPr>
                <w:sz w:val="20"/>
                <w:szCs w:val="20"/>
                <w:lang w:val="en-GB"/>
              </w:rPr>
              <w:t>x</w:t>
            </w:r>
          </w:p>
          <w:p w14:paraId="5A5E0CB6" w14:textId="77777777" w:rsidR="005E0E7F" w:rsidRPr="00A04DD6" w:rsidRDefault="005E0E7F" w:rsidP="00D62E44">
            <w:pPr>
              <w:jc w:val="center"/>
              <w:rPr>
                <w:sz w:val="20"/>
                <w:szCs w:val="20"/>
                <w:lang w:val="en-GB"/>
              </w:rPr>
            </w:pPr>
          </w:p>
          <w:p w14:paraId="651A8F49" w14:textId="77777777" w:rsidR="005E0E7F" w:rsidRPr="00A04DD6" w:rsidRDefault="005E0E7F" w:rsidP="00D62E44">
            <w:pPr>
              <w:jc w:val="center"/>
              <w:rPr>
                <w:sz w:val="20"/>
                <w:szCs w:val="20"/>
                <w:lang w:val="en-GB"/>
              </w:rPr>
            </w:pPr>
          </w:p>
          <w:p w14:paraId="46F7D64F" w14:textId="77777777" w:rsidR="005E0E7F" w:rsidRPr="00A04DD6" w:rsidRDefault="005E0E7F" w:rsidP="00D62E44">
            <w:pPr>
              <w:jc w:val="center"/>
              <w:rPr>
                <w:sz w:val="20"/>
                <w:szCs w:val="20"/>
                <w:lang w:val="en-GB"/>
              </w:rPr>
            </w:pPr>
          </w:p>
          <w:p w14:paraId="2CE57908" w14:textId="77777777" w:rsidR="005E0E7F" w:rsidRPr="00A04DD6" w:rsidRDefault="005E0E7F" w:rsidP="00D62E44">
            <w:pPr>
              <w:jc w:val="center"/>
              <w:rPr>
                <w:sz w:val="20"/>
                <w:szCs w:val="20"/>
                <w:lang w:val="en-GB"/>
              </w:rPr>
            </w:pPr>
          </w:p>
          <w:p w14:paraId="7A60E3B2" w14:textId="7AE327AC" w:rsidR="005E0E7F" w:rsidRPr="00A04DD6" w:rsidRDefault="00377A50" w:rsidP="00D62E44">
            <w:pPr>
              <w:jc w:val="center"/>
              <w:rPr>
                <w:sz w:val="20"/>
                <w:szCs w:val="20"/>
                <w:lang w:val="en-GB"/>
              </w:rPr>
            </w:pPr>
            <w:r w:rsidRPr="00A04DD6">
              <w:rPr>
                <w:sz w:val="20"/>
                <w:szCs w:val="20"/>
                <w:lang w:val="en-GB"/>
              </w:rPr>
              <w:t>x</w:t>
            </w:r>
          </w:p>
          <w:p w14:paraId="720C21EA" w14:textId="01D72959" w:rsidR="005E0E7F" w:rsidRPr="00A04DD6" w:rsidRDefault="00377A50" w:rsidP="00D62E44">
            <w:pPr>
              <w:jc w:val="center"/>
              <w:rPr>
                <w:sz w:val="20"/>
                <w:szCs w:val="20"/>
                <w:lang w:val="en-GB"/>
              </w:rPr>
            </w:pPr>
            <w:r w:rsidRPr="00A04DD6">
              <w:rPr>
                <w:sz w:val="20"/>
                <w:szCs w:val="20"/>
                <w:lang w:val="en-GB"/>
              </w:rPr>
              <w:t>x</w:t>
            </w:r>
          </w:p>
          <w:p w14:paraId="567E10C2" w14:textId="77777777" w:rsidR="005E0E7F" w:rsidRPr="00A04DD6" w:rsidRDefault="005E0E7F" w:rsidP="00D62E44">
            <w:pPr>
              <w:jc w:val="center"/>
              <w:rPr>
                <w:sz w:val="20"/>
                <w:szCs w:val="20"/>
                <w:lang w:val="en-GB"/>
              </w:rPr>
            </w:pPr>
          </w:p>
          <w:p w14:paraId="3D55BAF8" w14:textId="32A15315" w:rsidR="005E0E7F" w:rsidRPr="00A04DD6" w:rsidRDefault="00377A50" w:rsidP="00D62E44">
            <w:pPr>
              <w:jc w:val="center"/>
              <w:rPr>
                <w:sz w:val="20"/>
                <w:szCs w:val="20"/>
                <w:lang w:val="en-GB"/>
              </w:rPr>
            </w:pPr>
            <w:r w:rsidRPr="00A04DD6">
              <w:rPr>
                <w:sz w:val="20"/>
                <w:szCs w:val="20"/>
                <w:lang w:val="en-GB"/>
              </w:rPr>
              <w:t>x</w:t>
            </w:r>
          </w:p>
          <w:p w14:paraId="1CF2836E" w14:textId="77777777" w:rsidR="005E0E7F" w:rsidRPr="00A04DD6" w:rsidRDefault="005E0E7F" w:rsidP="00D62E44">
            <w:pPr>
              <w:jc w:val="center"/>
              <w:rPr>
                <w:sz w:val="20"/>
                <w:szCs w:val="20"/>
                <w:lang w:val="en-GB"/>
              </w:rPr>
            </w:pPr>
          </w:p>
          <w:p w14:paraId="1EA8C371" w14:textId="77777777" w:rsidR="005E0E7F" w:rsidRPr="00A04DD6" w:rsidRDefault="005E0E7F" w:rsidP="00D62E44">
            <w:pPr>
              <w:jc w:val="center"/>
              <w:rPr>
                <w:sz w:val="20"/>
                <w:szCs w:val="20"/>
                <w:lang w:val="en-GB"/>
              </w:rPr>
            </w:pPr>
          </w:p>
          <w:p w14:paraId="4B5E8D88" w14:textId="77777777" w:rsidR="005E0E7F" w:rsidRPr="00A04DD6" w:rsidRDefault="005E0E7F" w:rsidP="00D62E44">
            <w:pPr>
              <w:jc w:val="center"/>
              <w:rPr>
                <w:sz w:val="20"/>
                <w:szCs w:val="20"/>
                <w:lang w:val="en-GB"/>
              </w:rPr>
            </w:pPr>
          </w:p>
          <w:p w14:paraId="05687F30" w14:textId="77777777" w:rsidR="005E0E7F" w:rsidRPr="00A04DD6" w:rsidRDefault="005E0E7F" w:rsidP="00D62E44">
            <w:pPr>
              <w:jc w:val="center"/>
              <w:rPr>
                <w:sz w:val="20"/>
                <w:szCs w:val="20"/>
                <w:lang w:val="en-GB"/>
              </w:rPr>
            </w:pPr>
          </w:p>
          <w:p w14:paraId="14E413AE" w14:textId="77777777" w:rsidR="005E0E7F" w:rsidRPr="00A04DD6" w:rsidRDefault="005E0E7F" w:rsidP="00D62E44">
            <w:pPr>
              <w:jc w:val="center"/>
              <w:rPr>
                <w:sz w:val="20"/>
                <w:szCs w:val="20"/>
                <w:lang w:val="en-GB"/>
              </w:rPr>
            </w:pPr>
          </w:p>
          <w:p w14:paraId="0CD3B961" w14:textId="77777777" w:rsidR="005E0E7F" w:rsidRPr="00A04DD6" w:rsidRDefault="005E0E7F" w:rsidP="00D62E44">
            <w:pPr>
              <w:jc w:val="center"/>
              <w:rPr>
                <w:sz w:val="20"/>
                <w:szCs w:val="20"/>
                <w:lang w:val="en-GB"/>
              </w:rPr>
            </w:pPr>
          </w:p>
          <w:p w14:paraId="317B7670" w14:textId="77777777" w:rsidR="005E0E7F" w:rsidRPr="00A04DD6" w:rsidRDefault="005E0E7F" w:rsidP="00D62E44">
            <w:pPr>
              <w:jc w:val="center"/>
              <w:rPr>
                <w:sz w:val="20"/>
                <w:szCs w:val="20"/>
                <w:lang w:val="en-GB"/>
              </w:rPr>
            </w:pPr>
          </w:p>
          <w:p w14:paraId="687B6301" w14:textId="16410C36" w:rsidR="005E0E7F" w:rsidRPr="00A04DD6" w:rsidRDefault="00377A50" w:rsidP="00D62E44">
            <w:pPr>
              <w:jc w:val="center"/>
              <w:rPr>
                <w:sz w:val="20"/>
                <w:szCs w:val="20"/>
                <w:lang w:val="en-GB"/>
              </w:rPr>
            </w:pPr>
            <w:r w:rsidRPr="00A04DD6">
              <w:rPr>
                <w:sz w:val="20"/>
                <w:szCs w:val="20"/>
                <w:lang w:val="en-GB"/>
              </w:rPr>
              <w:t>x</w:t>
            </w:r>
          </w:p>
          <w:p w14:paraId="6091FFAB" w14:textId="77777777" w:rsidR="005E0E7F" w:rsidRPr="00A04DD6" w:rsidRDefault="005E0E7F" w:rsidP="00D62E44">
            <w:pPr>
              <w:jc w:val="center"/>
              <w:rPr>
                <w:sz w:val="20"/>
                <w:szCs w:val="20"/>
                <w:lang w:val="en-GB"/>
              </w:rPr>
            </w:pPr>
          </w:p>
          <w:p w14:paraId="5C0A28F2" w14:textId="7B0A9140" w:rsidR="005E0E7F" w:rsidRPr="00A04DD6" w:rsidRDefault="00377A50" w:rsidP="00D62E44">
            <w:pPr>
              <w:jc w:val="center"/>
              <w:rPr>
                <w:sz w:val="20"/>
                <w:szCs w:val="20"/>
                <w:lang w:val="en-GB"/>
              </w:rPr>
            </w:pPr>
            <w:r w:rsidRPr="00A04DD6">
              <w:rPr>
                <w:sz w:val="20"/>
                <w:szCs w:val="20"/>
                <w:lang w:val="en-GB"/>
              </w:rPr>
              <w:t>x</w:t>
            </w:r>
          </w:p>
          <w:p w14:paraId="0CD1C65A" w14:textId="77777777" w:rsidR="005E0E7F" w:rsidRPr="00A04DD6" w:rsidRDefault="005E0E7F" w:rsidP="00D62E44">
            <w:pPr>
              <w:jc w:val="center"/>
              <w:rPr>
                <w:sz w:val="20"/>
                <w:szCs w:val="20"/>
                <w:lang w:val="en-GB"/>
              </w:rPr>
            </w:pPr>
          </w:p>
          <w:p w14:paraId="66B31687" w14:textId="77777777" w:rsidR="005E0E7F" w:rsidRPr="00A04DD6" w:rsidRDefault="005E0E7F" w:rsidP="00D62E44">
            <w:pPr>
              <w:jc w:val="center"/>
              <w:rPr>
                <w:sz w:val="20"/>
                <w:szCs w:val="20"/>
                <w:lang w:val="en-GB"/>
              </w:rPr>
            </w:pPr>
          </w:p>
          <w:p w14:paraId="7F741CD8" w14:textId="6180C5A1" w:rsidR="005E0E7F" w:rsidRPr="00A04DD6" w:rsidRDefault="00377A50" w:rsidP="00D62E44">
            <w:pPr>
              <w:jc w:val="center"/>
              <w:rPr>
                <w:sz w:val="20"/>
                <w:szCs w:val="20"/>
                <w:lang w:val="en-GB"/>
              </w:rPr>
            </w:pPr>
            <w:r w:rsidRPr="00A04DD6">
              <w:rPr>
                <w:sz w:val="20"/>
                <w:szCs w:val="20"/>
                <w:lang w:val="en-GB"/>
              </w:rPr>
              <w:t>x</w:t>
            </w:r>
          </w:p>
          <w:p w14:paraId="24838893" w14:textId="143A8D20" w:rsidR="005E0E7F" w:rsidRPr="00A04DD6" w:rsidRDefault="00377A50" w:rsidP="00D62E44">
            <w:pPr>
              <w:jc w:val="center"/>
              <w:rPr>
                <w:sz w:val="20"/>
                <w:szCs w:val="20"/>
                <w:lang w:val="en-GB"/>
              </w:rPr>
            </w:pPr>
            <w:r w:rsidRPr="00A04DD6">
              <w:rPr>
                <w:sz w:val="20"/>
                <w:szCs w:val="20"/>
                <w:lang w:val="en-GB"/>
              </w:rPr>
              <w:t>x</w:t>
            </w:r>
          </w:p>
          <w:p w14:paraId="651B3DDA" w14:textId="56F03F48" w:rsidR="005E0E7F" w:rsidRPr="00A04DD6" w:rsidRDefault="00377A50" w:rsidP="00D62E44">
            <w:pPr>
              <w:jc w:val="center"/>
              <w:rPr>
                <w:sz w:val="20"/>
                <w:szCs w:val="20"/>
                <w:lang w:val="en-GB"/>
              </w:rPr>
            </w:pPr>
            <w:r w:rsidRPr="00A04DD6">
              <w:rPr>
                <w:sz w:val="20"/>
                <w:szCs w:val="20"/>
                <w:lang w:val="en-GB"/>
              </w:rPr>
              <w:t>x</w:t>
            </w:r>
          </w:p>
          <w:p w14:paraId="6120B4DA" w14:textId="77777777" w:rsidR="005E0E7F" w:rsidRPr="00A04DD6" w:rsidRDefault="005E0E7F" w:rsidP="00D62E44">
            <w:pPr>
              <w:jc w:val="center"/>
              <w:rPr>
                <w:sz w:val="20"/>
                <w:szCs w:val="20"/>
                <w:lang w:val="en-GB"/>
              </w:rPr>
            </w:pPr>
          </w:p>
          <w:p w14:paraId="3EC6F52C" w14:textId="1983FAC4" w:rsidR="005E0E7F" w:rsidRPr="00A04DD6" w:rsidRDefault="00377A50" w:rsidP="00D62E44">
            <w:pPr>
              <w:jc w:val="center"/>
              <w:rPr>
                <w:sz w:val="20"/>
                <w:szCs w:val="20"/>
                <w:lang w:val="en-GB"/>
              </w:rPr>
            </w:pPr>
            <w:r w:rsidRPr="00A04DD6">
              <w:rPr>
                <w:sz w:val="20"/>
                <w:szCs w:val="20"/>
                <w:lang w:val="en-GB"/>
              </w:rPr>
              <w:t>x</w:t>
            </w:r>
          </w:p>
          <w:p w14:paraId="71B87AFD" w14:textId="36EAD1C5" w:rsidR="005E0E7F" w:rsidRPr="00A04DD6" w:rsidRDefault="00377A50" w:rsidP="00D62E44">
            <w:pPr>
              <w:jc w:val="center"/>
              <w:rPr>
                <w:sz w:val="20"/>
                <w:szCs w:val="20"/>
                <w:lang w:val="en-GB"/>
              </w:rPr>
            </w:pPr>
            <w:r w:rsidRPr="00A04DD6">
              <w:rPr>
                <w:sz w:val="20"/>
                <w:szCs w:val="20"/>
                <w:lang w:val="en-GB"/>
              </w:rPr>
              <w:t>x</w:t>
            </w:r>
          </w:p>
          <w:p w14:paraId="4D532C3A" w14:textId="77777777" w:rsidR="005E0E7F" w:rsidRPr="00A04DD6" w:rsidRDefault="005E0E7F" w:rsidP="00D62E44">
            <w:pPr>
              <w:jc w:val="center"/>
              <w:rPr>
                <w:sz w:val="20"/>
                <w:szCs w:val="20"/>
                <w:lang w:val="en-GB"/>
              </w:rPr>
            </w:pPr>
          </w:p>
          <w:p w14:paraId="0AD491B4" w14:textId="2DBEBE06" w:rsidR="005E0E7F" w:rsidRPr="00A04DD6" w:rsidRDefault="00377A50" w:rsidP="00D62E44">
            <w:pPr>
              <w:jc w:val="center"/>
              <w:rPr>
                <w:sz w:val="20"/>
                <w:szCs w:val="20"/>
                <w:lang w:val="en-GB"/>
              </w:rPr>
            </w:pPr>
            <w:r w:rsidRPr="00A04DD6">
              <w:rPr>
                <w:sz w:val="20"/>
                <w:szCs w:val="20"/>
                <w:lang w:val="en-GB"/>
              </w:rPr>
              <w:t>x</w:t>
            </w:r>
          </w:p>
          <w:p w14:paraId="17E657B2" w14:textId="77777777" w:rsidR="005E0E7F" w:rsidRPr="00A04DD6" w:rsidRDefault="005E0E7F" w:rsidP="00D62E44">
            <w:pPr>
              <w:jc w:val="center"/>
              <w:rPr>
                <w:sz w:val="20"/>
                <w:szCs w:val="20"/>
                <w:lang w:val="en-GB"/>
              </w:rPr>
            </w:pPr>
          </w:p>
          <w:p w14:paraId="7ABF0F11" w14:textId="75932225" w:rsidR="005E0E7F" w:rsidRPr="00A04DD6" w:rsidRDefault="00377A50" w:rsidP="00D62E44">
            <w:pPr>
              <w:jc w:val="center"/>
              <w:rPr>
                <w:sz w:val="20"/>
                <w:szCs w:val="20"/>
                <w:lang w:val="en-GB"/>
              </w:rPr>
            </w:pPr>
            <w:r w:rsidRPr="00A04DD6">
              <w:rPr>
                <w:sz w:val="20"/>
                <w:szCs w:val="20"/>
                <w:lang w:val="en-GB"/>
              </w:rPr>
              <w:t>x</w:t>
            </w:r>
          </w:p>
          <w:p w14:paraId="0EB2035A" w14:textId="77777777" w:rsidR="005E0E7F" w:rsidRPr="00A04DD6" w:rsidRDefault="005E0E7F" w:rsidP="00D62E44">
            <w:pPr>
              <w:jc w:val="center"/>
              <w:rPr>
                <w:sz w:val="20"/>
                <w:szCs w:val="20"/>
                <w:lang w:val="en-GB"/>
              </w:rPr>
            </w:pPr>
          </w:p>
          <w:p w14:paraId="5E37570E" w14:textId="77777777" w:rsidR="005E0E7F" w:rsidRPr="00A04DD6" w:rsidRDefault="005E0E7F" w:rsidP="00D62E44">
            <w:pPr>
              <w:jc w:val="center"/>
              <w:rPr>
                <w:sz w:val="20"/>
                <w:szCs w:val="20"/>
                <w:lang w:val="en-GB"/>
              </w:rPr>
            </w:pPr>
          </w:p>
          <w:p w14:paraId="0C13993E" w14:textId="77777777" w:rsidR="005E0E7F" w:rsidRPr="00A04DD6" w:rsidRDefault="005E0E7F" w:rsidP="00D62E44">
            <w:pPr>
              <w:jc w:val="center"/>
              <w:rPr>
                <w:sz w:val="20"/>
                <w:szCs w:val="20"/>
                <w:lang w:val="en-GB"/>
              </w:rPr>
            </w:pPr>
          </w:p>
          <w:p w14:paraId="66EA9B3D" w14:textId="7EDC0B6E" w:rsidR="005E0E7F" w:rsidRPr="00A04DD6" w:rsidRDefault="00377A50" w:rsidP="00D62E44">
            <w:pPr>
              <w:jc w:val="center"/>
              <w:rPr>
                <w:sz w:val="20"/>
                <w:szCs w:val="20"/>
                <w:lang w:val="en-GB"/>
              </w:rPr>
            </w:pPr>
            <w:r w:rsidRPr="00A04DD6">
              <w:rPr>
                <w:sz w:val="20"/>
                <w:szCs w:val="20"/>
                <w:lang w:val="en-GB"/>
              </w:rPr>
              <w:t>x</w:t>
            </w:r>
          </w:p>
          <w:p w14:paraId="51526A72" w14:textId="15B9529A" w:rsidR="005E0E7F" w:rsidRPr="00A04DD6" w:rsidRDefault="00377A50" w:rsidP="00D62E44">
            <w:pPr>
              <w:jc w:val="center"/>
              <w:rPr>
                <w:sz w:val="20"/>
                <w:szCs w:val="20"/>
                <w:lang w:val="en-GB"/>
              </w:rPr>
            </w:pPr>
            <w:r w:rsidRPr="00A04DD6">
              <w:rPr>
                <w:sz w:val="20"/>
                <w:szCs w:val="20"/>
                <w:lang w:val="en-GB"/>
              </w:rPr>
              <w:t>x</w:t>
            </w:r>
          </w:p>
        </w:tc>
        <w:tc>
          <w:tcPr>
            <w:tcW w:w="1618" w:type="pct"/>
          </w:tcPr>
          <w:p w14:paraId="61CA77D8" w14:textId="554FC6CB" w:rsidR="005E0E7F" w:rsidRPr="00A04DD6" w:rsidRDefault="00377A50" w:rsidP="00D62E44">
            <w:pPr>
              <w:jc w:val="center"/>
              <w:rPr>
                <w:sz w:val="20"/>
                <w:szCs w:val="20"/>
                <w:lang w:val="en-GB"/>
              </w:rPr>
            </w:pPr>
            <w:r w:rsidRPr="00A04DD6">
              <w:rPr>
                <w:sz w:val="20"/>
                <w:szCs w:val="20"/>
                <w:lang w:val="en-GB"/>
              </w:rPr>
              <w:lastRenderedPageBreak/>
              <w:t>x</w:t>
            </w:r>
          </w:p>
          <w:p w14:paraId="2F6490E8" w14:textId="015FB954" w:rsidR="005E0E7F" w:rsidRPr="00A04DD6" w:rsidRDefault="00377A50" w:rsidP="00D62E44">
            <w:pPr>
              <w:jc w:val="center"/>
              <w:rPr>
                <w:sz w:val="20"/>
                <w:szCs w:val="20"/>
                <w:lang w:val="en-GB"/>
              </w:rPr>
            </w:pPr>
            <w:r w:rsidRPr="00A04DD6">
              <w:rPr>
                <w:sz w:val="20"/>
                <w:szCs w:val="20"/>
                <w:lang w:val="en-GB"/>
              </w:rPr>
              <w:t>x</w:t>
            </w:r>
          </w:p>
          <w:p w14:paraId="4017DC4A" w14:textId="7D1D8F1D" w:rsidR="005E0E7F" w:rsidRPr="00A04DD6" w:rsidRDefault="00377A50" w:rsidP="00D62E44">
            <w:pPr>
              <w:jc w:val="center"/>
              <w:rPr>
                <w:sz w:val="20"/>
                <w:szCs w:val="20"/>
                <w:lang w:val="en-GB"/>
              </w:rPr>
            </w:pPr>
            <w:r w:rsidRPr="00A04DD6">
              <w:rPr>
                <w:sz w:val="20"/>
                <w:szCs w:val="20"/>
                <w:lang w:val="en-GB"/>
              </w:rPr>
              <w:t>x</w:t>
            </w:r>
          </w:p>
          <w:p w14:paraId="6E6ACBB6" w14:textId="415D19DB" w:rsidR="005E0E7F" w:rsidRPr="00A04DD6" w:rsidRDefault="00377A50" w:rsidP="00D62E44">
            <w:pPr>
              <w:jc w:val="center"/>
              <w:rPr>
                <w:sz w:val="20"/>
                <w:szCs w:val="20"/>
                <w:lang w:val="en-GB"/>
              </w:rPr>
            </w:pPr>
            <w:r w:rsidRPr="00A04DD6">
              <w:rPr>
                <w:sz w:val="20"/>
                <w:szCs w:val="20"/>
                <w:lang w:val="en-GB"/>
              </w:rPr>
              <w:t>x</w:t>
            </w:r>
          </w:p>
          <w:p w14:paraId="1215F43D" w14:textId="7646DEDD" w:rsidR="005E0E7F" w:rsidRPr="00A04DD6" w:rsidRDefault="00377A50" w:rsidP="00D62E44">
            <w:pPr>
              <w:jc w:val="center"/>
              <w:rPr>
                <w:sz w:val="20"/>
                <w:szCs w:val="20"/>
                <w:lang w:val="en-GB"/>
              </w:rPr>
            </w:pPr>
            <w:r w:rsidRPr="00A04DD6">
              <w:rPr>
                <w:sz w:val="20"/>
                <w:szCs w:val="20"/>
                <w:lang w:val="en-GB"/>
              </w:rPr>
              <w:t>x</w:t>
            </w:r>
          </w:p>
          <w:p w14:paraId="6F478A05" w14:textId="2191A72E" w:rsidR="005E0E7F" w:rsidRPr="00A04DD6" w:rsidRDefault="00377A50" w:rsidP="00D62E44">
            <w:pPr>
              <w:jc w:val="center"/>
              <w:rPr>
                <w:sz w:val="20"/>
                <w:szCs w:val="20"/>
                <w:lang w:val="en-GB"/>
              </w:rPr>
            </w:pPr>
            <w:r w:rsidRPr="00A04DD6">
              <w:rPr>
                <w:sz w:val="20"/>
                <w:szCs w:val="20"/>
                <w:lang w:val="en-GB"/>
              </w:rPr>
              <w:t>x</w:t>
            </w:r>
          </w:p>
          <w:p w14:paraId="2686D50F" w14:textId="77777777" w:rsidR="005E0E7F" w:rsidRPr="00A04DD6" w:rsidRDefault="005E0E7F" w:rsidP="00D62E44">
            <w:pPr>
              <w:jc w:val="center"/>
              <w:rPr>
                <w:sz w:val="20"/>
                <w:szCs w:val="20"/>
                <w:lang w:val="en-GB"/>
              </w:rPr>
            </w:pPr>
          </w:p>
          <w:p w14:paraId="1DA86204" w14:textId="5ABC0851" w:rsidR="005E0E7F" w:rsidRPr="00A04DD6" w:rsidRDefault="00377A50" w:rsidP="00D62E44">
            <w:pPr>
              <w:jc w:val="center"/>
              <w:rPr>
                <w:sz w:val="20"/>
                <w:szCs w:val="20"/>
                <w:lang w:val="en-GB"/>
              </w:rPr>
            </w:pPr>
            <w:r w:rsidRPr="00A04DD6">
              <w:rPr>
                <w:sz w:val="20"/>
                <w:szCs w:val="20"/>
                <w:lang w:val="en-GB"/>
              </w:rPr>
              <w:t>x</w:t>
            </w:r>
          </w:p>
          <w:p w14:paraId="5FC4E474" w14:textId="33E68979" w:rsidR="005E0E7F" w:rsidRPr="00A04DD6" w:rsidRDefault="00377A50" w:rsidP="00D62E44">
            <w:pPr>
              <w:jc w:val="center"/>
              <w:rPr>
                <w:sz w:val="20"/>
                <w:szCs w:val="20"/>
                <w:lang w:val="en-GB"/>
              </w:rPr>
            </w:pPr>
            <w:r w:rsidRPr="00A04DD6">
              <w:rPr>
                <w:sz w:val="20"/>
                <w:szCs w:val="20"/>
                <w:lang w:val="en-GB"/>
              </w:rPr>
              <w:t>x</w:t>
            </w:r>
          </w:p>
          <w:p w14:paraId="1F7D2E67" w14:textId="39E9175E" w:rsidR="005E0E7F" w:rsidRPr="00A04DD6" w:rsidRDefault="00377A50" w:rsidP="00D62E44">
            <w:pPr>
              <w:jc w:val="center"/>
              <w:rPr>
                <w:sz w:val="20"/>
                <w:szCs w:val="20"/>
                <w:lang w:val="en-GB"/>
              </w:rPr>
            </w:pPr>
            <w:r w:rsidRPr="00A04DD6">
              <w:rPr>
                <w:sz w:val="20"/>
                <w:szCs w:val="20"/>
                <w:lang w:val="en-GB"/>
              </w:rPr>
              <w:t>x</w:t>
            </w:r>
          </w:p>
          <w:p w14:paraId="2069ED5A" w14:textId="2896730D" w:rsidR="005E0E7F" w:rsidRPr="00A04DD6" w:rsidRDefault="00377A50" w:rsidP="00D62E44">
            <w:pPr>
              <w:jc w:val="center"/>
              <w:rPr>
                <w:sz w:val="20"/>
                <w:szCs w:val="20"/>
                <w:lang w:val="en-GB"/>
              </w:rPr>
            </w:pPr>
            <w:r w:rsidRPr="00A04DD6">
              <w:rPr>
                <w:sz w:val="20"/>
                <w:szCs w:val="20"/>
                <w:lang w:val="en-GB"/>
              </w:rPr>
              <w:t>x</w:t>
            </w:r>
          </w:p>
          <w:p w14:paraId="1AC3578F" w14:textId="5EC958E1" w:rsidR="005E0E7F" w:rsidRPr="00A04DD6" w:rsidRDefault="00377A50" w:rsidP="00D62E44">
            <w:pPr>
              <w:jc w:val="center"/>
              <w:rPr>
                <w:sz w:val="20"/>
                <w:szCs w:val="20"/>
                <w:lang w:val="en-GB"/>
              </w:rPr>
            </w:pPr>
            <w:r w:rsidRPr="00A04DD6">
              <w:rPr>
                <w:sz w:val="20"/>
                <w:szCs w:val="20"/>
                <w:lang w:val="en-GB"/>
              </w:rPr>
              <w:t>x</w:t>
            </w:r>
          </w:p>
          <w:p w14:paraId="5302D5D3" w14:textId="23A3CAC3" w:rsidR="005E0E7F" w:rsidRPr="00A04DD6" w:rsidRDefault="00377A50" w:rsidP="00D62E44">
            <w:pPr>
              <w:jc w:val="center"/>
              <w:rPr>
                <w:sz w:val="20"/>
                <w:szCs w:val="20"/>
                <w:lang w:val="en-GB"/>
              </w:rPr>
            </w:pPr>
            <w:r w:rsidRPr="00A04DD6">
              <w:rPr>
                <w:sz w:val="20"/>
                <w:szCs w:val="20"/>
                <w:lang w:val="en-GB"/>
              </w:rPr>
              <w:t>x</w:t>
            </w:r>
          </w:p>
          <w:p w14:paraId="2ED1E76E" w14:textId="508A45ED" w:rsidR="005E0E7F" w:rsidRPr="00A04DD6" w:rsidRDefault="00377A50" w:rsidP="00D62E44">
            <w:pPr>
              <w:jc w:val="center"/>
              <w:rPr>
                <w:sz w:val="20"/>
                <w:szCs w:val="20"/>
                <w:lang w:val="en-GB"/>
              </w:rPr>
            </w:pPr>
            <w:r w:rsidRPr="00A04DD6">
              <w:rPr>
                <w:sz w:val="20"/>
                <w:szCs w:val="20"/>
                <w:lang w:val="en-GB"/>
              </w:rPr>
              <w:t>x</w:t>
            </w:r>
          </w:p>
          <w:p w14:paraId="45A83064" w14:textId="744B934A" w:rsidR="005E0E7F" w:rsidRPr="00A04DD6" w:rsidRDefault="00377A50" w:rsidP="00D62E44">
            <w:pPr>
              <w:jc w:val="center"/>
              <w:rPr>
                <w:sz w:val="20"/>
                <w:szCs w:val="20"/>
                <w:lang w:val="en-GB"/>
              </w:rPr>
            </w:pPr>
            <w:r w:rsidRPr="00A04DD6">
              <w:rPr>
                <w:sz w:val="20"/>
                <w:szCs w:val="20"/>
                <w:lang w:val="en-GB"/>
              </w:rPr>
              <w:t>x</w:t>
            </w:r>
          </w:p>
          <w:p w14:paraId="60554677" w14:textId="4DDE6653" w:rsidR="005E0E7F" w:rsidRPr="00A04DD6" w:rsidRDefault="00377A50" w:rsidP="00D62E44">
            <w:pPr>
              <w:jc w:val="center"/>
              <w:rPr>
                <w:sz w:val="20"/>
                <w:szCs w:val="20"/>
                <w:lang w:val="en-GB"/>
              </w:rPr>
            </w:pPr>
            <w:r w:rsidRPr="00A04DD6">
              <w:rPr>
                <w:sz w:val="20"/>
                <w:szCs w:val="20"/>
                <w:lang w:val="en-GB"/>
              </w:rPr>
              <w:t>x</w:t>
            </w:r>
          </w:p>
          <w:p w14:paraId="427D30C7" w14:textId="24F907DE" w:rsidR="005E0E7F" w:rsidRPr="00A04DD6" w:rsidRDefault="00377A50" w:rsidP="00D62E44">
            <w:pPr>
              <w:jc w:val="center"/>
              <w:rPr>
                <w:sz w:val="20"/>
                <w:szCs w:val="20"/>
                <w:lang w:val="en-GB"/>
              </w:rPr>
            </w:pPr>
            <w:r w:rsidRPr="00A04DD6">
              <w:rPr>
                <w:sz w:val="20"/>
                <w:szCs w:val="20"/>
                <w:lang w:val="en-GB"/>
              </w:rPr>
              <w:t>x</w:t>
            </w:r>
          </w:p>
          <w:p w14:paraId="57C50B32" w14:textId="77777777" w:rsidR="005E0E7F" w:rsidRPr="00A04DD6" w:rsidRDefault="005E0E7F" w:rsidP="00D62E44">
            <w:pPr>
              <w:jc w:val="center"/>
              <w:rPr>
                <w:sz w:val="20"/>
                <w:szCs w:val="20"/>
                <w:lang w:val="en-GB"/>
              </w:rPr>
            </w:pPr>
          </w:p>
          <w:p w14:paraId="3D4B7340" w14:textId="6B06749C" w:rsidR="005E0E7F" w:rsidRPr="00A04DD6" w:rsidRDefault="00377A50" w:rsidP="00D62E44">
            <w:pPr>
              <w:jc w:val="center"/>
              <w:rPr>
                <w:sz w:val="20"/>
                <w:szCs w:val="20"/>
                <w:lang w:val="en-GB"/>
              </w:rPr>
            </w:pPr>
            <w:r w:rsidRPr="00A04DD6">
              <w:rPr>
                <w:sz w:val="20"/>
                <w:szCs w:val="20"/>
                <w:lang w:val="en-GB"/>
              </w:rPr>
              <w:t>x</w:t>
            </w:r>
          </w:p>
          <w:p w14:paraId="12914248" w14:textId="77777777" w:rsidR="005E0E7F" w:rsidRPr="00A04DD6" w:rsidRDefault="005E0E7F" w:rsidP="00D62E44">
            <w:pPr>
              <w:jc w:val="center"/>
              <w:rPr>
                <w:sz w:val="20"/>
                <w:szCs w:val="20"/>
                <w:lang w:val="en-GB"/>
              </w:rPr>
            </w:pPr>
          </w:p>
          <w:p w14:paraId="69A88A70" w14:textId="33749871" w:rsidR="005E0E7F" w:rsidRPr="00A04DD6" w:rsidRDefault="00377A50" w:rsidP="00D62E44">
            <w:pPr>
              <w:jc w:val="center"/>
              <w:rPr>
                <w:sz w:val="20"/>
                <w:szCs w:val="20"/>
                <w:lang w:val="en-GB"/>
              </w:rPr>
            </w:pPr>
            <w:r w:rsidRPr="00A04DD6">
              <w:rPr>
                <w:sz w:val="20"/>
                <w:szCs w:val="20"/>
                <w:lang w:val="en-GB"/>
              </w:rPr>
              <w:lastRenderedPageBreak/>
              <w:t>x</w:t>
            </w:r>
          </w:p>
          <w:p w14:paraId="01D3D311" w14:textId="442074BE" w:rsidR="005E0E7F" w:rsidRPr="00A04DD6" w:rsidRDefault="00377A50" w:rsidP="00D62E44">
            <w:pPr>
              <w:jc w:val="center"/>
              <w:rPr>
                <w:sz w:val="20"/>
                <w:szCs w:val="20"/>
                <w:lang w:val="en-GB"/>
              </w:rPr>
            </w:pPr>
            <w:r w:rsidRPr="00A04DD6">
              <w:rPr>
                <w:sz w:val="20"/>
                <w:szCs w:val="20"/>
                <w:lang w:val="en-GB"/>
              </w:rPr>
              <w:t>x</w:t>
            </w:r>
          </w:p>
          <w:p w14:paraId="3654E7A0" w14:textId="17DB2C39" w:rsidR="005E0E7F" w:rsidRPr="00A04DD6" w:rsidRDefault="00377A50" w:rsidP="00D62E44">
            <w:pPr>
              <w:jc w:val="center"/>
              <w:rPr>
                <w:sz w:val="20"/>
                <w:szCs w:val="20"/>
                <w:lang w:val="en-GB"/>
              </w:rPr>
            </w:pPr>
            <w:r w:rsidRPr="00A04DD6">
              <w:rPr>
                <w:sz w:val="20"/>
                <w:szCs w:val="20"/>
                <w:lang w:val="en-GB"/>
              </w:rPr>
              <w:t>x</w:t>
            </w:r>
          </w:p>
          <w:p w14:paraId="7246C4A8" w14:textId="77777777" w:rsidR="005E0E7F" w:rsidRPr="00A04DD6" w:rsidRDefault="005E0E7F" w:rsidP="00D62E44">
            <w:pPr>
              <w:jc w:val="center"/>
              <w:rPr>
                <w:sz w:val="20"/>
                <w:szCs w:val="20"/>
                <w:lang w:val="en-GB"/>
              </w:rPr>
            </w:pPr>
          </w:p>
          <w:p w14:paraId="1FF36894" w14:textId="77777777" w:rsidR="005E0E7F" w:rsidRPr="00A04DD6" w:rsidRDefault="005E0E7F" w:rsidP="00D62E44">
            <w:pPr>
              <w:jc w:val="center"/>
              <w:rPr>
                <w:sz w:val="20"/>
                <w:szCs w:val="20"/>
                <w:lang w:val="en-GB"/>
              </w:rPr>
            </w:pPr>
          </w:p>
          <w:p w14:paraId="57FFBFDE" w14:textId="7848E677" w:rsidR="005E0E7F" w:rsidRPr="00A04DD6" w:rsidRDefault="00377A50" w:rsidP="00D62E44">
            <w:pPr>
              <w:jc w:val="center"/>
              <w:rPr>
                <w:sz w:val="20"/>
                <w:szCs w:val="20"/>
                <w:lang w:val="en-GB"/>
              </w:rPr>
            </w:pPr>
            <w:r w:rsidRPr="00A04DD6">
              <w:rPr>
                <w:sz w:val="20"/>
                <w:szCs w:val="20"/>
                <w:lang w:val="en-GB"/>
              </w:rPr>
              <w:t>x</w:t>
            </w:r>
          </w:p>
          <w:p w14:paraId="09709A24" w14:textId="77777777" w:rsidR="005E0E7F" w:rsidRPr="00A04DD6" w:rsidRDefault="005E0E7F" w:rsidP="00D62E44">
            <w:pPr>
              <w:jc w:val="center"/>
              <w:rPr>
                <w:sz w:val="20"/>
                <w:szCs w:val="20"/>
                <w:lang w:val="en-GB"/>
              </w:rPr>
            </w:pPr>
          </w:p>
          <w:p w14:paraId="3FD61F89" w14:textId="77777777" w:rsidR="005E0E7F" w:rsidRPr="00A04DD6" w:rsidRDefault="005E0E7F" w:rsidP="00D62E44">
            <w:pPr>
              <w:jc w:val="center"/>
              <w:rPr>
                <w:sz w:val="20"/>
                <w:szCs w:val="20"/>
                <w:lang w:val="en-GB"/>
              </w:rPr>
            </w:pPr>
          </w:p>
          <w:p w14:paraId="1484970D" w14:textId="66A02391" w:rsidR="005E0E7F" w:rsidRPr="00A04DD6" w:rsidRDefault="00377A50" w:rsidP="00D62E44">
            <w:pPr>
              <w:jc w:val="center"/>
              <w:rPr>
                <w:sz w:val="20"/>
                <w:szCs w:val="20"/>
                <w:lang w:val="en-GB"/>
              </w:rPr>
            </w:pPr>
            <w:r w:rsidRPr="00A04DD6">
              <w:rPr>
                <w:sz w:val="20"/>
                <w:szCs w:val="20"/>
                <w:lang w:val="en-GB"/>
              </w:rPr>
              <w:t>x</w:t>
            </w:r>
          </w:p>
          <w:p w14:paraId="3DA37DC1" w14:textId="77777777" w:rsidR="005E0E7F" w:rsidRPr="00A04DD6" w:rsidRDefault="005E0E7F" w:rsidP="00D62E44">
            <w:pPr>
              <w:jc w:val="center"/>
              <w:rPr>
                <w:sz w:val="20"/>
                <w:szCs w:val="20"/>
                <w:lang w:val="en-GB"/>
              </w:rPr>
            </w:pPr>
          </w:p>
          <w:p w14:paraId="441C1926" w14:textId="08A17A6C" w:rsidR="005E0E7F" w:rsidRPr="00A04DD6" w:rsidRDefault="00377A50" w:rsidP="00D62E44">
            <w:pPr>
              <w:jc w:val="center"/>
              <w:rPr>
                <w:sz w:val="20"/>
                <w:szCs w:val="20"/>
                <w:lang w:val="en-GB"/>
              </w:rPr>
            </w:pPr>
            <w:r w:rsidRPr="00A04DD6">
              <w:rPr>
                <w:sz w:val="20"/>
                <w:szCs w:val="20"/>
                <w:lang w:val="en-GB"/>
              </w:rPr>
              <w:t>x</w:t>
            </w:r>
          </w:p>
          <w:p w14:paraId="04FD9DF3" w14:textId="77777777" w:rsidR="005E0E7F" w:rsidRPr="00A04DD6" w:rsidRDefault="005E0E7F" w:rsidP="00D62E44">
            <w:pPr>
              <w:jc w:val="center"/>
              <w:rPr>
                <w:sz w:val="20"/>
                <w:szCs w:val="20"/>
                <w:lang w:val="en-GB"/>
              </w:rPr>
            </w:pPr>
          </w:p>
          <w:p w14:paraId="10A13046" w14:textId="43E186B6" w:rsidR="005E0E7F" w:rsidRPr="00A04DD6" w:rsidRDefault="00377A50" w:rsidP="00D62E44">
            <w:pPr>
              <w:jc w:val="center"/>
              <w:rPr>
                <w:sz w:val="20"/>
                <w:szCs w:val="20"/>
                <w:lang w:val="en-GB"/>
              </w:rPr>
            </w:pPr>
            <w:r w:rsidRPr="00A04DD6">
              <w:rPr>
                <w:sz w:val="20"/>
                <w:szCs w:val="20"/>
                <w:lang w:val="en-GB"/>
              </w:rPr>
              <w:t>x</w:t>
            </w:r>
          </w:p>
          <w:p w14:paraId="12C59B5D" w14:textId="305F8435" w:rsidR="005E0E7F" w:rsidRPr="00A04DD6" w:rsidRDefault="00377A50" w:rsidP="00D62E44">
            <w:pPr>
              <w:jc w:val="center"/>
              <w:rPr>
                <w:sz w:val="20"/>
                <w:szCs w:val="20"/>
                <w:lang w:val="en-GB"/>
              </w:rPr>
            </w:pPr>
            <w:r w:rsidRPr="00A04DD6">
              <w:rPr>
                <w:sz w:val="20"/>
                <w:szCs w:val="20"/>
                <w:lang w:val="en-GB"/>
              </w:rPr>
              <w:t>x</w:t>
            </w:r>
          </w:p>
          <w:p w14:paraId="41E5FF86" w14:textId="014D0340" w:rsidR="005E0E7F" w:rsidRPr="00A04DD6" w:rsidRDefault="00377A50" w:rsidP="00D62E44">
            <w:pPr>
              <w:jc w:val="center"/>
              <w:rPr>
                <w:sz w:val="20"/>
                <w:szCs w:val="20"/>
                <w:lang w:val="en-GB"/>
              </w:rPr>
            </w:pPr>
            <w:r w:rsidRPr="00A04DD6">
              <w:rPr>
                <w:sz w:val="20"/>
                <w:szCs w:val="20"/>
                <w:lang w:val="en-GB"/>
              </w:rPr>
              <w:t>x</w:t>
            </w:r>
          </w:p>
          <w:p w14:paraId="2F888F1F" w14:textId="5FBDC4CD" w:rsidR="005E0E7F" w:rsidRPr="00A04DD6" w:rsidRDefault="00377A50" w:rsidP="00D62E44">
            <w:pPr>
              <w:jc w:val="center"/>
              <w:rPr>
                <w:sz w:val="20"/>
                <w:szCs w:val="20"/>
                <w:lang w:val="en-GB"/>
              </w:rPr>
            </w:pPr>
            <w:r w:rsidRPr="00A04DD6">
              <w:rPr>
                <w:sz w:val="20"/>
                <w:szCs w:val="20"/>
                <w:lang w:val="en-GB"/>
              </w:rPr>
              <w:t>x</w:t>
            </w:r>
          </w:p>
          <w:p w14:paraId="24E77121" w14:textId="77777777" w:rsidR="005E0E7F" w:rsidRPr="00A04DD6" w:rsidRDefault="005E0E7F" w:rsidP="00D62E44">
            <w:pPr>
              <w:jc w:val="center"/>
              <w:rPr>
                <w:sz w:val="20"/>
                <w:szCs w:val="20"/>
                <w:lang w:val="en-GB"/>
              </w:rPr>
            </w:pPr>
          </w:p>
          <w:p w14:paraId="5DEBC2CC" w14:textId="75DC7837" w:rsidR="005E0E7F" w:rsidRPr="00A04DD6" w:rsidRDefault="00377A50" w:rsidP="00D62E44">
            <w:pPr>
              <w:jc w:val="center"/>
              <w:rPr>
                <w:sz w:val="20"/>
                <w:szCs w:val="20"/>
                <w:lang w:val="en-GB"/>
              </w:rPr>
            </w:pPr>
            <w:r w:rsidRPr="00A04DD6">
              <w:rPr>
                <w:sz w:val="20"/>
                <w:szCs w:val="20"/>
                <w:lang w:val="en-GB"/>
              </w:rPr>
              <w:t>x</w:t>
            </w:r>
          </w:p>
          <w:p w14:paraId="389CF4B6" w14:textId="6E5E6A14" w:rsidR="005E0E7F" w:rsidRPr="00A04DD6" w:rsidRDefault="00377A50" w:rsidP="00D62E44">
            <w:pPr>
              <w:jc w:val="center"/>
              <w:rPr>
                <w:sz w:val="20"/>
                <w:szCs w:val="20"/>
                <w:lang w:val="en-GB"/>
              </w:rPr>
            </w:pPr>
            <w:r w:rsidRPr="00A04DD6">
              <w:rPr>
                <w:sz w:val="20"/>
                <w:szCs w:val="20"/>
                <w:lang w:val="en-GB"/>
              </w:rPr>
              <w:t>x</w:t>
            </w:r>
          </w:p>
        </w:tc>
      </w:tr>
      <w:tr w:rsidR="005E0E7F" w:rsidRPr="00A04DD6" w14:paraId="10E39B79" w14:textId="77777777" w:rsidTr="00746DB3">
        <w:trPr>
          <w:jc w:val="center"/>
        </w:trPr>
        <w:tc>
          <w:tcPr>
            <w:tcW w:w="1765" w:type="pct"/>
          </w:tcPr>
          <w:p w14:paraId="4A45FC21" w14:textId="77777777" w:rsidR="005E0E7F" w:rsidRPr="00A04DD6" w:rsidRDefault="005E0E7F" w:rsidP="00D62E44">
            <w:pPr>
              <w:rPr>
                <w:b/>
                <w:sz w:val="20"/>
                <w:szCs w:val="20"/>
                <w:lang w:val="en-GB"/>
              </w:rPr>
            </w:pPr>
            <w:r w:rsidRPr="00A04DD6">
              <w:rPr>
                <w:b/>
                <w:sz w:val="20"/>
                <w:szCs w:val="20"/>
                <w:lang w:val="en-GB"/>
              </w:rPr>
              <w:lastRenderedPageBreak/>
              <w:t>Total</w:t>
            </w:r>
          </w:p>
        </w:tc>
        <w:tc>
          <w:tcPr>
            <w:tcW w:w="1618" w:type="pct"/>
          </w:tcPr>
          <w:p w14:paraId="79E64970" w14:textId="77777777" w:rsidR="005E0E7F" w:rsidRPr="00A04DD6" w:rsidRDefault="005E0E7F" w:rsidP="00D62E44">
            <w:pPr>
              <w:jc w:val="center"/>
              <w:rPr>
                <w:b/>
                <w:sz w:val="20"/>
                <w:szCs w:val="20"/>
                <w:lang w:val="en-GB"/>
              </w:rPr>
            </w:pPr>
            <w:r w:rsidRPr="00A04DD6">
              <w:rPr>
                <w:b/>
                <w:sz w:val="20"/>
                <w:szCs w:val="20"/>
                <w:lang w:val="en-GB"/>
              </w:rPr>
              <w:t>15</w:t>
            </w:r>
          </w:p>
        </w:tc>
        <w:tc>
          <w:tcPr>
            <w:tcW w:w="1618" w:type="pct"/>
          </w:tcPr>
          <w:p w14:paraId="129C4A85" w14:textId="77777777" w:rsidR="005E0E7F" w:rsidRPr="00A04DD6" w:rsidRDefault="005E0E7F" w:rsidP="00D62E44">
            <w:pPr>
              <w:keepNext/>
              <w:jc w:val="center"/>
              <w:rPr>
                <w:b/>
                <w:sz w:val="20"/>
                <w:szCs w:val="20"/>
                <w:lang w:val="en-GB"/>
              </w:rPr>
            </w:pPr>
            <w:r w:rsidRPr="00A04DD6">
              <w:rPr>
                <w:b/>
                <w:sz w:val="20"/>
                <w:szCs w:val="20"/>
                <w:lang w:val="en-GB"/>
              </w:rPr>
              <w:t>29</w:t>
            </w:r>
          </w:p>
        </w:tc>
      </w:tr>
    </w:tbl>
    <w:p w14:paraId="06D02B8E" w14:textId="77777777" w:rsidR="005E0E7F" w:rsidRPr="00A04DD6" w:rsidRDefault="005E0E7F" w:rsidP="005E0E7F">
      <w:pPr>
        <w:spacing w:line="480" w:lineRule="auto"/>
        <w:jc w:val="both"/>
        <w:rPr>
          <w:lang w:val="en-GB" w:bidi="en-US"/>
        </w:rPr>
      </w:pPr>
    </w:p>
    <w:p w14:paraId="7B239BB5" w14:textId="7C47A955" w:rsidR="005E0E7F" w:rsidRPr="00A04DD6" w:rsidRDefault="005E0E7F" w:rsidP="005E0E7F">
      <w:pPr>
        <w:spacing w:after="240" w:line="360" w:lineRule="auto"/>
        <w:jc w:val="both"/>
        <w:rPr>
          <w:lang w:val="en-GB" w:bidi="en-US"/>
        </w:rPr>
      </w:pPr>
      <w:r w:rsidRPr="00A04DD6">
        <w:rPr>
          <w:lang w:val="en-GB" w:bidi="en-US"/>
        </w:rPr>
        <w:t>The fifth macro category, named “Virtualize” (</w:t>
      </w:r>
      <w:r w:rsidR="00E52A54">
        <w:rPr>
          <w:lang w:val="en-GB" w:bidi="en-US"/>
        </w:rPr>
        <w:t>Table 11</w:t>
      </w:r>
      <w:r w:rsidRPr="00A04DD6">
        <w:rPr>
          <w:lang w:val="en-GB" w:bidi="en-US"/>
        </w:rPr>
        <w:t xml:space="preserve">), involves all those solutions directly or indirectly dematerializing a system or delivering </w:t>
      </w:r>
      <w:r w:rsidR="00CD041D">
        <w:rPr>
          <w:lang w:val="en-GB" w:bidi="en-US"/>
        </w:rPr>
        <w:t>it</w:t>
      </w:r>
      <w:r w:rsidRPr="00A04DD6">
        <w:rPr>
          <w:lang w:val="en-GB" w:bidi="en-US"/>
        </w:rPr>
        <w:t xml:space="preserve"> virtually. Result-oriented PSSs are strongly dominant in this </w:t>
      </w:r>
      <w:r w:rsidR="00CD041D">
        <w:rPr>
          <w:lang w:val="en-GB" w:bidi="en-US"/>
        </w:rPr>
        <w:t>area</w:t>
      </w:r>
      <w:r w:rsidRPr="00A04DD6">
        <w:rPr>
          <w:lang w:val="en-GB" w:bidi="en-US"/>
        </w:rPr>
        <w:t xml:space="preserve">, while de-materialize actions are </w:t>
      </w:r>
      <w:r w:rsidR="00081440">
        <w:rPr>
          <w:lang w:val="en-GB" w:bidi="en-US"/>
        </w:rPr>
        <w:t>rarely</w:t>
      </w:r>
      <w:r w:rsidRPr="00A04DD6">
        <w:rPr>
          <w:lang w:val="en-GB" w:bidi="en-US"/>
        </w:rPr>
        <w:t xml:space="preserve"> reported </w:t>
      </w:r>
      <w:r w:rsidR="00CD041D">
        <w:rPr>
          <w:lang w:val="en-GB" w:bidi="en-US"/>
        </w:rPr>
        <w:t>in literature</w:t>
      </w:r>
      <w:r w:rsidRPr="00A04DD6">
        <w:rPr>
          <w:lang w:val="en-GB" w:bidi="en-US"/>
        </w:rPr>
        <w:t xml:space="preserve"> as effective solution fostering CE</w:t>
      </w:r>
      <w:r w:rsidR="00081440">
        <w:rPr>
          <w:lang w:val="en-GB" w:bidi="en-US"/>
        </w:rPr>
        <w:t xml:space="preserve"> </w:t>
      </w:r>
      <w:r w:rsidR="00081440">
        <w:rPr>
          <w:lang w:val="en-GB" w:bidi="en-US"/>
        </w:rPr>
        <w:fldChar w:fldCharType="begin" w:fldLock="1"/>
      </w:r>
      <w:r w:rsidR="00522FD5">
        <w:rPr>
          <w:lang w:val="en-GB" w:bidi="en-US"/>
        </w:rPr>
        <w:instrText>ADDIN CSL_CITATION {"citationItems":[{"id":"ITEM-1","itemData":{"DOI":"10.1080/0951192X.2014.924160","ISSN":"13623052 0951192X","abstract":"? 2014 Taylor &amp; Francis.New flexibility-oriented business models represent a novelty in business model research. They aim at optimising the management of manufacturing flexibility in turbulent environments through the offering of added-value services by system suppliers. However, they are currently defined at theoretical level and their economic sustainability for customers and suppliers has to be quantitatively demonstrated. In this paper, a methodology to assess the economic performance of flexibility-oriented business models based on probabilistic event-decision trees modelling is presented. The methodology was applied to a real industrial case and simulations were performed to identify win-win conditions that make business models sustainable for customer and supplier. Results allowed to understand which are the main variables determining flexibility-oriented business models success and they constitute a reference for companies willing to innovate their business model in this direction.","author":[{"dropping-particle":"","family":"Copani","given":"Giacomo","non-dropping-particle":"","parse-names":false,"suffix":""},{"dropping-particle":"","family":"Rosa","given":"Paolo","non-dropping-particle":"","parse-names":false,"suffix":""}],"container-title":"International Journal of Computer Integrated Manufacturing","id":"ITEM-1","issue":"4","issued":{"date-parts":[["2014"]]},"page":"1-10","title":"DEMAT: Sustainability assessment of new flexibility-oriented business models in the machine tools industry","type":"article-journal","volume":"28"},"uris":["http://www.mendeley.com/documents/?uuid=e9cbed83-3feb-3e40-adcf-561105b8d157"]}],"mendeley":{"formattedCitation":"(Copani and Rosa, 2014)","plainTextFormattedCitation":"(Copani and Rosa, 2014)","previouslyFormattedCitation":"(Copani and Rosa, 2014)"},"properties":{"noteIndex":0},"schema":"https://github.com/citation-style-language/schema/raw/master/csl-citation.json"}</w:instrText>
      </w:r>
      <w:r w:rsidR="00081440">
        <w:rPr>
          <w:lang w:val="en-GB" w:bidi="en-US"/>
        </w:rPr>
        <w:fldChar w:fldCharType="separate"/>
      </w:r>
      <w:r w:rsidR="00081440" w:rsidRPr="00081440">
        <w:rPr>
          <w:noProof/>
          <w:lang w:val="en-GB" w:bidi="en-US"/>
        </w:rPr>
        <w:t>(Copani and Rosa, 2014)</w:t>
      </w:r>
      <w:r w:rsidR="00081440">
        <w:rPr>
          <w:lang w:val="en-GB" w:bidi="en-US"/>
        </w:rPr>
        <w:fldChar w:fldCharType="end"/>
      </w:r>
      <w:r w:rsidRPr="00A04DD6">
        <w:rPr>
          <w:lang w:val="en-GB" w:bidi="en-US"/>
        </w:rPr>
        <w:t>.</w:t>
      </w:r>
    </w:p>
    <w:p w14:paraId="201966A4" w14:textId="356536AE" w:rsidR="005E0E7F" w:rsidRPr="00A04DD6" w:rsidRDefault="005E0E7F" w:rsidP="005E0E7F">
      <w:pPr>
        <w:pStyle w:val="Didascalia"/>
        <w:spacing w:line="360" w:lineRule="auto"/>
        <w:jc w:val="center"/>
        <w:rPr>
          <w:b w:val="0"/>
          <w:caps w:val="0"/>
          <w:sz w:val="24"/>
          <w:lang w:val="en-GB"/>
        </w:rPr>
      </w:pPr>
      <w:r w:rsidRPr="00A04DD6">
        <w:rPr>
          <w:caps w:val="0"/>
          <w:sz w:val="24"/>
          <w:lang w:val="en-GB"/>
        </w:rPr>
        <w:t xml:space="preserve">Table </w:t>
      </w:r>
      <w:r w:rsidRPr="00A04DD6">
        <w:rPr>
          <w:sz w:val="24"/>
          <w:lang w:val="en-GB"/>
        </w:rPr>
        <w:fldChar w:fldCharType="begin"/>
      </w:r>
      <w:r w:rsidRPr="00D01625">
        <w:rPr>
          <w:sz w:val="24"/>
          <w:lang w:val="en-GB"/>
        </w:rPr>
        <w:instrText xml:space="preserve"> SEQ Table \* ARABIC </w:instrText>
      </w:r>
      <w:r w:rsidRPr="00A04DD6">
        <w:rPr>
          <w:sz w:val="24"/>
          <w:lang w:val="en-GB"/>
        </w:rPr>
        <w:fldChar w:fldCharType="separate"/>
      </w:r>
      <w:r w:rsidR="008F7F15">
        <w:rPr>
          <w:noProof/>
          <w:sz w:val="24"/>
          <w:lang w:val="en-GB"/>
        </w:rPr>
        <w:t>11</w:t>
      </w:r>
      <w:r w:rsidRPr="00A04DD6">
        <w:rPr>
          <w:sz w:val="24"/>
          <w:lang w:val="en-GB"/>
        </w:rPr>
        <w:fldChar w:fldCharType="end"/>
      </w:r>
      <w:r w:rsidRPr="00A04DD6">
        <w:rPr>
          <w:sz w:val="24"/>
          <w:lang w:val="en-GB"/>
        </w:rPr>
        <w:t>.</w:t>
      </w:r>
      <w:r w:rsidRPr="00A04DD6">
        <w:rPr>
          <w:caps w:val="0"/>
          <w:sz w:val="24"/>
          <w:lang w:val="en-GB"/>
        </w:rPr>
        <w:t xml:space="preserve"> </w:t>
      </w:r>
      <w:r w:rsidRPr="00A04DD6">
        <w:rPr>
          <w:b w:val="0"/>
          <w:caps w:val="0"/>
          <w:sz w:val="24"/>
          <w:lang w:val="en-GB"/>
        </w:rPr>
        <w:t xml:space="preserve">Circular business models: virtualize actions (adapted from </w:t>
      </w:r>
      <w:r w:rsidRPr="00A04DD6">
        <w:rPr>
          <w:b w:val="0"/>
          <w:caps w:val="0"/>
          <w:sz w:val="24"/>
          <w:lang w:val="en-GB"/>
        </w:rPr>
        <w:fldChar w:fldCharType="begin" w:fldLock="1"/>
      </w:r>
      <w:r w:rsidR="003445CC">
        <w:rPr>
          <w:b w:val="0"/>
          <w:caps w:val="0"/>
          <w:sz w:val="24"/>
          <w:lang w:val="en-GB"/>
        </w:rPr>
        <w:instrText>ADDIN CSL_CITATION {"citationItems":[{"id":"ITEM-1","itemData":{"DOI":"2012-04-03","ISBN":"1530-9290","ISSN":"10881980","PMID":"25246403","abstract":"This report is the first ever to look at the economic and business rationale for an accelerated transition towards a circular economy. The report was commissioned by the Ellen MacArthur Foundation with the support of its Founding Partners, B&amp;Q, BT, Cisco, National Grid and Renault. McKinsey &amp; Company, a global management consulting firm, provided the overall project management, developed the fact base and delivered the analytics. The report draws from the input and expertise of a wide range of academic and business leaders.","author":[{"dropping-particle":"","family":"The Ellen MacArthur Foundation","given":"","non-dropping-particle":"","parse-names":false,"suffix":""}],"id":"ITEM-1","issued":{"date-parts":[["2015"]]},"number-of-pages":"20","title":"Towards a Circular Economy: Business Rationale for an Accelerated Transition","type":"report"},"uris":["http://www.mendeley.com/documents/?uuid=971e4fa0-7fe9-4e1f-b452-62303eeda0d3"]},{"id":"ITEM-2","itemData":{"author":[{"dropping-particle":"","family":"OECD","given":"","non-dropping-particle":"","parse-names":false,"suffix":""}],"id":"ITEM-2","issue":"June","issued":{"date-parts":[["2017"]]},"number-of-pages":"1-73","title":"New Business Models for the Circular Economy - Opportunities and Challenges from a Policy Perspective","type":"report"},"uris":["http://www.mendeley.com/documents/?uuid=451a73ce-eb83-45f7-bb85-3165f4ff0b8f"]}],"mendeley":{"formattedCitation":"(OECD, 2017; The Ellen MacArthur Foundation, 2015)","plainTextFormattedCitation":"(OECD, 2017; The Ellen MacArthur Foundation, 2015)","previouslyFormattedCitation":"(OECD, 2017; The Ellen MacArthur Foundation, 2015)"},"properties":{"noteIndex":0},"schema":"https://github.com/citation-style-language/schema/raw/master/csl-citation.json"}</w:instrText>
      </w:r>
      <w:r w:rsidRPr="00A04DD6">
        <w:rPr>
          <w:b w:val="0"/>
          <w:caps w:val="0"/>
          <w:sz w:val="24"/>
          <w:lang w:val="en-GB"/>
        </w:rPr>
        <w:fldChar w:fldCharType="separate"/>
      </w:r>
      <w:r w:rsidRPr="00A04DD6">
        <w:rPr>
          <w:b w:val="0"/>
          <w:caps w:val="0"/>
          <w:noProof/>
          <w:sz w:val="24"/>
          <w:lang w:val="en-GB"/>
        </w:rPr>
        <w:t>(OECD, 2017; The Ellen MacArthur Foundation, 2015)</w:t>
      </w:r>
      <w:r w:rsidRPr="00A04DD6">
        <w:rPr>
          <w:b w:val="0"/>
          <w:caps w:val="0"/>
          <w:sz w:val="24"/>
          <w:lang w:val="en-GB"/>
        </w:rPr>
        <w:fldChar w:fldCharType="end"/>
      </w:r>
      <w:r w:rsidRPr="00A04DD6">
        <w:rPr>
          <w:b w:val="0"/>
          <w:caps w:val="0"/>
          <w:sz w:val="24"/>
          <w:lang w:val="en-GB"/>
        </w:rPr>
        <w:t>)</w:t>
      </w:r>
    </w:p>
    <w:p w14:paraId="09836D09" w14:textId="77777777" w:rsidR="005E0E7F" w:rsidRPr="00A04DD6" w:rsidRDefault="005E0E7F" w:rsidP="005E0E7F">
      <w:pPr>
        <w:rPr>
          <w:lang w:val="en-GB"/>
        </w:rPr>
      </w:pPr>
    </w:p>
    <w:tbl>
      <w:tblPr>
        <w:tblStyle w:val="Grigliatabella"/>
        <w:tblW w:w="5000" w:type="pct"/>
        <w:jc w:val="center"/>
        <w:tblLook w:val="01E0" w:firstRow="1" w:lastRow="1" w:firstColumn="1" w:lastColumn="1" w:noHBand="0" w:noVBand="0"/>
      </w:tblPr>
      <w:tblGrid>
        <w:gridCol w:w="2972"/>
        <w:gridCol w:w="3325"/>
        <w:gridCol w:w="3325"/>
      </w:tblGrid>
      <w:tr w:rsidR="005E0E7F" w:rsidRPr="00A04DD6" w14:paraId="021F15C3" w14:textId="77777777" w:rsidTr="00746DB3">
        <w:trPr>
          <w:jc w:val="center"/>
        </w:trPr>
        <w:tc>
          <w:tcPr>
            <w:tcW w:w="1544" w:type="pct"/>
            <w:vMerge w:val="restart"/>
            <w:vAlign w:val="center"/>
          </w:tcPr>
          <w:p w14:paraId="11FAA260" w14:textId="77777777" w:rsidR="005E0E7F" w:rsidRPr="00746DB3" w:rsidRDefault="005E0E7F" w:rsidP="00D62E44">
            <w:pPr>
              <w:rPr>
                <w:b/>
                <w:szCs w:val="20"/>
                <w:lang w:val="en-GB"/>
              </w:rPr>
            </w:pPr>
            <w:r w:rsidRPr="00746DB3">
              <w:rPr>
                <w:b/>
                <w:szCs w:val="20"/>
                <w:lang w:val="en-GB"/>
              </w:rPr>
              <w:t>Author</w:t>
            </w:r>
          </w:p>
        </w:tc>
        <w:tc>
          <w:tcPr>
            <w:tcW w:w="3456" w:type="pct"/>
            <w:gridSpan w:val="2"/>
            <w:vAlign w:val="center"/>
          </w:tcPr>
          <w:p w14:paraId="573407E1" w14:textId="03817C99" w:rsidR="005E0E7F" w:rsidRPr="00746DB3" w:rsidRDefault="005E0E7F" w:rsidP="00D62E44">
            <w:pPr>
              <w:jc w:val="center"/>
              <w:rPr>
                <w:b/>
                <w:szCs w:val="20"/>
                <w:lang w:val="en-GB"/>
              </w:rPr>
            </w:pPr>
            <w:r w:rsidRPr="00746DB3">
              <w:rPr>
                <w:b/>
                <w:szCs w:val="20"/>
                <w:lang w:val="en-GB"/>
              </w:rPr>
              <w:t>Virtualize</w:t>
            </w:r>
            <w:r w:rsidR="009A61BC">
              <w:rPr>
                <w:b/>
                <w:szCs w:val="20"/>
                <w:lang w:val="en-GB"/>
              </w:rPr>
              <w:t xml:space="preserve"> actions</w:t>
            </w:r>
          </w:p>
        </w:tc>
      </w:tr>
      <w:tr w:rsidR="005E0E7F" w:rsidRPr="00A04DD6" w14:paraId="4502F931" w14:textId="77777777" w:rsidTr="00746DB3">
        <w:trPr>
          <w:jc w:val="center"/>
        </w:trPr>
        <w:tc>
          <w:tcPr>
            <w:tcW w:w="1544" w:type="pct"/>
            <w:vMerge/>
            <w:vAlign w:val="center"/>
          </w:tcPr>
          <w:p w14:paraId="7D929734" w14:textId="77777777" w:rsidR="005E0E7F" w:rsidRPr="00746DB3" w:rsidRDefault="005E0E7F" w:rsidP="00D62E44">
            <w:pPr>
              <w:rPr>
                <w:b/>
                <w:szCs w:val="20"/>
                <w:lang w:val="en-GB"/>
              </w:rPr>
            </w:pPr>
          </w:p>
        </w:tc>
        <w:tc>
          <w:tcPr>
            <w:tcW w:w="1728" w:type="pct"/>
            <w:vAlign w:val="center"/>
          </w:tcPr>
          <w:p w14:paraId="7BBF9D07" w14:textId="77777777" w:rsidR="005E0E7F" w:rsidRPr="00746DB3" w:rsidRDefault="005E0E7F" w:rsidP="00D62E44">
            <w:pPr>
              <w:jc w:val="center"/>
              <w:rPr>
                <w:b/>
                <w:szCs w:val="20"/>
                <w:lang w:val="en-GB"/>
              </w:rPr>
            </w:pPr>
            <w:r w:rsidRPr="00746DB3">
              <w:rPr>
                <w:b/>
                <w:szCs w:val="20"/>
                <w:lang w:val="en-GB"/>
              </w:rPr>
              <w:t>Result-oriented PSSs</w:t>
            </w:r>
          </w:p>
        </w:tc>
        <w:tc>
          <w:tcPr>
            <w:tcW w:w="1728" w:type="pct"/>
            <w:vAlign w:val="center"/>
          </w:tcPr>
          <w:p w14:paraId="00F7FF1F" w14:textId="77777777" w:rsidR="005E0E7F" w:rsidRPr="00746DB3" w:rsidRDefault="005E0E7F" w:rsidP="00D62E44">
            <w:pPr>
              <w:jc w:val="center"/>
              <w:rPr>
                <w:b/>
                <w:szCs w:val="20"/>
                <w:lang w:val="en-GB"/>
              </w:rPr>
            </w:pPr>
            <w:r w:rsidRPr="00746DB3">
              <w:rPr>
                <w:b/>
                <w:szCs w:val="20"/>
                <w:lang w:val="en-GB"/>
              </w:rPr>
              <w:t>De-materialize</w:t>
            </w:r>
          </w:p>
        </w:tc>
      </w:tr>
      <w:tr w:rsidR="008E0530" w:rsidRPr="00A04DD6" w14:paraId="58FE6AB3" w14:textId="77777777" w:rsidTr="00A778A9">
        <w:trPr>
          <w:trHeight w:val="3910"/>
          <w:jc w:val="center"/>
        </w:trPr>
        <w:tc>
          <w:tcPr>
            <w:tcW w:w="1544" w:type="pct"/>
            <w:vAlign w:val="center"/>
          </w:tcPr>
          <w:p w14:paraId="1A1CC398" w14:textId="598A913F" w:rsidR="008E0530" w:rsidRPr="00A04DD6" w:rsidRDefault="008E0530" w:rsidP="00D62E44">
            <w:pPr>
              <w:rPr>
                <w:sz w:val="20"/>
                <w:szCs w:val="20"/>
                <w:lang w:val="en-GB"/>
              </w:rPr>
            </w:pPr>
            <w:r w:rsidRPr="00746DB3">
              <w:rPr>
                <w:sz w:val="20"/>
                <w:lang w:val="en-GB" w:bidi="en-US"/>
              </w:rPr>
              <w:fldChar w:fldCharType="begin" w:fldLock="1"/>
            </w:r>
            <w:r w:rsidR="00522FD5">
              <w:rPr>
                <w:sz w:val="20"/>
                <w:lang w:val="en-GB" w:bidi="en-US"/>
              </w:rPr>
              <w:instrText>ADDIN CSL_CITATION {"citationItems":[{"id":"ITEM-1","itemData":{"DOI":"10.1080/0951192X.2014.924160","ISSN":"13623052 0951192X","abstract":"? 2014 Taylor &amp; Francis.New flexibility-oriented business models represent a novelty in business model research. They aim at optimising the management of manufacturing flexibility in turbulent environments through the offering of added-value services by system suppliers. However, they are currently defined at theoretical level and their economic sustainability for customers and suppliers has to be quantitatively demonstrated. In this paper, a methodology to assess the economic performance of flexibility-oriented business models based on probabilistic event-decision trees modelling is presented. The methodology was applied to a real industrial case and simulations were performed to identify win-win conditions that make business models sustainable for customer and supplier. Results allowed to understand which are the main variables determining flexibility-oriented business models success and they constitute a reference for companies willing to innovate their business model in this direction.","author":[{"dropping-particle":"","family":"Copani","given":"Giacomo","non-dropping-particle":"","parse-names":false,"suffix":""},{"dropping-particle":"","family":"Rosa","given":"Paolo","non-dropping-particle":"","parse-names":false,"suffix":""}],"container-title":"International Journal of Computer Integrated Manufacturing","id":"ITEM-1","issue":"4","issued":{"date-parts":[["2014"]]},"page":"1-10","title":"DEMAT: Sustainability assessment of new flexibility-oriented business models in the machine tools industry","type":"article-journal","volume":"28"},"uris":["http://www.mendeley.com/documents/?uuid=e9cbed83-3feb-3e40-adcf-561105b8d157"]}],"mendeley":{"formattedCitation":"(Copani and Rosa, 2014)","plainTextFormattedCitation":"(Copani and Rosa, 2014)","previouslyFormattedCitation":"(Copani and Rosa, 2014)"},"properties":{"noteIndex":0},"schema":"https://github.com/citation-style-language/schema/raw/master/csl-citation.json"}</w:instrText>
            </w:r>
            <w:r w:rsidRPr="00746DB3">
              <w:rPr>
                <w:sz w:val="20"/>
                <w:lang w:val="en-GB" w:bidi="en-US"/>
              </w:rPr>
              <w:fldChar w:fldCharType="separate"/>
            </w:r>
            <w:r w:rsidRPr="00746DB3">
              <w:rPr>
                <w:noProof/>
                <w:sz w:val="20"/>
                <w:lang w:val="en-GB" w:bidi="en-US"/>
              </w:rPr>
              <w:t>(Copani and Rosa, 2014)</w:t>
            </w:r>
            <w:r w:rsidRPr="00746DB3">
              <w:rPr>
                <w:sz w:val="20"/>
                <w:lang w:val="en-GB" w:bidi="en-US"/>
              </w:rPr>
              <w:fldChar w:fldCharType="end"/>
            </w:r>
          </w:p>
          <w:p w14:paraId="5C886746" w14:textId="77777777" w:rsidR="008E0530" w:rsidRPr="00746DB3" w:rsidRDefault="008E0530" w:rsidP="00D62E44">
            <w:pPr>
              <w:rPr>
                <w:sz w:val="20"/>
                <w:szCs w:val="20"/>
                <w:lang w:val="pt-BR"/>
              </w:rPr>
            </w:pPr>
            <w:r w:rsidRPr="00A04DD6">
              <w:rPr>
                <w:sz w:val="20"/>
                <w:szCs w:val="20"/>
                <w:lang w:val="en-GB"/>
              </w:rPr>
              <w:fldChar w:fldCharType="begin" w:fldLock="1"/>
            </w:r>
            <w:r>
              <w:rPr>
                <w:sz w:val="20"/>
                <w:szCs w:val="20"/>
                <w:lang w:val="pt-BR"/>
              </w:rPr>
              <w:instrText>ADDIN CSL_CITATION {"citationItems":[{"id":"ITEM-1","itemData":{"DOI":"10.1016/j.jclepro.2016.10.130","ISBN":"9788578110796","ISSN":"09596526","PMID":"25246403","abstract":"Implementing practices for a circular economy transforms the way companies do business, notably in the manufacturing industry. However, a circular economy requires a transformation of both production and consumption systems; the standard approach for creation, fabrication, and commerce of products is challenged. Authors repeatedly call for the development of new proficiencies to attend to system transformations, but these so far have not been described for design and engineering. Given that the design of a product directly influences the way a value chain will be managed, building circular, globally sustainable value chains inevitably signifies a fundamental change in the practice of design. Comprehensive analyses were conducted on case studies from a variety of multinational enterprises that are transforming their product strategies for climate change. Changes in design processes were identified, revealing a growing necessity for industry to employ new proficiencies that support closure of material loops. This paper contributes to existing literature by depicting successful practices being implemented in industry. A variety of new capabilities are key to design for a sustainable future; these range from deeper knowledge of material composition to rich understanding of social behaviour. Resulting from this research, learning goals are proposed to serve as guidance for manufacturing companies seeking to tackle climate change. Conclusions aim to encourage researchers and academics to respond to emerging needs by re-thinking education in design and engineering.","author":[{"dropping-particle":"","family":"los Rios","given":"Irel Carolina","non-dropping-particle":"De","parse-names":false,"suffix":""},{"dropping-particle":"","family":"Charnley","given":"Fiona J.S.","non-dropping-particle":"","parse-names":false,"suffix":""}],"container-title":"Journal of Cleaner Production","id":"ITEM-1","issued":{"date-parts":[["2017"]]},"page":"109-122","publisher":"Elsevier Ltd","title":"Skills and capabilities for a sustainable and circular economy: The changing role of design","type":"article-journal","volume":"160"},"uris":["http://www.mendeley.com/documents/?uuid=488e3ef2-73ec-4d73-ab4f-ed82ad29e295"]}],"mendeley":{"formattedCitation":"(De los Rios and Charnley, 2017)","plainTextFormattedCitation":"(De los Rios and Charnley, 2017)","previouslyFormattedCitation":"(De los Rios and Charnley, 2017)"},"properties":{"noteIndex":0},"schema":"https://github.com/citation-style-language/schema/raw/master/csl-citation.json"}</w:instrText>
            </w:r>
            <w:r w:rsidRPr="00A04DD6">
              <w:rPr>
                <w:sz w:val="20"/>
                <w:szCs w:val="20"/>
                <w:lang w:val="en-GB"/>
              </w:rPr>
              <w:fldChar w:fldCharType="separate"/>
            </w:r>
            <w:r w:rsidRPr="00746DB3">
              <w:rPr>
                <w:noProof/>
                <w:sz w:val="20"/>
                <w:szCs w:val="20"/>
                <w:lang w:val="pt-BR"/>
              </w:rPr>
              <w:t>(De los Rios and Charnley, 2017)</w:t>
            </w:r>
            <w:r w:rsidRPr="00A04DD6">
              <w:rPr>
                <w:sz w:val="20"/>
                <w:szCs w:val="20"/>
                <w:lang w:val="en-GB"/>
              </w:rPr>
              <w:fldChar w:fldCharType="end"/>
            </w:r>
          </w:p>
          <w:p w14:paraId="77EEC616" w14:textId="77777777" w:rsidR="008E0530" w:rsidRPr="00A04DD6" w:rsidRDefault="008E0530" w:rsidP="00D62E44">
            <w:pPr>
              <w:rPr>
                <w:sz w:val="20"/>
                <w:szCs w:val="20"/>
                <w:lang w:val="en-GB"/>
              </w:rPr>
            </w:pPr>
            <w:r w:rsidRPr="00A04DD6">
              <w:rPr>
                <w:sz w:val="20"/>
                <w:szCs w:val="20"/>
                <w:lang w:val="en-GB"/>
              </w:rPr>
              <w:fldChar w:fldCharType="begin" w:fldLock="1"/>
            </w:r>
            <w:r>
              <w:rPr>
                <w:sz w:val="20"/>
                <w:szCs w:val="20"/>
                <w:lang w:val="en-GB"/>
              </w:rPr>
              <w:instrText>ADDIN CSL_CITATION {"citationItems":[{"id":"ITEM-1","itemData":{"DOI":"10.1016/j.jclepro.2017.12.168","ISSN":"09596526","abstract":"The service sector has the potential to play an instrumental role in the shift towards circular economy due to its strategic position between manufacturers and end-users. However, there is a paucity of supporting methodologies and real-life applications to demonstrate how service-oriented companies can implement circular economy principles in daily business practice. This paper addresses this gap by analysing the potential of service-oriented companies in the information and communication technology (ICT) sector to build and implement circular economy business models. To this end, the Backcasting and Eco-design for the Circular Economy (BECE) framework is applied in an ICT firm. BECE, previously developed and demonstrated for product-oriented applications, has been developed further here for applications in the service sector. By shifting the focus from a product-oriented approach to a user-centred eco-design, the paper shows how ICT firms can identify, evaluate and prioritise sustainable business model innovations for circular economy. The two most promising business model innovations are explored strategically with the aim of designing circular economy models consistent with the company's priorities of customer satisfaction and profitability. The findings suggest that ICT companies may be able to support the deployment of a circular economy in the service-oriented technology sector. Importantly, micro and small organisations can play a fundamental role if provided with macro-level support to overcome company-level barriers. Finally, the BECE framework is shown to be a valuable resource to explore, analyse and guide the implementation of circular economy opportunities in service-oriented organisations. Further research to verify the application of the findings to other service-oriented organisations is recommended.","author":[{"dropping-particle":"","family":"Heyes","given":"Graeme","non-dropping-particle":"","parse-names":false,"suffix":""},{"dropping-particle":"","family":"Sharmina","given":"Maria","non-dropping-particle":"","parse-names":false,"suffix":""},{"dropping-particle":"","family":"Mendoza","given":"Joan Manuel F.","non-dropping-particle":"","parse-names":false,"suffix":""},{"dropping-particle":"","family":"Gallego-Schmid","given":"Alejandro","non-dropping-particle":"","parse-names":false,"suffix":""},{"dropping-particle":"","family":"Azapagic","given":"Adisa","non-dropping-particle":"","parse-names":false,"suffix":""}],"container-title":"Journal of Cleaner Production","id":"ITEM-1","issued":{"date-parts":[["2018"]]},"page":"621-632","publisher":"Elsevier Ltd","title":"Developing and implementing circular economy business models in service-oriented technology companies","type":"article-journal","volume":"177"},"uris":["http://www.mendeley.com/documents/?uuid=db69e611-6e02-411e-984b-f13c5121d645"]}],"mendeley":{"formattedCitation":"(Heyes et al., 2018)","plainTextFormattedCitation":"(Heyes et al., 2018)","previouslyFormattedCitation":"(Heyes et al., 2018)"},"properties":{"noteIndex":0},"schema":"https://github.com/citation-style-language/schema/raw/master/csl-citation.json"}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(Heyes et al., 2018)</w:t>
            </w:r>
            <w:r w:rsidRPr="00A04DD6">
              <w:rPr>
                <w:sz w:val="20"/>
                <w:szCs w:val="20"/>
                <w:lang w:val="en-GB"/>
              </w:rPr>
              <w:fldChar w:fldCharType="end"/>
            </w:r>
          </w:p>
          <w:p w14:paraId="1E323C25" w14:textId="77777777" w:rsidR="008E0530" w:rsidRPr="00A04DD6" w:rsidRDefault="008E0530"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{"citationItems":[{"id":"ITEM-1","itemData":{"DOI":"10.1002/bse.1906","ISBN":"1099-0836","ISSN":"10990836","abstract":"Circular business models based on remanufacturing and reuse promise significant cost savings as well as radical reductions in environmental impact. Variants of such business models have been suggested for decades, and there are notable success stories such as the Xerox product–service offering based on photocopiers that are remanufactured. Still, we are not seeing widespread adoption in industry. This paper examines causes for reluctance. Drawing on a hypothesis-testing framework of business model innovation, we show that circular business models imply significant challenges to proactive uncertainty reduction for the entrepreneur. Moreover, we show that many product–service system variants that facilitate return flow control in circular business models further aggravate the potential negative effects of failed uncertainty reduction because of increased capital commitments. Through a longitudinal action research study we also provide a counterexample to many of the challenges identified in previous studies, which could be overcome in the studied case. Copyright © 2015 John Wiley &amp; Sons, Ltd and ERP Environment","author":[{"dropping-particle":"","family":"Linder","given":"Marcus","non-dropping-particle":"","parse-names":false,"suffix":""},{"dropping-particle":"","family":"Williander","given":"Mats","non-dropping-particle":"","parse-names":false,"suffix":""}],"container-title":"Business Strategy and the Environment","id":"ITEM-1","issue":"2","issued":{"date-parts":[["2017"]]},"page":"182-196","title":"Circular Business Model Innovation: Inherent Uncertainties","type":"article-journal","volume":"26"},"uris":["http://www.mendeley.com/documents/?uuid=bdb7f87c-693a-4e41-94b6-7eaa593e7503","http://www.mendeley.com/documents/?uuid=fdfb012a-62da-49aa-87ee-73fa0d1e24c2"]}],"mendeley":{"formattedCitation":"(Linder and Williander, 2017)","plainTextFormattedCitation":"(Linder and Williander, 2017)","previouslyFormattedCitation":"(Linder and Williander,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(Linder and Williander, 2017)</w:t>
            </w:r>
            <w:r w:rsidRPr="00A04DD6">
              <w:rPr>
                <w:sz w:val="20"/>
                <w:szCs w:val="20"/>
                <w:lang w:val="en-GB"/>
              </w:rPr>
              <w:fldChar w:fldCharType="end"/>
            </w:r>
          </w:p>
          <w:p w14:paraId="083A1E8D" w14:textId="77777777" w:rsidR="008E0530" w:rsidRPr="00A04DD6" w:rsidRDefault="008E0530" w:rsidP="00D62E44">
            <w:pPr>
              <w:rPr>
                <w:sz w:val="20"/>
                <w:szCs w:val="20"/>
                <w:lang w:val="en-GB"/>
              </w:rPr>
            </w:pPr>
            <w:r w:rsidRPr="00A04DD6">
              <w:rPr>
                <w:sz w:val="20"/>
                <w:szCs w:val="20"/>
                <w:lang w:val="en-GB"/>
              </w:rPr>
              <w:fldChar w:fldCharType="begin" w:fldLock="1"/>
            </w:r>
            <w:r>
              <w:rPr>
                <w:sz w:val="20"/>
                <w:szCs w:val="20"/>
                <w:lang w:val="en-GB"/>
              </w:rPr>
              <w:instrText>ADDIN CSL_CITATION {"citationItems":[{"id":"ITEM-1","itemData":{"DOI":"10.1016/j.procir.2016.03.027","ISSN":"22128271","abstract":"The paper concerns which sustainability-oriented Functional Products (FP) customer values companies, who also provide products and services, consider as important to communicate to customers when offering or planning to offer FP. Currently, the manufacturing industry is showing increasing interest in adding offerings based on additionally complex business models as opposed to merely offering products and services. This is considered necessary if companies are to continue to be able to innovate and stay competitive and profitable in global competition. A considerable focus is directed towards performance- or result-based business models. FP is one such business model, where the provider offers a function to customers at an agreed-upon level of availability, productivity or efficiency. FP comprise the following four main constituents: hardware, software, service support system and management of operation, which together deliver value to customers on a long-term basis. The paper proposes a set of FP sustainability-oriented customer values which are categorized according to the sustainability aspects: economic, ecological and societal, and the set is further analyzed from a regulatory and legal perspective.","author":[{"dropping-particle":"","family":"Lindström","given":"John","non-dropping-particle":"","parse-names":false,"suffix":""}],"container-title":"Procedia CIRP","id":"ITEM-1","issued":{"date-parts":[["2016"]]},"page":"16-21","publisher":"Elsevier B.V.","title":"When Moving from Products and Services towards Functional Products: Which Sustainability-oriented Customer Values are of Interest?","type":"article-journal","volume":"48"},"uris":["http://www.mendeley.com/documents/?uuid=6ebdd227-7661-40ae-8b37-4e37ec389c77","http://www.mendeley.com/documents/?uuid=a5b81c44-fa47-46fe-8118-9ae482156011"]}],"mendeley":{"formattedCitation":"(Lindström, 2016)","plainTextFormattedCitation":"(Lindström, 2016)","previouslyFormattedCitation":"(Lindström,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(Lindström, 2016)</w:t>
            </w:r>
            <w:r w:rsidRPr="00A04DD6">
              <w:rPr>
                <w:sz w:val="20"/>
                <w:szCs w:val="20"/>
                <w:lang w:val="en-GB"/>
              </w:rPr>
              <w:fldChar w:fldCharType="end"/>
            </w:r>
          </w:p>
          <w:p w14:paraId="38B2C929" w14:textId="77777777" w:rsidR="008E0530" w:rsidRPr="00A04DD6" w:rsidRDefault="008E0530" w:rsidP="00D62E44">
            <w:pPr>
              <w:rPr>
                <w:sz w:val="20"/>
                <w:szCs w:val="20"/>
                <w:lang w:val="en-GB"/>
              </w:rPr>
            </w:pPr>
            <w:r w:rsidRPr="00A04DD6">
              <w:rPr>
                <w:sz w:val="20"/>
                <w:szCs w:val="20"/>
                <w:lang w:val="en-GB"/>
              </w:rPr>
              <w:fldChar w:fldCharType="begin" w:fldLock="1"/>
            </w:r>
            <w:r w:rsidRPr="00A04DD6">
              <w:rPr>
                <w:sz w:val="20"/>
                <w:szCs w:val="20"/>
                <w:lang w:val="en-GB"/>
              </w:rPr>
              <w:instrText>ADDIN CSL_CITATION {"citationItems":[{"id":"ITEM-1","itemData":{"DOI":"10.1016/j.jclepro.2006.01.028","ISBN":"0959-6526","ISSN":"09596526","abstract":"The Sustainable Product and/or Service Development (SPSD) approach is a pragmatic industry support encompassing a range of strategies aimed at maximising environmental and social performance in all types of \"offerings\" whether they are \"products\", \"services\" or Product Service Systems (PSS). Implementation of the approach was tested in industry and conclusions reached on the effectiveness of the strategies included in terms of developing an offering with improved sustainability performance as well as practical use as an industry approach. Two strategies incorporated are functional and systems thinking, as these are seen as key for increasing the environmental benefits of offerings. This paper summarises the SPSD approach, general industry testing results, describes how and why functional and systems strategies are incorporated in it and industry testing results relating to their use. This provides valuable information on how functional and systems related considerations can be practically and effectively included in sustainable offering development. © 2006 Elsevier Ltd. All rights reserved.","author":[{"dropping-particle":"","family":"Maxwell","given":"Dorothy","non-dropping-particle":"","parse-names":false,"suffix":""},{"dropping-particle":"","family":"Sheate","given":"William","non-dropping-particle":"","parse-names":false,"suffix":""},{"dropping-particle":"","family":"Vorst","given":"Rita","non-dropping-particle":"van der","parse-names":false,"suffix":""}],"container-title":"Journal of Cleaner Production","id":"ITEM-1","issue":"17","issued":{"date-parts":[["2006"]]},"page":"1466-1479","title":"Functional and systems aspects of the sustainable product and service development approach for industry","type":"article-journal","volume":"14"},"uris":["http://www.mendeley.com/documents/?uuid=3fcad2be-b332-4c3f-8da5-a49a5f13aa18","http://www.mendeley.com/documents/?uuid=6e472486-da9e-4c70-8ad7-61617f8915b7"]}],"mendeley":{"formattedCitation":"(Maxwell et al., 2006)","plainTextFormattedCitation":"(Maxwell et al., 2006)","previouslyFormattedCitation":"(Maxwell et al., 2006)"},"properties":{"noteIndex":0},"schema":"https://github.com/citation-style-language/schema/raw/master/csl-citation.json"}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(Maxwell et al., 2006)</w:t>
            </w:r>
            <w:r w:rsidRPr="00A04DD6">
              <w:rPr>
                <w:sz w:val="20"/>
                <w:szCs w:val="20"/>
                <w:lang w:val="en-GB"/>
              </w:rPr>
              <w:fldChar w:fldCharType="end"/>
            </w:r>
          </w:p>
          <w:p w14:paraId="3DDBFDBD" w14:textId="77777777" w:rsidR="008E0530" w:rsidRPr="00746DB3" w:rsidRDefault="008E0530" w:rsidP="00D62E44">
            <w:pPr>
              <w:rPr>
                <w:sz w:val="20"/>
                <w:szCs w:val="20"/>
              </w:rPr>
            </w:pPr>
            <w:r w:rsidRPr="00A04DD6">
              <w:rPr>
                <w:sz w:val="20"/>
                <w:szCs w:val="20"/>
                <w:lang w:val="en-GB"/>
              </w:rPr>
              <w:fldChar w:fldCharType="begin" w:fldLock="1"/>
            </w:r>
            <w:r>
              <w:rPr>
                <w:sz w:val="20"/>
                <w:szCs w:val="20"/>
              </w:rPr>
              <w:instrText>ADDIN CSL_CITATION {"citationItems":[{"id":"ITEM-1","itemData":{"DOI":"10.1111/jiec.12590","ISSN":"15309290","abstract":"The circular economy (CE) is essential for decoupling economic growth from resource consumption and environmental impacts. However, effective implementation requires a systemic change across supply chains, involving both technological and nontechnological innovations. Frameworks are beginning to emerge to foster CE thinking in organizations. However, literature review carried out as part of this research has revealed gaps in their ability to fulfil CE requirements. Furthermore, few frameworks provide support on how CE requirements may be implemented. To address these issues, this article presents a new framework, BECE (backcasting and eco-design for the circular economy), to ensure that businesses can implement CE requirements more readily. BECE empowers organizations to tackle the CE holistically by embedding the concept into corporate decision making and by bringing operational and systems thinking together, thus increasing the likelihood of successful implementation. The potential of the BECE framework was tested through a pilot workshop focusing on the development of a CE business model through redesign of products and supply chains. Using vacuum cleaners as an illustrative case study, several product design and supply-chain alternatives were identified, including the development of scenarios and action plans for their implementation at the business level. Although the case study focuses on a particular product, the BECE framework is generic and applicable across different products and business sectors.","author":[{"dropping-particle":"","family":"Mendoza","given":"Joan Manuel F.","non-dropping-particle":"","parse-names":false,"suffix":""},{"dropping-particle":"","family":"Sharmina","given":"Maria","non-dropping-particle":"","parse-names":false,"suffix":""},{"dropping-particle":"","family":"Gallego-Schmid","given":"Alejandro","non-dropping-particle":"","parse-names":false,"suffix":""},{"dropping-particle":"","family":"Heyes","given":"Graeme","non-dropping-particle":"","parse-names":false,"suffix":""},{"dropping-particle":"","family":"Azapagic","given":"Adisa","non-dropping-particle":"","parse-names":false,"suffix":""}],"container-title":"Journal of Industrial Ecology","id":"ITEM-1","issue":"3","issued":{"date-parts":[["2017"]]},"page":"526-544","title":"Integrating Backcasting and Eco-Design for the Circular Economy: The BECE Framework","type":"article-journal","volume":"21"},"uris":["http://www.mendeley.com/documents/?uuid=0dcf7c41-0a95-49dc-83a6-fa6306310b97"]}],"mendeley":{"formattedCitation":"(Mendoza et al., 2017)","plainTextFormattedCitation":"(Mendoza et al., 2017)","previouslyFormattedCitation":"(Mendoza et al., 2017)"},"properties":{"noteIndex":0},"schema":"https://github.com/citation-style-language/schema/raw/master/csl-citation.json"}</w:instrText>
            </w:r>
            <w:r w:rsidRPr="00A04DD6">
              <w:rPr>
                <w:sz w:val="20"/>
                <w:szCs w:val="20"/>
                <w:lang w:val="en-GB"/>
              </w:rPr>
              <w:fldChar w:fldCharType="separate"/>
            </w:r>
            <w:r w:rsidRPr="00746DB3">
              <w:rPr>
                <w:noProof/>
                <w:sz w:val="20"/>
                <w:szCs w:val="20"/>
              </w:rPr>
              <w:t>(Mendoza et al., 2017)</w:t>
            </w:r>
            <w:r w:rsidRPr="00A04DD6">
              <w:rPr>
                <w:sz w:val="20"/>
                <w:szCs w:val="20"/>
                <w:lang w:val="en-GB"/>
              </w:rPr>
              <w:fldChar w:fldCharType="end"/>
            </w:r>
          </w:p>
          <w:p w14:paraId="3BA21F51" w14:textId="77777777" w:rsidR="008E0530" w:rsidRPr="00746DB3" w:rsidRDefault="008E0530" w:rsidP="00D62E44">
            <w:pPr>
              <w:rPr>
                <w:sz w:val="20"/>
                <w:szCs w:val="20"/>
              </w:rPr>
            </w:pPr>
            <w:r w:rsidRPr="00A04DD6">
              <w:rPr>
                <w:sz w:val="20"/>
                <w:szCs w:val="20"/>
                <w:lang w:val="en-GB"/>
              </w:rPr>
              <w:fldChar w:fldCharType="begin" w:fldLock="1"/>
            </w:r>
            <w:r>
              <w:rPr>
                <w:sz w:val="20"/>
                <w:szCs w:val="20"/>
              </w:rPr>
              <w:instrText>ADDIN CSL_CITATION {"citationItems":[{"id":"ITEM-1","itemData":{"ISSN":"22204342","author":[{"dropping-particle":"","family":"Nystrom","given":"Thomas","non-dropping-particle":"","parse-names":false,"suffix":""},{"dropping-particle":"","family":"Svengren Holm","given":"Lisbeth","non-dropping-particle":"","parse-names":false,"suffix":""},{"dropping-particle":"","family":"Loon","given":"Patricia","non-dropping-particle":"Van","parse-names":false,"suffix":""}],"container-title":"ICED'17- 21th International Conference on Engineering Design","id":"ITEM-1","issue":"Design for X","issued":{"date-parts":[["2017"]]},"page":"269-277","publisher":"University of British Columbia","publisher-place":"Vancouver","title":"Future-Adaptability for energy and resource efficient vehicles","type":"paper-conference","volume":"5"},"uris":["http://www.mendeley.com/documents/?uuid=57231c2c-3a28-4025-a3f3-c1de0a97067f","http://www.mendeley.com/documents/?uuid=99af11dc-d5e0-4894-a9e0-96e417618190"]}],"mendeley":{"formattedCitation":"(Nystrom et al., 2017)","plainTextFormattedCitation":"(Nystrom et al., 2017)","previouslyFormattedCitation":"(Nystrom et al., 2017)"},"properties":{"noteIndex":0},"schema":"https://github.com/citation-style-language/schema/raw/master/csl-citation.json"}</w:instrText>
            </w:r>
            <w:r w:rsidRPr="00A04DD6">
              <w:rPr>
                <w:sz w:val="20"/>
                <w:szCs w:val="20"/>
                <w:lang w:val="en-GB"/>
              </w:rPr>
              <w:fldChar w:fldCharType="separate"/>
            </w:r>
            <w:r w:rsidRPr="00746DB3">
              <w:rPr>
                <w:noProof/>
                <w:sz w:val="20"/>
                <w:szCs w:val="20"/>
              </w:rPr>
              <w:t>(Nystrom et al., 2017)</w:t>
            </w:r>
            <w:r w:rsidRPr="00A04DD6">
              <w:rPr>
                <w:sz w:val="20"/>
                <w:szCs w:val="20"/>
                <w:lang w:val="en-GB"/>
              </w:rPr>
              <w:fldChar w:fldCharType="end"/>
            </w:r>
          </w:p>
          <w:p w14:paraId="5598303B" w14:textId="77777777" w:rsidR="008E0530" w:rsidRPr="00746DB3" w:rsidRDefault="008E0530" w:rsidP="00D62E44">
            <w:pPr>
              <w:rPr>
                <w:sz w:val="20"/>
                <w:szCs w:val="20"/>
                <w:lang w:val="pt-BR"/>
              </w:rPr>
            </w:pPr>
            <w:r w:rsidRPr="00A04DD6">
              <w:rPr>
                <w:sz w:val="20"/>
                <w:szCs w:val="20"/>
                <w:lang w:val="en-GB"/>
              </w:rPr>
              <w:fldChar w:fldCharType="begin" w:fldLock="1"/>
            </w:r>
            <w:r>
              <w:rPr>
                <w:sz w:val="20"/>
                <w:szCs w:val="20"/>
                <w:lang w:val="pt-BR"/>
              </w:rPr>
              <w:instrText>ADDIN CSL_CITATION {"citationItems":[{"id":"ITEM-1","itemData":{"DOI":"10.1016/j.procir.2017.02.047","ISBN":"22128271 (ISSN)","ISSN":"22128271","abstract":"Digital technologies have enabled the formulation of multiple Product Service-Systems (PSS) with considerable economic, environmental and societal benefits. One of the most promising paradigms, which is inspired by business models and value propositions that have already been described in the PSS literature, is the concept of Circular Economy. Circular Economy is characterized as an economy that is restorative and regenerative by design and is attracting significant attention from researchers and policy makers alike. In light of the recent proliferation of digital technologies such as Big Data and the Internet of Things, this article attempts to identify how can digital technologies support the transition to Circular Economy. This article conducted a systematic review of the literature based on a review protocol, in an effort to evaluate the application of key digital technologies in Circular Economy. The study concludes by identifying research gaps, reflecting on the application of digital technologies in the field of PSS and proposing suggestions for future research.","author":[{"dropping-particle":"","family":"Pagoropoulos","given":"Aris","non-dropping-particle":"","parse-names":false,"suffix":""},{"dropping-particle":"","family":"Pigosso","given":"Daniela C.A.","non-dropping-particle":"","parse-names":false,"suffix":""},{"dropping-particle":"","family":"McAloone","given":"Tim C.","non-dropping-particle":"","parse-names":false,"suffix":""}],"container-title":"Procedia CIRP","id":"ITEM-1","issued":{"date-parts":[["2017"]]},"page":"19-24","publisher":"The Author(s)","title":"The Emergent Role of Digital Technologies in the Circular Economy: A Review","type":"article-journal","volume":"64"},"uris":["http://www.mendeley.com/documents/?uuid=a6537701-1686-4062-8bf3-04468577418c"]}],"mendeley":{"formattedCitation":"(Pagoropoulos et al., 2017)","plainTextFormattedCitation":"(Pagoropoulos et al., 2017)","previouslyFormattedCitation":"(Pagoropoulos et al., 2017)"},"properties":{"noteIndex":0},"schema":"https://github.com/citation-style-language/schema/raw/master/csl-citation.json"}</w:instrText>
            </w:r>
            <w:r w:rsidRPr="00A04DD6">
              <w:rPr>
                <w:sz w:val="20"/>
                <w:szCs w:val="20"/>
                <w:lang w:val="en-GB"/>
              </w:rPr>
              <w:fldChar w:fldCharType="separate"/>
            </w:r>
            <w:r w:rsidRPr="00746DB3">
              <w:rPr>
                <w:noProof/>
                <w:sz w:val="20"/>
                <w:szCs w:val="20"/>
                <w:lang w:val="pt-BR"/>
              </w:rPr>
              <w:t>(Pagoropoulos et al., 2017)</w:t>
            </w:r>
            <w:r w:rsidRPr="00A04DD6">
              <w:rPr>
                <w:sz w:val="20"/>
                <w:szCs w:val="20"/>
                <w:lang w:val="en-GB"/>
              </w:rPr>
              <w:fldChar w:fldCharType="end"/>
            </w:r>
          </w:p>
          <w:p w14:paraId="4A7F1E0D" w14:textId="77777777" w:rsidR="008E0530" w:rsidRPr="00746DB3" w:rsidRDefault="008E0530" w:rsidP="00D62E44">
            <w:pPr>
              <w:rPr>
                <w:sz w:val="20"/>
                <w:szCs w:val="20"/>
                <w:lang w:val="pt-BR"/>
              </w:rPr>
            </w:pPr>
            <w:r w:rsidRPr="00A04DD6">
              <w:rPr>
                <w:sz w:val="20"/>
                <w:szCs w:val="20"/>
                <w:lang w:val="en-GB"/>
              </w:rPr>
              <w:fldChar w:fldCharType="begin" w:fldLock="1"/>
            </w:r>
            <w:r>
              <w:rPr>
                <w:sz w:val="20"/>
                <w:szCs w:val="20"/>
                <w:lang w:val="pt-BR"/>
              </w:rPr>
              <w:instrText>ADDIN CSL_CITATION {"citationItems":[{"id":"ITEM-1","itemData":{"DOI":"10.1016/j.procir.2017.03.026","ISBN":"22128271 (ISSN)","ISSN":"22128271","abstract":"Due to ever increasing challenges faced by our global society, circular design and the idea of product-service systems (PSS) is gaining traction within businesses. However, 'predicting' the value of a future PSS solution in the early design phases is difficult, since it requires the ability to balance long term potential with short term decisions. Modelling and simulation is believed to be able to support this challenging task. A simulation framework for circular design of PSS is presented. The simulation process enables the comparison between functional and non-functional performances and their life cycle contributions depending on a defined PSS-like business model strategy. Such integrated simulation framework is intended to exploit engineering models outside their specific discipline, enabling cross-functional collaboration and help decision makers understand how a design can contribute in satisfying customer and stakeholders needs during the lifecycle of a PSS.","author":[{"dropping-particle":"","family":"Panarotto","given":"Massimo","non-dropping-particle":"","parse-names":false,"suffix":""},{"dropping-particle":"","family":"Wall","given":"Johan","non-dropping-particle":"","parse-names":false,"suffix":""},{"dropping-particle":"","family":"Larsson","given":"Tobias C.","non-dropping-particle":"","parse-names":false,"suffix":""}],"container-title":"Procedia CIRP","id":"ITEM-1","issued":{"date-parts":[["2017"]]},"page":"25-30","publisher":"The Author(s)","title":"Simulation-driven Design for Assessing Strategic Decisions in the Conceptual Design of Circular PSS Business Models","type":"article-journal","volume":"64"},"uris":["http://www.mendeley.com/documents/?uuid=a974dc47-9661-4992-b707-be9b569222db"]}],"mendeley":{"formattedCitation":"(Panarotto et al., 2017)","plainTextFormattedCitation":"(Panarotto et al., 2017)","previouslyFormattedCitation":"(Panarotto et al., 2017)"},"properties":{"noteIndex":0},"schema":"https://github.com/citation-style-language/schema/raw/master/csl-citation.json"}</w:instrText>
            </w:r>
            <w:r w:rsidRPr="00A04DD6">
              <w:rPr>
                <w:sz w:val="20"/>
                <w:szCs w:val="20"/>
                <w:lang w:val="en-GB"/>
              </w:rPr>
              <w:fldChar w:fldCharType="separate"/>
            </w:r>
            <w:r w:rsidRPr="00746DB3">
              <w:rPr>
                <w:noProof/>
                <w:sz w:val="20"/>
                <w:szCs w:val="20"/>
                <w:lang w:val="pt-BR"/>
              </w:rPr>
              <w:t>(Panarotto et al., 2017)</w:t>
            </w:r>
            <w:r w:rsidRPr="00A04DD6">
              <w:rPr>
                <w:sz w:val="20"/>
                <w:szCs w:val="20"/>
                <w:lang w:val="en-GB"/>
              </w:rPr>
              <w:fldChar w:fldCharType="end"/>
            </w:r>
          </w:p>
          <w:p w14:paraId="09B0B1AB" w14:textId="77777777" w:rsidR="008E0530" w:rsidRPr="0028352C" w:rsidRDefault="008E0530" w:rsidP="00D62E44">
            <w:pPr>
              <w:rPr>
                <w:sz w:val="20"/>
                <w:szCs w:val="20"/>
                <w:lang w:val="en-GB"/>
              </w:rPr>
            </w:pPr>
            <w:r w:rsidRPr="00A04DD6">
              <w:rPr>
                <w:sz w:val="20"/>
                <w:szCs w:val="20"/>
                <w:lang w:val="en-GB"/>
              </w:rPr>
              <w:fldChar w:fldCharType="begin" w:fldLock="1"/>
            </w:r>
            <w:r>
              <w:rPr>
                <w:sz w:val="20"/>
                <w:szCs w:val="20"/>
                <w:lang w:val="en-GB"/>
              </w:rPr>
              <w:instrText>ADDIN CSL_CITATION {"citationItems":[{"id":"ITEM-1","itemData":{"DOI":"10.1016/j.promfg.2017.02.037","ISBN":"2351-9789","ISSN":"23519789","abstract":"In the face of growing sustainability challenges, pressure on businesses to decouple environmental impacts from growth is mounting. New sustainable business models can be a systemic driver for change in industry and the wider business innovation literature suggests that strategic design approaches can be at the heart of business model innovation. One such approach, service design, involves solving problems through a service response, which unlocks value for each stakeholder in a value chain. Nevertheless, the value of service design to sustainable business is still often overlooked. Through a literature review and five illustrative case studies this paper systematically analyses how businesses can leverage service design for sustainable business model innovation. The research highlights how service design can support sustainable business model innovation by uncovering strategic as well as operational synergies between these complementary fields.","author":[{"dropping-particle":"","family":"Prendeville","given":"Sharon","non-dropping-particle":"","parse-names":false,"suffix":""},{"dropping-particle":"","family":"Bocken","given":"Nancy M.P.","non-dropping-particle":"","parse-names":false,"suffix":""}],"container-title":"GCSM 2016 - 14th Global Conference on Sustainable Manufacturing","id":"ITEM-1","issued":{"date-parts":[["2016"]]},"page":"292-299","publisher":"Elsevier","publisher-place":"Stellenbosch, South Africa","title":"Sustainable Business Models through Service Design","type":"paper-conference"},"uris":["http://www.mendeley.com/documents/?uuid=c0370c89-21f1-4ffc-ad27-133197eb5668"]}],"mendeley":{"formattedCitation":"(Prendeville and Bocken, 2016)","plainTextFormattedCitation":"(Prendeville and Bocken, 2016)","previouslyFormattedCitation":"(Prendeville and Bocken, 2016)"},"properties":{"noteIndex":0},"schema":"https://github.com/citation-style-language/schema/raw/master/csl-citation.json"}</w:instrText>
            </w:r>
            <w:r w:rsidRPr="00A04DD6">
              <w:rPr>
                <w:sz w:val="20"/>
                <w:szCs w:val="20"/>
                <w:lang w:val="en-GB"/>
              </w:rPr>
              <w:fldChar w:fldCharType="separate"/>
            </w:r>
            <w:r w:rsidRPr="0028352C">
              <w:rPr>
                <w:noProof/>
                <w:sz w:val="20"/>
                <w:szCs w:val="20"/>
                <w:lang w:val="en-GB"/>
              </w:rPr>
              <w:t>(Prendeville and Bocken, 2016)</w:t>
            </w:r>
            <w:r w:rsidRPr="00A04DD6">
              <w:rPr>
                <w:sz w:val="20"/>
                <w:szCs w:val="20"/>
                <w:lang w:val="en-GB"/>
              </w:rPr>
              <w:fldChar w:fldCharType="end"/>
            </w:r>
          </w:p>
          <w:p w14:paraId="5A9C9189" w14:textId="77777777" w:rsidR="008E0530" w:rsidRPr="00A04DD6" w:rsidRDefault="008E0530" w:rsidP="00D62E44">
            <w:pPr>
              <w:rPr>
                <w:sz w:val="20"/>
                <w:szCs w:val="20"/>
                <w:lang w:val="en-GB"/>
              </w:rPr>
            </w:pPr>
            <w:r w:rsidRPr="00A04DD6">
              <w:rPr>
                <w:sz w:val="20"/>
                <w:szCs w:val="20"/>
                <w:lang w:val="en-GB"/>
              </w:rPr>
              <w:fldChar w:fldCharType="begin" w:fldLock="1"/>
            </w:r>
            <w:r>
              <w:rPr>
                <w:sz w:val="20"/>
                <w:szCs w:val="20"/>
                <w:lang w:val="en-GB"/>
              </w:rPr>
              <w:instrText>ADDIN CSL_CITATION {"citationItems":[{"id":"ITEM-1","itemData":{"DOI":"10.1016/j.procir.2017.03.034","ISBN":"22128271 (ISSN)","ISSN":"22128271","abstract":"Circular Economy (CE) is an alternative to achieve more sustainability and to improve the current economic system through the transformation of the linear and semi-circular flows to circulate ones, keeping products at a higher level of utility and for a longer period of time. Ellen McArthur Foundation (EMF) and IDEO developed a Circular Design Guide (CE toolkit) intended to support companies to apply the circular principles on their own organizations. In this context, some authors noted that the development of a product-service system (PSS) initiative can help in the transition to a CE. The aim of this paper is to evaluate the objectives of the CE Toolkit joint with a PSS methodology already existent in literature. A matrix was applied to analyse the CE toolkit versus the PSS methodology, and a Likert scale was applied to characterize the relation between each stage of the methodology and each objective of the toolkit. The most important findings are related to the absence of CE concepts and its connection to PSS in previously existent methodology, which lacks methods to support the application of it, and lacks the incentive to use recovery techniques as recycling, remanufacturing and reuse of parts on PSS. At the same time, the toolkit lacks some practical aspects of the transition to PSS, such as identifying the competitors and the definition of a very detailed list of equipment and infrastructure required for the business.","author":[{"dropping-particle":"","family":"Reigado Rodrigues","given":"Carolina","non-dropping-particle":"","parse-names":false,"suffix":""},{"dropping-particle":"","family":"Costa Fernandes","given":"Sânia","non-dropping-particle":"da","parse-names":false,"suffix":""},{"dropping-particle":"","family":"Barrera Saavedra","given":"Yovana Maria","non-dropping-particle":"","parse-names":false,"suffix":""},{"dropping-particle":"","family":"Ometto","given":"Aldo Roberto","non-dropping-particle":"","parse-names":false,"suffix":""},{"dropping-particle":"","family":"Hornos da Costa","given":"Janaina Mascarenhas","non-dropping-particle":"","parse-names":false,"suffix":""}],"container-title":"Procedia CIRP","id":"ITEM-1","issued":{"date-parts":[["2017"]]},"page":"37-42","publisher":"The Author(s)","title":"A Circular Economy Toolkit as an Alternative to Improve the Application of PSS Methodologies","type":"article-journal","volume":"64"},"uris":["http://www.mendeley.com/documents/?uuid=b7349228-1915-4353-b953-983dfcc26bbd"]}],"mendeley":{"formattedCitation":"(Reigado Rodrigues et al., 2017)","plainTextFormattedCitation":"(Reigado Rodrigues et al., 2017)","previouslyFormattedCitation":"(Reigado Rodrigues et al., 2017)"},"properties":{"noteIndex":0},"schema":"https://github.com/citation-style-language/schema/raw/master/csl-citation.json"}</w:instrText>
            </w:r>
            <w:r w:rsidRPr="00A04DD6">
              <w:rPr>
                <w:sz w:val="20"/>
                <w:szCs w:val="20"/>
                <w:lang w:val="en-GB"/>
              </w:rPr>
              <w:fldChar w:fldCharType="separate"/>
            </w:r>
            <w:r w:rsidRPr="008E630B">
              <w:rPr>
                <w:noProof/>
                <w:sz w:val="20"/>
                <w:szCs w:val="20"/>
                <w:lang w:val="en-GB"/>
              </w:rPr>
              <w:t>(Reigado Rodrigues et al., 2017)</w:t>
            </w:r>
            <w:r w:rsidRPr="00A04DD6">
              <w:rPr>
                <w:sz w:val="20"/>
                <w:szCs w:val="20"/>
                <w:lang w:val="en-GB"/>
              </w:rPr>
              <w:fldChar w:fldCharType="end"/>
            </w:r>
          </w:p>
          <w:p w14:paraId="43881940" w14:textId="77777777" w:rsidR="008E0530" w:rsidRPr="00A04DD6" w:rsidRDefault="008E0530" w:rsidP="00D62E44">
            <w:pPr>
              <w:rPr>
                <w:sz w:val="20"/>
                <w:szCs w:val="20"/>
                <w:lang w:val="en-GB"/>
              </w:rPr>
            </w:pPr>
            <w:r w:rsidRPr="00A04DD6">
              <w:rPr>
                <w:sz w:val="20"/>
                <w:szCs w:val="20"/>
                <w:lang w:val="en-GB"/>
              </w:rPr>
              <w:fldChar w:fldCharType="begin" w:fldLock="1"/>
            </w:r>
            <w:r>
              <w:rPr>
                <w:sz w:val="20"/>
                <w:szCs w:val="20"/>
                <w:lang w:val="en-GB"/>
              </w:rPr>
              <w:instrText>ADDIN CSL_CITATION {"citationItems":[{"id":"ITEM-1","itemData":{"DOI":"10.1016/j.procir.2017.03.133","ISBN":"22128271 (ISSN)","ISSN":"22128271","abstract":"Circular Lean Product-Service Systems (CLPSSs) are a new type of PSS, a combination of a tangible circular product with intangible value-added service elements, and its related supporting closed-loop networks and infrastructure. CLPSSs can lead to dematerialization through reducing the creation of waste in manufacturing and services operations, and the consumption of virgin materials, thanks to a restorative and regenerative operational system by design that can satisfy customers' needs, decouple economic growth from environmental impact and create new revenue streams out of extending the residual value of products. This paper aims to demonstrate the compatibility of circular economy and lean principles in the context of PSSs and contribute to their integration in order to create customer-oriented solutions that minimize resources consumption and enhance the ultimate value-added to the end-user.","author":[{"dropping-particle":"","family":"Romero","given":"David","non-dropping-particle":"","parse-names":false,"suffix":""},{"dropping-particle":"","family":"Rossi","given":"Monica","non-dropping-particle":"","parse-names":false,"suffix":""}],"container-title":"Procedia CIRP","id":"ITEM-1","issued":{"date-parts":[["2017"]]},"page":"13-18","publisher":"The Author(s)","title":"Towards Circular Lean Product-Service Systems","type":"article-journal","volume":"64"},"uris":["http://www.mendeley.com/documents/?uuid=2302cd52-3606-4c11-9cd2-e60e271edc3f"]}],"mendeley":{"formattedCitation":"(Romero and Rossi, 2017)","plainTextFormattedCitation":"(Romero and Rossi, 2017)","previouslyFormattedCitation":"(Romero and Rossi, 2017)"},"properties":{"noteIndex":0},"schema":"https://github.com/citation-style-language/schema/raw/master/csl-citation.json"}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(Romero and Rossi, 2017)</w:t>
            </w:r>
            <w:r w:rsidRPr="00A04DD6">
              <w:rPr>
                <w:sz w:val="20"/>
                <w:szCs w:val="20"/>
                <w:lang w:val="en-GB"/>
              </w:rPr>
              <w:fldChar w:fldCharType="end"/>
            </w:r>
          </w:p>
          <w:p w14:paraId="573D75FA" w14:textId="77777777" w:rsidR="008E0530" w:rsidRPr="00A04DD6" w:rsidRDefault="008E0530" w:rsidP="00D62E44">
            <w:pPr>
              <w:rPr>
                <w:sz w:val="20"/>
                <w:szCs w:val="20"/>
                <w:lang w:val="en-GB"/>
              </w:rPr>
            </w:pPr>
            <w:r w:rsidRPr="00A04DD6">
              <w:rPr>
                <w:sz w:val="20"/>
                <w:szCs w:val="20"/>
                <w:lang w:val="en-GB"/>
              </w:rPr>
              <w:fldChar w:fldCharType="begin" w:fldLock="1"/>
            </w:r>
            <w:r>
              <w:rPr>
                <w:sz w:val="20"/>
                <w:szCs w:val="20"/>
                <w:lang w:val="en-GB"/>
              </w:rPr>
              <w:instrText>ADDIN CSL_CITATION {"citationItems":[{"id":"ITEM-1","itemData":{"author":[{"dropping-particle":"","family":"Sarasini","given":"Steven","non-dropping-particle":"","parse-names":false,"suffix":""},{"dropping-particle":"","family":"Linder","given":"Marcus","non-dropping-particle":"","parse-names":false,"suffix":""},{"dropping-particle":"","family":"Langeland","given":"Ove","non-dropping-particle":"","parse-names":false,"suffix":""},{"dropping-particle":"","family":"Julsrud","given":"Tom-Erik","non-dropping-particle":"","parse-names":false,"suffix":""}],"container-title":"IST conference 2016","id":"ITEM-1","issued":{"date-parts":[["2016"]]},"page":"1-28","title":"Integrating a business model perspective into sustainability transitions: A research agenda based on servitised mobility","type":"paper-conference"},"uris":["http://www.mendeley.com/documents/?uuid=ac1716d2-bd56-4383-b0a2-d9706ce05740"]}],"mendeley":{"formattedCitation":"(Sarasini et al., 2016)","plainTextFormattedCitation":"(Sarasini et al., 2016)","previouslyFormattedCitation":"(Sarasini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(Sarasini et al., 2016)</w:t>
            </w:r>
            <w:r w:rsidRPr="00A04DD6">
              <w:rPr>
                <w:sz w:val="20"/>
                <w:szCs w:val="20"/>
                <w:lang w:val="en-GB"/>
              </w:rPr>
              <w:fldChar w:fldCharType="end"/>
            </w:r>
          </w:p>
          <w:p w14:paraId="6BE3EDD4" w14:textId="77777777" w:rsidR="008E0530" w:rsidRPr="00A04DD6" w:rsidRDefault="008E0530" w:rsidP="00D62E44">
            <w:pPr>
              <w:rPr>
                <w:sz w:val="20"/>
                <w:szCs w:val="20"/>
                <w:lang w:val="en-GB"/>
              </w:rPr>
            </w:pPr>
            <w:r w:rsidRPr="00A04DD6">
              <w:rPr>
                <w:sz w:val="20"/>
                <w:szCs w:val="20"/>
                <w:lang w:val="en-GB"/>
              </w:rPr>
              <w:fldChar w:fldCharType="begin" w:fldLock="1"/>
            </w:r>
            <w:r>
              <w:rPr>
                <w:sz w:val="20"/>
                <w:szCs w:val="20"/>
                <w:lang w:val="en-GB"/>
              </w:rPr>
              <w:instrText>ADDIN CSL_CITATION {"citationItems":[{"id":"ITEM-1","itemData":{"DOI":"10.1016/j.jclepro.2015.05.075","ISBN":"0959-6526","ISSN":"09596526","PMID":"112707025","abstract":"There is a need for metrics to analyse complex business models in the circular economy. Life cycle assessment (LCA) currently is the best defined system to analyse the environmental aspects, and is capable to analyse circular systems, Product Service Systems, and systems for recycling. However LCA falls short of analysis of the added value of business models. Since new sustainable business models are part of the transition towards a circular economy, there is a need for combined analyses of value and eco-burden. This paper applies the LCA-based Eco-costs Value Ratio (EVR) Model to analyse potential negative environmental effects of business initiatives on a system level, and to provide a theoretical approach to the design of sustainable business models by means of a three dimensional approach of costs, eco-costs and market value. Two methods are applied for analysis and design: Eco-efficient Value Creation (EVR benchmarking) and the Circular Transition Framework (describing stakeholder activities which are required for the transition towards sustainable business models). The practical case of the analysis, design and implementation of a business model for sustainable water recreation in Friesland (a province in the Netherlands) is used to validate the usefulness of these two LCA-based methods. The conclusion is that the approach of Eco-efficient Value Creation helps to avoid many pitfalls of the design of circular business models (e.g. having a positive result on product level, but having a negative effect on societal level; having a positive effect on the environment but having insufficient customer perceived value to overcome fierce market competition). The Circular Transition Framework reveals pitfalls and opportunities in implementation (e.g. the coordination between business models and governmental policies).","author":[{"dropping-particle":"","family":"Scheepens","given":"Arno E.","non-dropping-particle":"","parse-names":false,"suffix":""},{"dropping-particle":"","family":"Vogtländer","given":"Joost G.","non-dropping-particle":"","parse-names":false,"suffix":""},{"dropping-particle":"","family":"Brezet","given":"J.C.","non-dropping-particle":"","parse-names":false,"suffix":""}],"container-title":"Journal of Cleaner Production","id":"ITEM-1","issued":{"date-parts":[["2016"]]},"page":"257-268","title":"Two life cycle assessment (LCA) based methods to analyse and design complex (regional) circular economy systems. Case: Making water tourism more sustainable","type":"article-journal","volume":"114"},"uris":["http://www.mendeley.com/documents/?uuid=83bc9903-edee-44c8-a894-47139414b4f8","http://www.mendeley.com/documents/?uuid=a1bab11a-90f7-4dc6-ac3c-809499cf9779"]}],"mendeley":{"formattedCitation":"(Scheepens et al., 2016)","plainTextFormattedCitation":"(Scheepens et al., 2016)","previouslyFormattedCitation":"(Scheepens et al., 2016)"},"properties":{"noteIndex":0},"schema":"https://github.com/citation-style-language/schema/raw/master/csl-citation.json"}</w:instrText>
            </w:r>
            <w:r w:rsidRPr="00A04DD6">
              <w:rPr>
                <w:sz w:val="20"/>
                <w:szCs w:val="20"/>
                <w:lang w:val="en-GB"/>
              </w:rPr>
              <w:fldChar w:fldCharType="separate"/>
            </w:r>
            <w:r w:rsidRPr="00A04DD6">
              <w:rPr>
                <w:noProof/>
                <w:sz w:val="20"/>
                <w:szCs w:val="20"/>
                <w:lang w:val="en-GB"/>
              </w:rPr>
              <w:t>(Scheepens et al., 2016)</w:t>
            </w:r>
            <w:r w:rsidRPr="00A04DD6">
              <w:rPr>
                <w:sz w:val="20"/>
                <w:szCs w:val="20"/>
                <w:lang w:val="en-GB"/>
              </w:rPr>
              <w:fldChar w:fldCharType="end"/>
            </w:r>
          </w:p>
          <w:p w14:paraId="2227E171" w14:textId="77777777" w:rsidR="008E0530" w:rsidRPr="00A04DD6" w:rsidRDefault="008E0530" w:rsidP="00D62E44">
            <w:pPr>
              <w:rPr>
                <w:sz w:val="20"/>
                <w:szCs w:val="20"/>
                <w:lang w:val="en-GB"/>
              </w:rPr>
            </w:pPr>
            <w:r w:rsidRPr="00A04DD6">
              <w:rPr>
                <w:sz w:val="20"/>
                <w:szCs w:val="20"/>
                <w:lang w:val="en-GB"/>
              </w:rPr>
              <w:fldChar w:fldCharType="begin" w:fldLock="1"/>
            </w:r>
            <w:r>
              <w:rPr>
                <w:sz w:val="20"/>
                <w:szCs w:val="20"/>
                <w:lang w:val="en-GB"/>
              </w:rPr>
              <w:instrText>ADDIN CSL_CITATION {"citationItems":[{"id":"ITEM-1","itemData":{"DOI":"10.1016/j.indmarman.2016.07.001","ISBN":"0169-5347","ISSN":"00198501","PMID":"21227342","abstract":"This paper questions the assumption in much of the marketing and product-service literature that products can be treated as stable platforms for the delivery of services. Instead, it uses the notion of the product biography to argue that products are chronically unstable, both physically and institutionally, and focusses on the managerial and institutional effort required to temporarily stabilise and qualify products for exchange or service value-creation. The context of the circular economy, which presents particularly acute challenges of qualification, is used to stimulate insights into how the product biography approach can inform the servitization debate. In particular, the circular economy perspective emphasises the need to see products as qualified by and constitutive of a distributed network, rather than defined once and for all by their producer, and points to entrepreneurial opportunity in the moments of transition between singularised, unique specimens and general, commodified, manageable objects – and vice versa. The wider and multiple product biographies occasioned by the circular economy also lead to reconfiguration of networks, as new potential valuations give rise to new entrepreneurial spaces.","author":[{"dropping-particle":"","family":"Spring","given":"Martin","non-dropping-particle":"","parse-names":false,"suffix":""},{"dropping-particle":"","family":"Araujo","given":"Luis","non-dropping-particle":"","parse-names":false,"suffix":""}],"container-title":"Industrial Marketing Management","id":"ITEM-1","issued":{"date-parts":[["2017"]]},"page":"126-137","publisher":"Elsevier Inc.","title":"Product biographies in servitization and the circular economy","type":"article-journal","volume":"60"},"uris":["http://www.mendeley.com/documents/?uuid=a78a9b8b-7a06-4473-b224-2e106e567f8d"]}],"mendeley":{"formattedCitation":"(Spring and Araujo, 2017)","plainTextFormattedCitation":"(Spring and Araujo, 2017)","previouslyFormattedCitation":"(Spring and Araujo, 2017)"},"properties":{"noteIndex":0},"schema":"https://github.com/citation-style-language/schema/raw/master/csl-citation.json"}</w:instrText>
            </w:r>
            <w:r w:rsidRPr="00A04DD6">
              <w:rPr>
                <w:sz w:val="20"/>
                <w:szCs w:val="20"/>
                <w:lang w:val="en-GB"/>
              </w:rPr>
              <w:fldChar w:fldCharType="separate"/>
            </w:r>
            <w:r w:rsidRPr="008E630B">
              <w:rPr>
                <w:noProof/>
                <w:sz w:val="20"/>
                <w:szCs w:val="20"/>
                <w:lang w:val="en-GB"/>
              </w:rPr>
              <w:t>(Spring and Araujo, 2017)</w:t>
            </w:r>
            <w:r w:rsidRPr="00A04DD6">
              <w:rPr>
                <w:sz w:val="20"/>
                <w:szCs w:val="20"/>
                <w:lang w:val="en-GB"/>
              </w:rPr>
              <w:fldChar w:fldCharType="end"/>
            </w:r>
          </w:p>
          <w:p w14:paraId="28AF8603" w14:textId="6F00769A" w:rsidR="008E0530" w:rsidRPr="00A04DD6" w:rsidRDefault="008E0530" w:rsidP="00D62E44">
            <w:pPr>
              <w:rPr>
                <w:sz w:val="20"/>
                <w:szCs w:val="20"/>
                <w:lang w:val="en-GB"/>
              </w:rPr>
            </w:pPr>
            <w:r w:rsidRPr="00A04DD6">
              <w:rPr>
                <w:sz w:val="20"/>
                <w:szCs w:val="20"/>
                <w:lang w:val="en-GB"/>
              </w:rPr>
              <w:fldChar w:fldCharType="begin" w:fldLock="1"/>
            </w:r>
            <w:r>
              <w:rPr>
                <w:sz w:val="20"/>
                <w:szCs w:val="20"/>
                <w:lang w:val="en-GB"/>
              </w:rPr>
              <w:instrText>ADDIN CSL_CITATION {"citationItems":[{"id":"ITEM-1","itemData":{"DOI":"10.1007/s13243-017-0031-9","ISSN":"22104690","abstract":"Eco-efficient Value Creation is a method to analyse innovative product and service design together with circular business strategies. The method is based on combined analyses of the costs, market value (perceived customer value) and eco-costs. This provides a prevention-based single indicator for ‘external environmental costs’ in LCA. The remanufacturing of products is an environmental and sustainable approach, in the circular economy, and can deliver lower eco-costs of materials depletion and pollution. From a business point of view, however, remanufacturing seems to be viable in B2B niche markets only. In consumer markets, remanufacturing is less common. The question is how can remanufacturing become a viable business solution for mainstream consumer markets. Traditional ‘green’ marketing approaches are not enough: green has a positive, but also negative connotations, so marketing approaches are complex. By using the Eco-efficient Value Creation method, marketing strategies for the roll-out of remanufacturing in mainstream consumer markets, can be revealed. This approach has led to the development of five aspects, which are key to innovative circular business models, for remanufacturing: (1) buyers differ from the buyers of the ‘new product’ (2) quality must be emphasised in all communications (3) risk must be taken away from the buyer (4) top level service is required to convince the buyer (5) a ‘green’ brand may support the remanufactured product image. © 2017 Springer Science+Business Media Dordrecht","author":[{"dropping-particle":"","family":"Vogtländer","given":"Joost G.","non-dropping-particle":"","parse-names":false,"suffix":""},{"dropping-particle":"","family":"Scheepens","given":"Arno E.","non-dropping-particle":"","parse-names":false,"suffix":""},{"dropping-particle":"","family":"Bocken","given":"Nancy M.P.","non-dropping-particle":"","parse-names":false,"suffix":""},{"dropping-particle":"","family":"Peck","given":"David","non-dropping-particle":"","parse-names":false,"suffix":""}],"container-title":"Journal of Remanufacturing","id":"ITEM-1","issue":"1","issued":{"date-parts":[["2017"]]},"page":"1-17","publisher":"Journal of Remanufacturing","title":"Combined analyses of costs, market value and eco-costs in circular business models: eco-efficient value creation in remanufacturing","type":"article-journal","volume":"7"},"uris":["http://www.mendeley.com/documents/?uuid=2cb5d35c-d5ac-42d8-beb3-abbd4bd63095"]}],"mendeley":{"formattedCitation":"(Vogtländer et al., 2017)","plainTextFormattedCitation":"(Vogtländer et al., 2017)","previouslyFormattedCitation":"(Vogtländer et al., 2017)"},"properties":{"noteIndex":0},"schema":"https://github.com/citation-style-language/schema/raw/master/csl-citation.json"}</w:instrText>
            </w:r>
            <w:r w:rsidRPr="00A04DD6">
              <w:rPr>
                <w:sz w:val="20"/>
                <w:szCs w:val="20"/>
                <w:lang w:val="en-GB"/>
              </w:rPr>
              <w:fldChar w:fldCharType="separate"/>
            </w:r>
            <w:r w:rsidRPr="008E630B">
              <w:rPr>
                <w:noProof/>
                <w:sz w:val="20"/>
                <w:szCs w:val="20"/>
                <w:lang w:val="en-GB"/>
              </w:rPr>
              <w:t>(Vogtländer et al., 2017)</w:t>
            </w:r>
            <w:r w:rsidRPr="00A04DD6">
              <w:rPr>
                <w:sz w:val="20"/>
                <w:szCs w:val="20"/>
                <w:lang w:val="en-GB"/>
              </w:rPr>
              <w:fldChar w:fldCharType="end"/>
            </w:r>
          </w:p>
        </w:tc>
        <w:tc>
          <w:tcPr>
            <w:tcW w:w="1728" w:type="pct"/>
          </w:tcPr>
          <w:p w14:paraId="2B3D7C2D" w14:textId="77777777" w:rsidR="008E0530" w:rsidRDefault="008E0530" w:rsidP="00D62E44">
            <w:pPr>
              <w:jc w:val="center"/>
              <w:rPr>
                <w:sz w:val="20"/>
                <w:szCs w:val="20"/>
                <w:lang w:val="en-GB"/>
              </w:rPr>
            </w:pPr>
          </w:p>
          <w:p w14:paraId="48D0CD17" w14:textId="1F556CD9" w:rsidR="008E0530" w:rsidRPr="00A04DD6" w:rsidRDefault="008E0530" w:rsidP="00D62E44">
            <w:pPr>
              <w:jc w:val="center"/>
              <w:rPr>
                <w:sz w:val="20"/>
                <w:szCs w:val="20"/>
                <w:lang w:val="en-GB"/>
              </w:rPr>
            </w:pPr>
            <w:r w:rsidRPr="00A04DD6">
              <w:rPr>
                <w:sz w:val="20"/>
                <w:szCs w:val="20"/>
                <w:lang w:val="en-GB"/>
              </w:rPr>
              <w:t>x</w:t>
            </w:r>
          </w:p>
          <w:p w14:paraId="0D58C0DB" w14:textId="77777777" w:rsidR="008E0530" w:rsidRPr="00A04DD6" w:rsidRDefault="008E0530" w:rsidP="00D62E44">
            <w:pPr>
              <w:jc w:val="center"/>
              <w:rPr>
                <w:sz w:val="20"/>
                <w:szCs w:val="20"/>
                <w:lang w:val="en-GB"/>
              </w:rPr>
            </w:pPr>
            <w:r w:rsidRPr="00A04DD6">
              <w:rPr>
                <w:sz w:val="20"/>
                <w:szCs w:val="20"/>
                <w:lang w:val="en-GB"/>
              </w:rPr>
              <w:t>x</w:t>
            </w:r>
          </w:p>
          <w:p w14:paraId="20EB3F58" w14:textId="77777777" w:rsidR="008E0530" w:rsidRPr="00A04DD6" w:rsidRDefault="008E0530" w:rsidP="00D62E44">
            <w:pPr>
              <w:jc w:val="center"/>
              <w:rPr>
                <w:sz w:val="20"/>
                <w:szCs w:val="20"/>
                <w:lang w:val="en-GB"/>
              </w:rPr>
            </w:pPr>
            <w:r w:rsidRPr="00A04DD6">
              <w:rPr>
                <w:sz w:val="20"/>
                <w:szCs w:val="20"/>
                <w:lang w:val="en-GB"/>
              </w:rPr>
              <w:t>x</w:t>
            </w:r>
          </w:p>
          <w:p w14:paraId="7BE9C5C4" w14:textId="77777777" w:rsidR="008E0530" w:rsidRPr="00A04DD6" w:rsidRDefault="008E0530" w:rsidP="00D62E44">
            <w:pPr>
              <w:jc w:val="center"/>
              <w:rPr>
                <w:sz w:val="20"/>
                <w:szCs w:val="20"/>
                <w:lang w:val="en-GB"/>
              </w:rPr>
            </w:pPr>
            <w:r w:rsidRPr="00A04DD6">
              <w:rPr>
                <w:sz w:val="20"/>
                <w:szCs w:val="20"/>
                <w:lang w:val="en-GB"/>
              </w:rPr>
              <w:t>x</w:t>
            </w:r>
          </w:p>
          <w:p w14:paraId="5254F640" w14:textId="77777777" w:rsidR="008E0530" w:rsidRPr="00A04DD6" w:rsidRDefault="008E0530" w:rsidP="00D62E44">
            <w:pPr>
              <w:jc w:val="center"/>
              <w:rPr>
                <w:sz w:val="20"/>
                <w:szCs w:val="20"/>
                <w:lang w:val="en-GB"/>
              </w:rPr>
            </w:pPr>
            <w:r w:rsidRPr="00A04DD6">
              <w:rPr>
                <w:sz w:val="20"/>
                <w:szCs w:val="20"/>
                <w:lang w:val="en-GB"/>
              </w:rPr>
              <w:t>x</w:t>
            </w:r>
          </w:p>
          <w:p w14:paraId="2077CD71" w14:textId="77777777" w:rsidR="008E0530" w:rsidRPr="00A04DD6" w:rsidRDefault="008E0530" w:rsidP="00D62E44">
            <w:pPr>
              <w:jc w:val="center"/>
              <w:rPr>
                <w:sz w:val="20"/>
                <w:szCs w:val="20"/>
                <w:lang w:val="en-GB"/>
              </w:rPr>
            </w:pPr>
            <w:r w:rsidRPr="00A04DD6">
              <w:rPr>
                <w:sz w:val="20"/>
                <w:szCs w:val="20"/>
                <w:lang w:val="en-GB"/>
              </w:rPr>
              <w:t>x</w:t>
            </w:r>
          </w:p>
          <w:p w14:paraId="2F1139E0" w14:textId="77777777" w:rsidR="008E0530" w:rsidRPr="00A04DD6" w:rsidRDefault="008E0530" w:rsidP="00D62E44">
            <w:pPr>
              <w:jc w:val="center"/>
              <w:rPr>
                <w:sz w:val="20"/>
                <w:szCs w:val="20"/>
                <w:lang w:val="en-GB"/>
              </w:rPr>
            </w:pPr>
            <w:r w:rsidRPr="00A04DD6">
              <w:rPr>
                <w:sz w:val="20"/>
                <w:szCs w:val="20"/>
                <w:lang w:val="en-GB"/>
              </w:rPr>
              <w:t>x</w:t>
            </w:r>
          </w:p>
          <w:p w14:paraId="42E60757" w14:textId="77777777" w:rsidR="008E0530" w:rsidRPr="00A04DD6" w:rsidRDefault="008E0530" w:rsidP="00D62E44">
            <w:pPr>
              <w:jc w:val="center"/>
              <w:rPr>
                <w:sz w:val="20"/>
                <w:szCs w:val="20"/>
                <w:lang w:val="en-GB"/>
              </w:rPr>
            </w:pPr>
            <w:r w:rsidRPr="00A04DD6">
              <w:rPr>
                <w:sz w:val="20"/>
                <w:szCs w:val="20"/>
                <w:lang w:val="en-GB"/>
              </w:rPr>
              <w:t>x</w:t>
            </w:r>
          </w:p>
          <w:p w14:paraId="0DB45A98" w14:textId="77777777" w:rsidR="008E0530" w:rsidRPr="00A04DD6" w:rsidRDefault="008E0530" w:rsidP="00D62E44">
            <w:pPr>
              <w:jc w:val="center"/>
              <w:rPr>
                <w:sz w:val="20"/>
                <w:szCs w:val="20"/>
                <w:lang w:val="en-GB"/>
              </w:rPr>
            </w:pPr>
            <w:r w:rsidRPr="00A04DD6">
              <w:rPr>
                <w:sz w:val="20"/>
                <w:szCs w:val="20"/>
                <w:lang w:val="en-GB"/>
              </w:rPr>
              <w:t>x</w:t>
            </w:r>
          </w:p>
          <w:p w14:paraId="5B041F5B" w14:textId="77777777" w:rsidR="008E0530" w:rsidRPr="00A04DD6" w:rsidRDefault="008E0530" w:rsidP="00D62E44">
            <w:pPr>
              <w:jc w:val="center"/>
              <w:rPr>
                <w:sz w:val="20"/>
                <w:szCs w:val="20"/>
                <w:lang w:val="en-GB"/>
              </w:rPr>
            </w:pPr>
            <w:r w:rsidRPr="00A04DD6">
              <w:rPr>
                <w:sz w:val="20"/>
                <w:szCs w:val="20"/>
                <w:lang w:val="en-GB"/>
              </w:rPr>
              <w:t>x</w:t>
            </w:r>
          </w:p>
          <w:p w14:paraId="4833D15B" w14:textId="77777777" w:rsidR="008E0530" w:rsidRPr="00A04DD6" w:rsidRDefault="008E0530" w:rsidP="00D62E44">
            <w:pPr>
              <w:jc w:val="center"/>
              <w:rPr>
                <w:sz w:val="20"/>
                <w:szCs w:val="20"/>
                <w:lang w:val="en-GB"/>
              </w:rPr>
            </w:pPr>
            <w:r w:rsidRPr="00A04DD6">
              <w:rPr>
                <w:sz w:val="20"/>
                <w:szCs w:val="20"/>
                <w:lang w:val="en-GB"/>
              </w:rPr>
              <w:t>x</w:t>
            </w:r>
          </w:p>
          <w:p w14:paraId="06F36E19" w14:textId="77777777" w:rsidR="008E0530" w:rsidRPr="00A04DD6" w:rsidRDefault="008E0530" w:rsidP="00D62E44">
            <w:pPr>
              <w:jc w:val="center"/>
              <w:rPr>
                <w:sz w:val="20"/>
                <w:szCs w:val="20"/>
                <w:lang w:val="en-GB"/>
              </w:rPr>
            </w:pPr>
            <w:r w:rsidRPr="00A04DD6">
              <w:rPr>
                <w:sz w:val="20"/>
                <w:szCs w:val="20"/>
                <w:lang w:val="en-GB"/>
              </w:rPr>
              <w:t>x</w:t>
            </w:r>
          </w:p>
          <w:p w14:paraId="43D366FC" w14:textId="77777777" w:rsidR="008E0530" w:rsidRPr="00A04DD6" w:rsidRDefault="008E0530" w:rsidP="00D62E44">
            <w:pPr>
              <w:jc w:val="center"/>
              <w:rPr>
                <w:sz w:val="20"/>
                <w:szCs w:val="20"/>
                <w:lang w:val="en-GB"/>
              </w:rPr>
            </w:pPr>
            <w:r w:rsidRPr="00A04DD6">
              <w:rPr>
                <w:sz w:val="20"/>
                <w:szCs w:val="20"/>
                <w:lang w:val="en-GB"/>
              </w:rPr>
              <w:t>x</w:t>
            </w:r>
          </w:p>
          <w:p w14:paraId="2022AA57" w14:textId="77777777" w:rsidR="008E0530" w:rsidRPr="00A04DD6" w:rsidRDefault="008E0530" w:rsidP="00D62E44">
            <w:pPr>
              <w:jc w:val="center"/>
              <w:rPr>
                <w:sz w:val="20"/>
                <w:szCs w:val="20"/>
                <w:lang w:val="en-GB"/>
              </w:rPr>
            </w:pPr>
            <w:r w:rsidRPr="00A04DD6">
              <w:rPr>
                <w:sz w:val="20"/>
                <w:szCs w:val="20"/>
                <w:lang w:val="en-GB"/>
              </w:rPr>
              <w:t>x</w:t>
            </w:r>
          </w:p>
          <w:p w14:paraId="6CED8872" w14:textId="77777777" w:rsidR="008E0530" w:rsidRPr="00A04DD6" w:rsidRDefault="008E0530" w:rsidP="00D62E44">
            <w:pPr>
              <w:jc w:val="center"/>
              <w:rPr>
                <w:sz w:val="20"/>
                <w:szCs w:val="20"/>
                <w:lang w:val="en-GB"/>
              </w:rPr>
            </w:pPr>
            <w:r w:rsidRPr="00A04DD6">
              <w:rPr>
                <w:sz w:val="20"/>
                <w:szCs w:val="20"/>
                <w:lang w:val="en-GB"/>
              </w:rPr>
              <w:t>x</w:t>
            </w:r>
          </w:p>
          <w:p w14:paraId="70B4EB31" w14:textId="6F986A22" w:rsidR="008E0530" w:rsidRPr="00A04DD6" w:rsidRDefault="008E0530" w:rsidP="00D62E44">
            <w:pPr>
              <w:jc w:val="center"/>
              <w:rPr>
                <w:sz w:val="20"/>
                <w:szCs w:val="20"/>
                <w:lang w:val="en-GB"/>
              </w:rPr>
            </w:pPr>
            <w:r w:rsidRPr="00A04DD6">
              <w:rPr>
                <w:sz w:val="20"/>
                <w:szCs w:val="20"/>
                <w:lang w:val="en-GB"/>
              </w:rPr>
              <w:t>x</w:t>
            </w:r>
          </w:p>
        </w:tc>
        <w:tc>
          <w:tcPr>
            <w:tcW w:w="1728" w:type="pct"/>
          </w:tcPr>
          <w:p w14:paraId="67AFA94A" w14:textId="4801490D" w:rsidR="008E0530" w:rsidRPr="00A04DD6" w:rsidRDefault="008E0530" w:rsidP="00D62E44">
            <w:pPr>
              <w:jc w:val="center"/>
              <w:rPr>
                <w:sz w:val="20"/>
                <w:szCs w:val="20"/>
                <w:lang w:val="en-GB"/>
              </w:rPr>
            </w:pPr>
            <w:r>
              <w:rPr>
                <w:sz w:val="20"/>
                <w:szCs w:val="20"/>
                <w:lang w:val="en-GB"/>
              </w:rPr>
              <w:t>x</w:t>
            </w:r>
          </w:p>
        </w:tc>
      </w:tr>
      <w:tr w:rsidR="005E0E7F" w:rsidRPr="00A04DD6" w14:paraId="49D437CB" w14:textId="77777777" w:rsidTr="00746DB3">
        <w:trPr>
          <w:jc w:val="center"/>
        </w:trPr>
        <w:tc>
          <w:tcPr>
            <w:tcW w:w="1544" w:type="pct"/>
          </w:tcPr>
          <w:p w14:paraId="71F4AC90" w14:textId="77777777" w:rsidR="005E0E7F" w:rsidRPr="00A04DD6" w:rsidRDefault="005E0E7F" w:rsidP="00D62E44">
            <w:pPr>
              <w:rPr>
                <w:b/>
                <w:sz w:val="20"/>
                <w:szCs w:val="20"/>
                <w:lang w:val="en-GB"/>
              </w:rPr>
            </w:pPr>
            <w:r w:rsidRPr="00A04DD6">
              <w:rPr>
                <w:b/>
                <w:sz w:val="20"/>
                <w:szCs w:val="20"/>
                <w:lang w:val="en-GB"/>
              </w:rPr>
              <w:t>Total</w:t>
            </w:r>
          </w:p>
        </w:tc>
        <w:tc>
          <w:tcPr>
            <w:tcW w:w="1728" w:type="pct"/>
          </w:tcPr>
          <w:p w14:paraId="528D13A9" w14:textId="77777777" w:rsidR="005E0E7F" w:rsidRPr="00A04DD6" w:rsidRDefault="005E0E7F" w:rsidP="00D62E44">
            <w:pPr>
              <w:jc w:val="center"/>
              <w:rPr>
                <w:b/>
                <w:sz w:val="20"/>
                <w:szCs w:val="20"/>
                <w:lang w:val="en-GB"/>
              </w:rPr>
            </w:pPr>
            <w:r w:rsidRPr="00A04DD6">
              <w:rPr>
                <w:b/>
                <w:sz w:val="20"/>
                <w:szCs w:val="20"/>
                <w:lang w:val="en-GB"/>
              </w:rPr>
              <w:t>16</w:t>
            </w:r>
          </w:p>
        </w:tc>
        <w:tc>
          <w:tcPr>
            <w:tcW w:w="1728" w:type="pct"/>
          </w:tcPr>
          <w:p w14:paraId="09382446" w14:textId="4C673D80" w:rsidR="005E0E7F" w:rsidRPr="00A04DD6" w:rsidRDefault="008E0530" w:rsidP="00D62E44">
            <w:pPr>
              <w:keepNext/>
              <w:jc w:val="center"/>
              <w:rPr>
                <w:b/>
                <w:sz w:val="20"/>
                <w:szCs w:val="20"/>
                <w:lang w:val="en-GB"/>
              </w:rPr>
            </w:pPr>
            <w:r>
              <w:rPr>
                <w:b/>
                <w:sz w:val="20"/>
                <w:szCs w:val="20"/>
                <w:lang w:val="en-GB"/>
              </w:rPr>
              <w:t>1</w:t>
            </w:r>
          </w:p>
        </w:tc>
      </w:tr>
    </w:tbl>
    <w:p w14:paraId="6D6D4095" w14:textId="77777777" w:rsidR="005E0E7F" w:rsidRPr="00A04DD6" w:rsidRDefault="005E0E7F" w:rsidP="005E0E7F">
      <w:pPr>
        <w:spacing w:line="480" w:lineRule="auto"/>
        <w:rPr>
          <w:lang w:val="en-GB"/>
        </w:rPr>
      </w:pPr>
    </w:p>
    <w:p w14:paraId="0CAA5EB1" w14:textId="42E22D36" w:rsidR="005E0E7F" w:rsidRPr="00402AEC" w:rsidRDefault="005E0E7F" w:rsidP="00F92100">
      <w:pPr>
        <w:spacing w:after="240" w:line="360" w:lineRule="auto"/>
        <w:jc w:val="both"/>
        <w:rPr>
          <w:lang w:val="en-GB" w:bidi="en-US"/>
        </w:rPr>
      </w:pPr>
      <w:r w:rsidRPr="00A04DD6">
        <w:rPr>
          <w:lang w:val="en-GB" w:bidi="en-US"/>
        </w:rPr>
        <w:lastRenderedPageBreak/>
        <w:t xml:space="preserve">Finally, the “Exchange” macro category, using new technologies to upgrade or replace old ways of doing things, deserved so far very low attention in literature. </w:t>
      </w:r>
      <w:r w:rsidR="002A7A5F">
        <w:rPr>
          <w:lang w:val="en-GB" w:bidi="en-US"/>
        </w:rPr>
        <w:t xml:space="preserve">Only </w:t>
      </w:r>
      <w:r w:rsidR="00E32171" w:rsidRPr="00746DB3">
        <w:rPr>
          <w:szCs w:val="20"/>
          <w:lang w:val="en-GB"/>
        </w:rPr>
        <w:fldChar w:fldCharType="begin" w:fldLock="1"/>
      </w:r>
      <w:r w:rsidR="00E32171">
        <w:rPr>
          <w:szCs w:val="20"/>
          <w:lang w:val="en-GB"/>
        </w:rPr>
        <w:instrText>ADDIN CSL_CITATION {"citationItems":[{"id":"ITEM-1","itemData":{"DOI":"10.3390/resources3020432","ISSN":"2079-9276","abstract":"The concept of the circular economy proposes new patterns of production, consumption and use, based on circular flows of resources. Under a scenario where there is a global shift towards the circular economy, this paper discusses the advent of two parallel and yet-to-be-connected trends for Australia, namely: (i) responsible minerals supply chains and (ii) additive manufacturing, also known as 3D production systems. Acknowledging the current context for waste management, the paper explores future interlinked questions which arise in the circular economy for responsible supply chains, additive manufacturing, and metals recycling. For example, where do mined and recycled resources fit in responsible supply chains as inputs to responsible production? What is required to ensure 3D production systems are resource efficient? How could more distributed models of production, enabled by additive manufacturing, change the geographical scale at which it is economic or desirable to close the loop? Examples are given to highlight the need for an integrated research agenda to address these questions and to foster Australian opportunities in the circular economy.","author":[{"dropping-particle":"","family":"Giurco","given":"Damien","non-dropping-particle":"","parse-names":false,"suffix":""},{"dropping-particle":"","family":"Littleboy","given":"Anna","non-dropping-particle":"","parse-names":false,"suffix":""},{"dropping-particle":"","family":"Boyle","given":"Thomas","non-dropping-particle":"","parse-names":false,"suffix":""},{"dropping-particle":"","family":"Fyfe","given":"Julian","non-dropping-particle":"","parse-names":false,"suffix":""},{"dropping-particle":"","family":"White","given":"Stuart","non-dropping-particle":"","parse-names":false,"suffix":""}],"container-title":"Resources","id":"ITEM-1","issue":"2","issued":{"date-parts":[["2014"]]},"page":"432-453","title":"Circular Economy: Questions for Responsible Minerals, Additive Manufacturing and Recycling of Metals","type":"article-journal","volume":"3"},"uris":["http://www.mendeley.com/documents/?uuid=240309b1-ef4d-463b-aa9d-764554529343","http://www.mendeley.com/documents/?uuid=f275aaa5-a638-40ed-83d1-079a9e1961bc"]}],"mendeley":{"formattedCitation":"(Giurco et al., 2014)","manualFormatting":"Giurco et al. (2014)","plainTextFormattedCitation":"(Giurco et al., 2014)","previouslyFormattedCitation":"(Giurco et al., 2014)"},"properties":{"noteIndex":0},"schema":"https://github.com/citation-style-language/schema/raw/master/csl-citation.json"}</w:instrText>
      </w:r>
      <w:r w:rsidR="00E32171" w:rsidRPr="00746DB3">
        <w:rPr>
          <w:szCs w:val="20"/>
          <w:lang w:val="en-GB"/>
        </w:rPr>
        <w:fldChar w:fldCharType="separate"/>
      </w:r>
      <w:r w:rsidR="00E32171" w:rsidRPr="00746DB3">
        <w:rPr>
          <w:noProof/>
          <w:szCs w:val="20"/>
          <w:lang w:val="en-GB"/>
        </w:rPr>
        <w:t xml:space="preserve">Giurco et al. </w:t>
      </w:r>
      <w:r w:rsidR="00E32171">
        <w:rPr>
          <w:noProof/>
          <w:szCs w:val="20"/>
          <w:lang w:val="en-GB"/>
        </w:rPr>
        <w:t>(</w:t>
      </w:r>
      <w:r w:rsidR="00E32171" w:rsidRPr="00746DB3">
        <w:rPr>
          <w:noProof/>
          <w:szCs w:val="20"/>
          <w:lang w:val="en-GB"/>
        </w:rPr>
        <w:t>2014)</w:t>
      </w:r>
      <w:r w:rsidR="00E32171" w:rsidRPr="00746DB3">
        <w:rPr>
          <w:szCs w:val="20"/>
          <w:lang w:val="en-GB"/>
        </w:rPr>
        <w:fldChar w:fldCharType="end"/>
      </w:r>
      <w:r w:rsidR="00E32171">
        <w:rPr>
          <w:szCs w:val="20"/>
          <w:lang w:val="en-GB"/>
        </w:rPr>
        <w:t xml:space="preserve"> </w:t>
      </w:r>
      <w:r w:rsidR="00A1677C">
        <w:rPr>
          <w:szCs w:val="20"/>
          <w:lang w:val="en-GB"/>
        </w:rPr>
        <w:t xml:space="preserve">discuss about </w:t>
      </w:r>
      <w:r w:rsidR="002D65BD" w:rsidRPr="002D65BD">
        <w:rPr>
          <w:szCs w:val="20"/>
          <w:lang w:val="en-GB"/>
        </w:rPr>
        <w:t>responsible minerals supply chains and additive manufacturing</w:t>
      </w:r>
      <w:r w:rsidR="00B44502">
        <w:rPr>
          <w:szCs w:val="20"/>
          <w:lang w:val="en-GB"/>
        </w:rPr>
        <w:t xml:space="preserve"> as </w:t>
      </w:r>
      <w:r w:rsidR="008E42D0">
        <w:rPr>
          <w:szCs w:val="20"/>
          <w:lang w:val="en-GB"/>
        </w:rPr>
        <w:t>enabling elements for CE</w:t>
      </w:r>
      <w:r w:rsidR="002A7A5F">
        <w:rPr>
          <w:szCs w:val="20"/>
          <w:lang w:val="en-GB"/>
        </w:rPr>
        <w:t>.</w:t>
      </w:r>
      <w:r w:rsidR="002A7A5F">
        <w:rPr>
          <w:lang w:val="en-GB" w:bidi="en-US"/>
        </w:rPr>
        <w:t xml:space="preserve"> </w:t>
      </w:r>
      <w:r w:rsidRPr="00A04DD6">
        <w:rPr>
          <w:lang w:val="en-GB" w:bidi="en-US"/>
        </w:rPr>
        <w:t>This could be likely explained by the fact that both Circular Economy and Industry 4.0 research streams are quite recent.</w:t>
      </w:r>
    </w:p>
    <w:p w14:paraId="25322E98" w14:textId="2036B63F" w:rsidR="00AB417F" w:rsidRPr="00402AEC" w:rsidRDefault="00AB417F" w:rsidP="00F92100">
      <w:pPr>
        <w:spacing w:after="240" w:line="360" w:lineRule="auto"/>
        <w:jc w:val="both"/>
        <w:rPr>
          <w:lang w:val="en-GB" w:bidi="en-US"/>
        </w:rPr>
      </w:pPr>
      <w:r w:rsidRPr="00402AEC">
        <w:rPr>
          <w:b/>
          <w:lang w:val="en-GB"/>
        </w:rPr>
        <w:t>5. Discussion</w:t>
      </w:r>
    </w:p>
    <w:p w14:paraId="57307783" w14:textId="04B1A215" w:rsidR="00740D42" w:rsidRDefault="00740D42" w:rsidP="00740D42">
      <w:pPr>
        <w:spacing w:after="240" w:line="360" w:lineRule="auto"/>
        <w:jc w:val="both"/>
        <w:rPr>
          <w:lang w:val="en-GB" w:bidi="en-US"/>
        </w:rPr>
      </w:pPr>
      <w:r>
        <w:rPr>
          <w:lang w:val="en-GB" w:bidi="en-US"/>
        </w:rPr>
        <w:t>Wrapping up the results of this research, authors divided CBM research topic</w:t>
      </w:r>
      <w:r w:rsidR="001B68EB">
        <w:rPr>
          <w:lang w:val="en-GB" w:bidi="en-US"/>
        </w:rPr>
        <w:t>s</w:t>
      </w:r>
      <w:r>
        <w:rPr>
          <w:lang w:val="en-GB" w:bidi="en-US"/>
        </w:rPr>
        <w:t xml:space="preserve"> in seven dimensions. The starting point of this analysis deals with methods used to classify CBMs, mainly referring to the ReSOLVE framework, the BMC </w:t>
      </w:r>
      <w:r w:rsidR="00563960">
        <w:rPr>
          <w:lang w:val="en-GB" w:bidi="en-US"/>
        </w:rPr>
        <w:t>or</w:t>
      </w:r>
      <w:r>
        <w:rPr>
          <w:lang w:val="en-GB" w:bidi="en-US"/>
        </w:rPr>
        <w:t xml:space="preserve"> </w:t>
      </w:r>
      <w:r w:rsidR="00563960">
        <w:rPr>
          <w:lang w:val="en-GB" w:bidi="en-US"/>
        </w:rPr>
        <w:t>a mix</w:t>
      </w:r>
      <w:r>
        <w:rPr>
          <w:lang w:val="en-GB" w:bidi="en-US"/>
        </w:rPr>
        <w:t xml:space="preserve"> of them. </w:t>
      </w:r>
      <w:r w:rsidR="00563960">
        <w:rPr>
          <w:lang w:val="en-GB" w:bidi="en-US"/>
        </w:rPr>
        <w:t>O</w:t>
      </w:r>
      <w:r>
        <w:rPr>
          <w:lang w:val="en-GB" w:bidi="en-US"/>
        </w:rPr>
        <w:t>ther six dimension</w:t>
      </w:r>
      <w:r w:rsidR="00563960">
        <w:rPr>
          <w:lang w:val="en-GB" w:bidi="en-US"/>
        </w:rPr>
        <w:t>s</w:t>
      </w:r>
      <w:r>
        <w:rPr>
          <w:lang w:val="en-GB" w:bidi="en-US"/>
        </w:rPr>
        <w:t xml:space="preserve"> </w:t>
      </w:r>
      <w:r w:rsidR="00023B9F">
        <w:rPr>
          <w:lang w:val="en-GB" w:bidi="en-US"/>
        </w:rPr>
        <w:t>offer</w:t>
      </w:r>
      <w:r>
        <w:rPr>
          <w:lang w:val="en-GB" w:bidi="en-US"/>
        </w:rPr>
        <w:t xml:space="preserve"> to both academics and </w:t>
      </w:r>
      <w:r w:rsidR="00D971E3">
        <w:rPr>
          <w:lang w:val="en-GB" w:bidi="en-US"/>
        </w:rPr>
        <w:t>practitioners’</w:t>
      </w:r>
      <w:r>
        <w:rPr>
          <w:lang w:val="en-GB" w:bidi="en-US"/>
        </w:rPr>
        <w:t xml:space="preserve"> </w:t>
      </w:r>
      <w:r w:rsidR="00023B9F">
        <w:rPr>
          <w:lang w:val="en-GB" w:bidi="en-US"/>
        </w:rPr>
        <w:t>suggestions</w:t>
      </w:r>
      <w:r>
        <w:rPr>
          <w:lang w:val="en-GB" w:bidi="en-US"/>
        </w:rPr>
        <w:t xml:space="preserve"> about</w:t>
      </w:r>
      <w:r w:rsidR="0041780F">
        <w:rPr>
          <w:lang w:val="en-GB" w:bidi="en-US"/>
        </w:rPr>
        <w:t>:</w:t>
      </w:r>
      <w:r>
        <w:rPr>
          <w:lang w:val="en-GB" w:bidi="en-US"/>
        </w:rPr>
        <w:t xml:space="preserve"> </w:t>
      </w:r>
      <w:r w:rsidR="0041780F">
        <w:rPr>
          <w:lang w:val="en-GB" w:bidi="en-US"/>
        </w:rPr>
        <w:t xml:space="preserve">i) </w:t>
      </w:r>
      <w:r w:rsidR="0033048F">
        <w:rPr>
          <w:lang w:val="en-GB" w:bidi="en-US"/>
        </w:rPr>
        <w:t xml:space="preserve">best </w:t>
      </w:r>
      <w:r>
        <w:rPr>
          <w:lang w:val="en-GB" w:bidi="en-US"/>
        </w:rPr>
        <w:t>practices and tools supporting the adoption</w:t>
      </w:r>
      <w:r w:rsidR="00074A7B">
        <w:rPr>
          <w:lang w:val="en-GB" w:bidi="en-US"/>
        </w:rPr>
        <w:t xml:space="preserve"> of CBMs</w:t>
      </w:r>
      <w:r>
        <w:rPr>
          <w:lang w:val="en-GB" w:bidi="en-US"/>
        </w:rPr>
        <w:t xml:space="preserve">, </w:t>
      </w:r>
      <w:r w:rsidR="0041780F">
        <w:rPr>
          <w:lang w:val="en-GB" w:bidi="en-US"/>
        </w:rPr>
        <w:t>ii)</w:t>
      </w:r>
      <w:r>
        <w:rPr>
          <w:lang w:val="en-GB" w:bidi="en-US"/>
        </w:rPr>
        <w:t xml:space="preserve"> challenges to be faced to enact them and </w:t>
      </w:r>
      <w:r w:rsidR="007E7CB9">
        <w:rPr>
          <w:lang w:val="en-GB" w:bidi="en-US"/>
        </w:rPr>
        <w:t>iii)</w:t>
      </w:r>
      <w:r>
        <w:rPr>
          <w:lang w:val="en-GB" w:bidi="en-US"/>
        </w:rPr>
        <w:t xml:space="preserve"> </w:t>
      </w:r>
      <w:r w:rsidR="00F942C1">
        <w:rPr>
          <w:lang w:val="en-GB" w:bidi="en-US"/>
        </w:rPr>
        <w:t xml:space="preserve">innovative </w:t>
      </w:r>
      <w:r>
        <w:rPr>
          <w:lang w:val="en-GB" w:bidi="en-US"/>
        </w:rPr>
        <w:t xml:space="preserve">lifecycle assessment and </w:t>
      </w:r>
      <w:r w:rsidR="00F942C1">
        <w:rPr>
          <w:lang w:val="en-GB" w:bidi="en-US"/>
        </w:rPr>
        <w:t xml:space="preserve">circularity </w:t>
      </w:r>
      <w:r>
        <w:rPr>
          <w:lang w:val="en-GB" w:bidi="en-US"/>
        </w:rPr>
        <w:t>performance measurement</w:t>
      </w:r>
      <w:r w:rsidR="00F942C1">
        <w:rPr>
          <w:lang w:val="en-GB" w:bidi="en-US"/>
        </w:rPr>
        <w:t>s</w:t>
      </w:r>
      <w:r>
        <w:rPr>
          <w:lang w:val="en-GB" w:bidi="en-US"/>
        </w:rPr>
        <w:t xml:space="preserve">. </w:t>
      </w:r>
      <w:r w:rsidR="00F942C1">
        <w:rPr>
          <w:lang w:val="en-GB" w:bidi="en-US"/>
        </w:rPr>
        <w:t>T</w:t>
      </w:r>
      <w:r>
        <w:rPr>
          <w:lang w:val="en-GB" w:bidi="en-US"/>
        </w:rPr>
        <w:t xml:space="preserve">his way, aspects claiming further investigation </w:t>
      </w:r>
      <w:r w:rsidR="007A4363">
        <w:rPr>
          <w:lang w:val="en-GB" w:bidi="en-US"/>
        </w:rPr>
        <w:t xml:space="preserve">in terms of a more effective </w:t>
      </w:r>
      <w:r>
        <w:rPr>
          <w:lang w:val="en-GB" w:bidi="en-US"/>
        </w:rPr>
        <w:t>transition from linear to CBM</w:t>
      </w:r>
      <w:r w:rsidR="003B528D">
        <w:rPr>
          <w:lang w:val="en-GB" w:bidi="en-US"/>
        </w:rPr>
        <w:t>s</w:t>
      </w:r>
      <w:r w:rsidR="00C34CB9">
        <w:rPr>
          <w:lang w:val="en-GB" w:bidi="en-US"/>
        </w:rPr>
        <w:t xml:space="preserve"> have been defined</w:t>
      </w:r>
      <w:r w:rsidR="003B528D">
        <w:rPr>
          <w:lang w:val="en-GB" w:bidi="en-US"/>
        </w:rPr>
        <w:t>, i</w:t>
      </w:r>
      <w:r>
        <w:rPr>
          <w:lang w:val="en-GB" w:bidi="en-US"/>
        </w:rPr>
        <w:t xml:space="preserve">n particular: </w:t>
      </w:r>
    </w:p>
    <w:p w14:paraId="7965D30C" w14:textId="1CF6D9DD" w:rsidR="00740D42" w:rsidRPr="00BF6D73" w:rsidRDefault="003B528D" w:rsidP="00746DB3">
      <w:pPr>
        <w:pStyle w:val="Paragrafoelenco"/>
        <w:numPr>
          <w:ilvl w:val="0"/>
          <w:numId w:val="42"/>
        </w:numPr>
        <w:spacing w:after="240" w:line="360" w:lineRule="auto"/>
        <w:ind w:left="426" w:hanging="426"/>
        <w:rPr>
          <w:rFonts w:ascii="Times New Roman" w:hAnsi="Times New Roman" w:cs="Times New Roman"/>
          <w:sz w:val="24"/>
          <w:szCs w:val="24"/>
          <w:lang w:val="en-GB" w:eastAsia="it-IT" w:bidi="en-US"/>
        </w:rPr>
      </w:pPr>
      <w:r>
        <w:rPr>
          <w:rFonts w:ascii="Times New Roman" w:hAnsi="Times New Roman" w:cs="Times New Roman"/>
          <w:sz w:val="24"/>
          <w:szCs w:val="24"/>
          <w:lang w:val="en-GB" w:eastAsia="it-IT" w:bidi="en-US"/>
        </w:rPr>
        <w:t>B</w:t>
      </w:r>
      <w:r w:rsidR="00740D42" w:rsidRPr="00BF6D73">
        <w:rPr>
          <w:rFonts w:ascii="Times New Roman" w:hAnsi="Times New Roman" w:cs="Times New Roman"/>
          <w:sz w:val="24"/>
          <w:szCs w:val="24"/>
          <w:lang w:val="en-GB" w:eastAsia="it-IT" w:bidi="en-US"/>
        </w:rPr>
        <w:t xml:space="preserve">est practices have been provided </w:t>
      </w:r>
      <w:r w:rsidR="0074321E">
        <w:rPr>
          <w:rFonts w:ascii="Times New Roman" w:hAnsi="Times New Roman" w:cs="Times New Roman"/>
          <w:sz w:val="24"/>
          <w:szCs w:val="24"/>
          <w:lang w:val="en-GB" w:eastAsia="it-IT" w:bidi="en-US"/>
        </w:rPr>
        <w:t>for</w:t>
      </w:r>
      <w:r w:rsidR="00740D42" w:rsidRPr="00BF6D73">
        <w:rPr>
          <w:rFonts w:ascii="Times New Roman" w:hAnsi="Times New Roman" w:cs="Times New Roman"/>
          <w:sz w:val="24"/>
          <w:szCs w:val="24"/>
          <w:lang w:val="en-GB" w:eastAsia="it-IT" w:bidi="en-US"/>
        </w:rPr>
        <w:t xml:space="preserve"> guid</w:t>
      </w:r>
      <w:r w:rsidR="0074321E">
        <w:rPr>
          <w:rFonts w:ascii="Times New Roman" w:hAnsi="Times New Roman" w:cs="Times New Roman"/>
          <w:sz w:val="24"/>
          <w:szCs w:val="24"/>
          <w:lang w:val="en-GB" w:eastAsia="it-IT" w:bidi="en-US"/>
        </w:rPr>
        <w:t>ing</w:t>
      </w:r>
      <w:r w:rsidR="00740D42" w:rsidRPr="00BF6D73">
        <w:rPr>
          <w:rFonts w:ascii="Times New Roman" w:hAnsi="Times New Roman" w:cs="Times New Roman"/>
          <w:sz w:val="24"/>
          <w:szCs w:val="24"/>
          <w:lang w:val="en-GB" w:eastAsia="it-IT" w:bidi="en-US"/>
        </w:rPr>
        <w:t xml:space="preserve"> companies </w:t>
      </w:r>
      <w:r w:rsidR="0074321E">
        <w:rPr>
          <w:rFonts w:ascii="Times New Roman" w:hAnsi="Times New Roman" w:cs="Times New Roman"/>
          <w:sz w:val="24"/>
          <w:szCs w:val="24"/>
          <w:lang w:val="en-GB" w:eastAsia="it-IT" w:bidi="en-US"/>
        </w:rPr>
        <w:t>from</w:t>
      </w:r>
      <w:r w:rsidR="00740D42" w:rsidRPr="00BF6D73">
        <w:rPr>
          <w:rFonts w:ascii="Times New Roman" w:hAnsi="Times New Roman" w:cs="Times New Roman"/>
          <w:sz w:val="24"/>
          <w:szCs w:val="24"/>
          <w:lang w:val="en-GB" w:eastAsia="it-IT" w:bidi="en-US"/>
        </w:rPr>
        <w:t xml:space="preserve"> specific industries and </w:t>
      </w:r>
      <w:r w:rsidR="00F92A79">
        <w:rPr>
          <w:rFonts w:ascii="Times New Roman" w:hAnsi="Times New Roman" w:cs="Times New Roman"/>
          <w:sz w:val="24"/>
          <w:szCs w:val="24"/>
          <w:lang w:val="en-GB" w:eastAsia="it-IT" w:bidi="en-US"/>
        </w:rPr>
        <w:t>for</w:t>
      </w:r>
      <w:r w:rsidR="00740D42" w:rsidRPr="00BF6D73">
        <w:rPr>
          <w:rFonts w:ascii="Times New Roman" w:hAnsi="Times New Roman" w:cs="Times New Roman"/>
          <w:sz w:val="24"/>
          <w:szCs w:val="24"/>
          <w:lang w:val="en-GB" w:eastAsia="it-IT" w:bidi="en-US"/>
        </w:rPr>
        <w:t xml:space="preserve"> help</w:t>
      </w:r>
      <w:r w:rsidR="00F92A79">
        <w:rPr>
          <w:rFonts w:ascii="Times New Roman" w:hAnsi="Times New Roman" w:cs="Times New Roman"/>
          <w:sz w:val="24"/>
          <w:szCs w:val="24"/>
          <w:lang w:val="en-GB" w:eastAsia="it-IT" w:bidi="en-US"/>
        </w:rPr>
        <w:t>ing</w:t>
      </w:r>
      <w:r w:rsidR="00740D42" w:rsidRPr="00BF6D73">
        <w:rPr>
          <w:rFonts w:ascii="Times New Roman" w:hAnsi="Times New Roman" w:cs="Times New Roman"/>
          <w:sz w:val="24"/>
          <w:szCs w:val="24"/>
          <w:lang w:val="en-GB" w:eastAsia="it-IT" w:bidi="en-US"/>
        </w:rPr>
        <w:t xml:space="preserve"> manufacturers </w:t>
      </w:r>
      <w:r w:rsidR="00F92A79">
        <w:rPr>
          <w:rFonts w:ascii="Times New Roman" w:hAnsi="Times New Roman" w:cs="Times New Roman"/>
          <w:sz w:val="24"/>
          <w:szCs w:val="24"/>
          <w:lang w:val="en-GB" w:eastAsia="it-IT" w:bidi="en-US"/>
        </w:rPr>
        <w:t>in</w:t>
      </w:r>
      <w:r w:rsidR="00740D42" w:rsidRPr="00BF6D73">
        <w:rPr>
          <w:rFonts w:ascii="Times New Roman" w:hAnsi="Times New Roman" w:cs="Times New Roman"/>
          <w:sz w:val="24"/>
          <w:szCs w:val="24"/>
          <w:lang w:val="en-GB" w:eastAsia="it-IT" w:bidi="en-US"/>
        </w:rPr>
        <w:t xml:space="preserve"> successfully address CE</w:t>
      </w:r>
      <w:r w:rsidR="00740D42">
        <w:rPr>
          <w:lang w:val="en-GB" w:bidi="en-US"/>
        </w:rPr>
        <w:t xml:space="preserve">. </w:t>
      </w:r>
      <w:r w:rsidR="00740D42" w:rsidRPr="00746DB3">
        <w:rPr>
          <w:rFonts w:ascii="Times New Roman" w:hAnsi="Times New Roman" w:cs="Times New Roman"/>
          <w:sz w:val="24"/>
          <w:szCs w:val="24"/>
          <w:lang w:val="en-GB" w:bidi="en-US"/>
        </w:rPr>
        <w:t xml:space="preserve">However, guidelines </w:t>
      </w:r>
      <w:r w:rsidR="00DF5210" w:rsidRPr="00F73994">
        <w:rPr>
          <w:rFonts w:ascii="Times New Roman" w:hAnsi="Times New Roman" w:cs="Times New Roman"/>
          <w:sz w:val="24"/>
          <w:szCs w:val="24"/>
          <w:lang w:val="en-GB" w:bidi="en-US"/>
        </w:rPr>
        <w:t xml:space="preserve">practically </w:t>
      </w:r>
      <w:r w:rsidR="00740D42" w:rsidRPr="00746DB3">
        <w:rPr>
          <w:rFonts w:ascii="Times New Roman" w:hAnsi="Times New Roman" w:cs="Times New Roman"/>
          <w:sz w:val="24"/>
          <w:szCs w:val="24"/>
          <w:lang w:val="en-GB" w:bidi="en-US"/>
        </w:rPr>
        <w:t>driving them to</w:t>
      </w:r>
      <w:r w:rsidR="00DF5210">
        <w:rPr>
          <w:rFonts w:ascii="Times New Roman" w:hAnsi="Times New Roman" w:cs="Times New Roman"/>
          <w:sz w:val="24"/>
          <w:szCs w:val="24"/>
          <w:lang w:val="en-GB" w:bidi="en-US"/>
        </w:rPr>
        <w:t>wards</w:t>
      </w:r>
      <w:r w:rsidR="00740D42" w:rsidRPr="00746DB3">
        <w:rPr>
          <w:rFonts w:ascii="Times New Roman" w:hAnsi="Times New Roman" w:cs="Times New Roman"/>
          <w:sz w:val="24"/>
          <w:szCs w:val="24"/>
          <w:lang w:val="en-GB" w:bidi="en-US"/>
        </w:rPr>
        <w:t xml:space="preserve"> </w:t>
      </w:r>
      <w:r w:rsidR="00A918E3">
        <w:rPr>
          <w:rFonts w:ascii="Times New Roman" w:hAnsi="Times New Roman" w:cs="Times New Roman"/>
          <w:sz w:val="24"/>
          <w:szCs w:val="24"/>
          <w:lang w:val="en-GB" w:bidi="en-US"/>
        </w:rPr>
        <w:t>a</w:t>
      </w:r>
      <w:r w:rsidR="00740D42" w:rsidRPr="00746DB3">
        <w:rPr>
          <w:rFonts w:ascii="Times New Roman" w:hAnsi="Times New Roman" w:cs="Times New Roman"/>
          <w:sz w:val="24"/>
          <w:szCs w:val="24"/>
          <w:lang w:val="en-GB" w:bidi="en-US"/>
        </w:rPr>
        <w:t xml:space="preserve"> </w:t>
      </w:r>
      <w:r w:rsidR="00A918E3">
        <w:rPr>
          <w:rFonts w:ascii="Times New Roman" w:hAnsi="Times New Roman" w:cs="Times New Roman"/>
          <w:sz w:val="24"/>
          <w:szCs w:val="24"/>
          <w:lang w:val="en-GB" w:bidi="en-US"/>
        </w:rPr>
        <w:t>real adoption of CE</w:t>
      </w:r>
      <w:r w:rsidR="00740D42" w:rsidRPr="00746DB3">
        <w:rPr>
          <w:rFonts w:ascii="Times New Roman" w:hAnsi="Times New Roman" w:cs="Times New Roman"/>
          <w:sz w:val="24"/>
          <w:szCs w:val="24"/>
          <w:lang w:val="en-GB" w:bidi="en-US"/>
        </w:rPr>
        <w:t xml:space="preserve"> </w:t>
      </w:r>
      <w:r w:rsidR="00A918E3">
        <w:rPr>
          <w:rFonts w:ascii="Times New Roman" w:hAnsi="Times New Roman" w:cs="Times New Roman"/>
          <w:sz w:val="24"/>
          <w:szCs w:val="24"/>
          <w:lang w:val="en-GB" w:bidi="en-US"/>
        </w:rPr>
        <w:t xml:space="preserve">in </w:t>
      </w:r>
      <w:r w:rsidR="00740D42" w:rsidRPr="00746DB3">
        <w:rPr>
          <w:rFonts w:ascii="Times New Roman" w:hAnsi="Times New Roman" w:cs="Times New Roman"/>
          <w:sz w:val="24"/>
          <w:szCs w:val="24"/>
          <w:lang w:val="en-GB" w:bidi="en-US"/>
        </w:rPr>
        <w:t>either product</w:t>
      </w:r>
      <w:r w:rsidR="00A918E3">
        <w:rPr>
          <w:rFonts w:ascii="Times New Roman" w:hAnsi="Times New Roman" w:cs="Times New Roman"/>
          <w:sz w:val="24"/>
          <w:szCs w:val="24"/>
          <w:lang w:val="en-GB" w:bidi="en-US"/>
        </w:rPr>
        <w:t>s</w:t>
      </w:r>
      <w:r w:rsidR="00740D42" w:rsidRPr="00746DB3">
        <w:rPr>
          <w:rFonts w:ascii="Times New Roman" w:hAnsi="Times New Roman" w:cs="Times New Roman"/>
          <w:sz w:val="24"/>
          <w:szCs w:val="24"/>
          <w:lang w:val="en-GB" w:bidi="en-US"/>
        </w:rPr>
        <w:t xml:space="preserve"> or service</w:t>
      </w:r>
      <w:r w:rsidR="00A918E3">
        <w:rPr>
          <w:rFonts w:ascii="Times New Roman" w:hAnsi="Times New Roman" w:cs="Times New Roman"/>
          <w:sz w:val="24"/>
          <w:szCs w:val="24"/>
          <w:lang w:val="en-GB" w:bidi="en-US"/>
        </w:rPr>
        <w:t>s</w:t>
      </w:r>
      <w:r w:rsidR="00740D42" w:rsidRPr="00746DB3">
        <w:rPr>
          <w:rFonts w:ascii="Times New Roman" w:hAnsi="Times New Roman" w:cs="Times New Roman"/>
          <w:sz w:val="24"/>
          <w:szCs w:val="24"/>
          <w:lang w:val="en-GB" w:bidi="en-US"/>
        </w:rPr>
        <w:t xml:space="preserve"> </w:t>
      </w:r>
      <w:r w:rsidR="00A918E3">
        <w:rPr>
          <w:rFonts w:ascii="Times New Roman" w:hAnsi="Times New Roman" w:cs="Times New Roman"/>
          <w:sz w:val="24"/>
          <w:szCs w:val="24"/>
          <w:lang w:val="en-GB" w:bidi="en-US"/>
        </w:rPr>
        <w:t>is</w:t>
      </w:r>
      <w:r w:rsidR="00740D42" w:rsidRPr="00746DB3">
        <w:rPr>
          <w:rFonts w:ascii="Times New Roman" w:hAnsi="Times New Roman" w:cs="Times New Roman"/>
          <w:sz w:val="24"/>
          <w:szCs w:val="24"/>
          <w:lang w:val="en-GB" w:bidi="en-US"/>
        </w:rPr>
        <w:t xml:space="preserve"> still not fully provided</w:t>
      </w:r>
      <w:r w:rsidR="00740D42" w:rsidRPr="003B528D">
        <w:rPr>
          <w:rFonts w:ascii="Times New Roman" w:hAnsi="Times New Roman" w:cs="Times New Roman"/>
          <w:sz w:val="24"/>
          <w:szCs w:val="24"/>
          <w:lang w:val="en-GB" w:eastAsia="it-IT" w:bidi="en-US"/>
        </w:rPr>
        <w:t xml:space="preserve">; </w:t>
      </w:r>
    </w:p>
    <w:p w14:paraId="525E7A3B" w14:textId="26A72734" w:rsidR="00740D42" w:rsidRPr="00BF6D73" w:rsidRDefault="003B528D" w:rsidP="00746DB3">
      <w:pPr>
        <w:pStyle w:val="Paragrafoelenco"/>
        <w:numPr>
          <w:ilvl w:val="0"/>
          <w:numId w:val="42"/>
        </w:numPr>
        <w:spacing w:after="240" w:line="360" w:lineRule="auto"/>
        <w:ind w:left="426" w:hanging="426"/>
        <w:rPr>
          <w:rFonts w:ascii="Times New Roman" w:hAnsi="Times New Roman" w:cs="Times New Roman"/>
          <w:sz w:val="24"/>
          <w:szCs w:val="24"/>
          <w:lang w:val="en-GB" w:eastAsia="it-IT" w:bidi="en-US"/>
        </w:rPr>
      </w:pPr>
      <w:r>
        <w:rPr>
          <w:rFonts w:ascii="Times New Roman" w:hAnsi="Times New Roman" w:cs="Times New Roman"/>
          <w:sz w:val="24"/>
          <w:szCs w:val="24"/>
          <w:lang w:val="en-GB" w:eastAsia="it-IT" w:bidi="en-US"/>
        </w:rPr>
        <w:t>C</w:t>
      </w:r>
      <w:r w:rsidR="00740D42" w:rsidRPr="00BF6D73">
        <w:rPr>
          <w:rFonts w:ascii="Times New Roman" w:hAnsi="Times New Roman" w:cs="Times New Roman"/>
          <w:sz w:val="24"/>
          <w:szCs w:val="24"/>
          <w:lang w:val="en-GB" w:eastAsia="it-IT" w:bidi="en-US"/>
        </w:rPr>
        <w:t xml:space="preserve">hallenges hindering circularity adoption represent another strategic topic, often analysed through </w:t>
      </w:r>
      <w:r w:rsidR="007D4A33">
        <w:rPr>
          <w:rFonts w:ascii="Times New Roman" w:hAnsi="Times New Roman" w:cs="Times New Roman"/>
          <w:sz w:val="24"/>
          <w:szCs w:val="24"/>
          <w:lang w:val="en-GB" w:eastAsia="it-IT" w:bidi="en-US"/>
        </w:rPr>
        <w:t>a</w:t>
      </w:r>
      <w:r w:rsidR="00740D42" w:rsidRPr="00BF6D73">
        <w:rPr>
          <w:rFonts w:ascii="Times New Roman" w:hAnsi="Times New Roman" w:cs="Times New Roman"/>
          <w:sz w:val="24"/>
          <w:szCs w:val="24"/>
          <w:lang w:val="en-GB" w:eastAsia="it-IT" w:bidi="en-US"/>
        </w:rPr>
        <w:t xml:space="preserve"> wide</w:t>
      </w:r>
      <w:r w:rsidR="007D4A33">
        <w:rPr>
          <w:rFonts w:ascii="Times New Roman" w:hAnsi="Times New Roman" w:cs="Times New Roman"/>
          <w:sz w:val="24"/>
          <w:szCs w:val="24"/>
          <w:lang w:val="en-GB" w:eastAsia="it-IT" w:bidi="en-US"/>
        </w:rPr>
        <w:t>r</w:t>
      </w:r>
      <w:r w:rsidR="00740D42" w:rsidRPr="00BF6D73">
        <w:rPr>
          <w:rFonts w:ascii="Times New Roman" w:hAnsi="Times New Roman" w:cs="Times New Roman"/>
          <w:sz w:val="24"/>
          <w:szCs w:val="24"/>
          <w:lang w:val="en-GB" w:eastAsia="it-IT" w:bidi="en-US"/>
        </w:rPr>
        <w:t xml:space="preserve"> perspective of sustainability, not forgetting the role of ICT </w:t>
      </w:r>
      <w:r w:rsidR="007D4A33">
        <w:rPr>
          <w:rFonts w:ascii="Times New Roman" w:hAnsi="Times New Roman" w:cs="Times New Roman"/>
          <w:sz w:val="24"/>
          <w:szCs w:val="24"/>
          <w:lang w:val="en-GB" w:eastAsia="it-IT" w:bidi="en-US"/>
        </w:rPr>
        <w:t>for</w:t>
      </w:r>
      <w:r w:rsidR="00740D42" w:rsidRPr="00BF6D73">
        <w:rPr>
          <w:rFonts w:ascii="Times New Roman" w:hAnsi="Times New Roman" w:cs="Times New Roman"/>
          <w:sz w:val="24"/>
          <w:szCs w:val="24"/>
          <w:lang w:val="en-GB" w:eastAsia="it-IT" w:bidi="en-US"/>
        </w:rPr>
        <w:t xml:space="preserve"> trigger</w:t>
      </w:r>
      <w:r w:rsidR="007D4A33">
        <w:rPr>
          <w:rFonts w:ascii="Times New Roman" w:hAnsi="Times New Roman" w:cs="Times New Roman"/>
          <w:sz w:val="24"/>
          <w:szCs w:val="24"/>
          <w:lang w:val="en-GB" w:eastAsia="it-IT" w:bidi="en-US"/>
        </w:rPr>
        <w:t>ing</w:t>
      </w:r>
      <w:r w:rsidR="00740D42" w:rsidRPr="00BF6D73">
        <w:rPr>
          <w:rFonts w:ascii="Times New Roman" w:hAnsi="Times New Roman" w:cs="Times New Roman"/>
          <w:sz w:val="24"/>
          <w:szCs w:val="24"/>
          <w:lang w:val="en-GB" w:eastAsia="it-IT" w:bidi="en-US"/>
        </w:rPr>
        <w:t xml:space="preserve"> and enabl</w:t>
      </w:r>
      <w:r w:rsidR="007D4A33">
        <w:rPr>
          <w:rFonts w:ascii="Times New Roman" w:hAnsi="Times New Roman" w:cs="Times New Roman"/>
          <w:sz w:val="24"/>
          <w:szCs w:val="24"/>
          <w:lang w:val="en-GB" w:eastAsia="it-IT" w:bidi="en-US"/>
        </w:rPr>
        <w:t>ing</w:t>
      </w:r>
      <w:r w:rsidR="00740D42" w:rsidRPr="00BF6D73">
        <w:rPr>
          <w:rFonts w:ascii="Times New Roman" w:hAnsi="Times New Roman" w:cs="Times New Roman"/>
          <w:sz w:val="24"/>
          <w:szCs w:val="24"/>
          <w:lang w:val="en-GB" w:eastAsia="it-IT" w:bidi="en-US"/>
        </w:rPr>
        <w:t xml:space="preserve"> the adoption of innovative CBM</w:t>
      </w:r>
      <w:r w:rsidR="007D4A33">
        <w:rPr>
          <w:rFonts w:ascii="Times New Roman" w:hAnsi="Times New Roman" w:cs="Times New Roman"/>
          <w:sz w:val="24"/>
          <w:szCs w:val="24"/>
          <w:lang w:val="en-GB" w:eastAsia="it-IT" w:bidi="en-US"/>
        </w:rPr>
        <w:t>s</w:t>
      </w:r>
      <w:r w:rsidR="00740D42">
        <w:rPr>
          <w:lang w:val="en-GB" w:bidi="en-US"/>
        </w:rPr>
        <w:t>.</w:t>
      </w:r>
      <w:r w:rsidR="00740D42" w:rsidRPr="00746DB3">
        <w:rPr>
          <w:rFonts w:ascii="Times New Roman" w:hAnsi="Times New Roman" w:cs="Times New Roman"/>
          <w:sz w:val="24"/>
          <w:szCs w:val="24"/>
          <w:lang w:val="en-GB" w:bidi="en-US"/>
        </w:rPr>
        <w:t xml:space="preserve"> </w:t>
      </w:r>
      <w:r w:rsidR="007D4A33">
        <w:rPr>
          <w:rFonts w:ascii="Times New Roman" w:hAnsi="Times New Roman" w:cs="Times New Roman"/>
          <w:sz w:val="24"/>
          <w:szCs w:val="24"/>
          <w:lang w:val="en-GB" w:bidi="en-US"/>
        </w:rPr>
        <w:t>Here</w:t>
      </w:r>
      <w:r w:rsidR="00740D42" w:rsidRPr="00746DB3">
        <w:rPr>
          <w:rFonts w:ascii="Times New Roman" w:hAnsi="Times New Roman" w:cs="Times New Roman"/>
          <w:sz w:val="24"/>
          <w:szCs w:val="24"/>
          <w:lang w:val="en-GB" w:bidi="en-US"/>
        </w:rPr>
        <w:t>, supply chain and lean concepts are still under-investigated</w:t>
      </w:r>
      <w:r w:rsidR="00740D42" w:rsidRPr="003B528D">
        <w:rPr>
          <w:rFonts w:ascii="Times New Roman" w:hAnsi="Times New Roman" w:cs="Times New Roman"/>
          <w:sz w:val="24"/>
          <w:szCs w:val="24"/>
          <w:lang w:val="en-GB" w:eastAsia="it-IT" w:bidi="en-US"/>
        </w:rPr>
        <w:t>;</w:t>
      </w:r>
      <w:r w:rsidR="00740D42" w:rsidRPr="00BF6D73">
        <w:rPr>
          <w:rFonts w:ascii="Times New Roman" w:hAnsi="Times New Roman" w:cs="Times New Roman"/>
          <w:sz w:val="24"/>
          <w:szCs w:val="24"/>
          <w:lang w:val="en-GB" w:eastAsia="it-IT" w:bidi="en-US"/>
        </w:rPr>
        <w:t xml:space="preserve"> </w:t>
      </w:r>
    </w:p>
    <w:p w14:paraId="0D84017A" w14:textId="21A7EDD7" w:rsidR="00740D42" w:rsidRPr="00BF6D73" w:rsidRDefault="00D30A3E" w:rsidP="00746DB3">
      <w:pPr>
        <w:pStyle w:val="Paragrafoelenco"/>
        <w:numPr>
          <w:ilvl w:val="0"/>
          <w:numId w:val="42"/>
        </w:numPr>
        <w:spacing w:after="240" w:line="360" w:lineRule="auto"/>
        <w:ind w:left="426" w:hanging="426"/>
        <w:rPr>
          <w:rFonts w:ascii="Times New Roman" w:hAnsi="Times New Roman" w:cs="Times New Roman"/>
          <w:sz w:val="24"/>
          <w:szCs w:val="24"/>
          <w:lang w:val="en-GB" w:eastAsia="it-IT" w:bidi="en-US"/>
        </w:rPr>
      </w:pPr>
      <w:r>
        <w:rPr>
          <w:rFonts w:ascii="Times New Roman" w:hAnsi="Times New Roman" w:cs="Times New Roman"/>
          <w:sz w:val="24"/>
          <w:szCs w:val="24"/>
          <w:lang w:val="en-GB" w:eastAsia="it-IT" w:bidi="en-US"/>
        </w:rPr>
        <w:t>Innovative lifecycle and circularity performance assessment tools</w:t>
      </w:r>
      <w:r w:rsidR="00740D42" w:rsidRPr="00BF6D73">
        <w:rPr>
          <w:rFonts w:ascii="Times New Roman" w:hAnsi="Times New Roman" w:cs="Times New Roman"/>
          <w:sz w:val="24"/>
          <w:szCs w:val="24"/>
          <w:lang w:val="en-GB" w:eastAsia="it-IT" w:bidi="en-US"/>
        </w:rPr>
        <w:t xml:space="preserve"> support</w:t>
      </w:r>
      <w:r>
        <w:rPr>
          <w:rFonts w:ascii="Times New Roman" w:hAnsi="Times New Roman" w:cs="Times New Roman"/>
          <w:sz w:val="24"/>
          <w:szCs w:val="24"/>
          <w:lang w:val="en-GB" w:eastAsia="it-IT" w:bidi="en-US"/>
        </w:rPr>
        <w:t>ing</w:t>
      </w:r>
      <w:r w:rsidR="00740D42" w:rsidRPr="00BF6D73">
        <w:rPr>
          <w:rFonts w:ascii="Times New Roman" w:hAnsi="Times New Roman" w:cs="Times New Roman"/>
          <w:sz w:val="24"/>
          <w:szCs w:val="24"/>
          <w:lang w:val="en-GB" w:eastAsia="it-IT" w:bidi="en-US"/>
        </w:rPr>
        <w:t xml:space="preserve"> decision</w:t>
      </w:r>
      <w:r>
        <w:rPr>
          <w:rFonts w:ascii="Times New Roman" w:hAnsi="Times New Roman" w:cs="Times New Roman"/>
          <w:sz w:val="24"/>
          <w:szCs w:val="24"/>
          <w:lang w:val="en-GB" w:eastAsia="it-IT" w:bidi="en-US"/>
        </w:rPr>
        <w:t>-</w:t>
      </w:r>
      <w:r w:rsidR="00740D42" w:rsidRPr="00BF6D73">
        <w:rPr>
          <w:rFonts w:ascii="Times New Roman" w:hAnsi="Times New Roman" w:cs="Times New Roman"/>
          <w:sz w:val="24"/>
          <w:szCs w:val="24"/>
          <w:lang w:val="en-GB" w:eastAsia="it-IT" w:bidi="en-US"/>
        </w:rPr>
        <w:t>making</w:t>
      </w:r>
      <w:r>
        <w:rPr>
          <w:rFonts w:ascii="Times New Roman" w:hAnsi="Times New Roman" w:cs="Times New Roman"/>
          <w:sz w:val="24"/>
          <w:szCs w:val="24"/>
          <w:lang w:val="en-GB" w:eastAsia="it-IT" w:bidi="en-US"/>
        </w:rPr>
        <w:t xml:space="preserve"> processes</w:t>
      </w:r>
      <w:r w:rsidR="009A3BCD">
        <w:rPr>
          <w:rFonts w:ascii="Times New Roman" w:hAnsi="Times New Roman" w:cs="Times New Roman"/>
          <w:sz w:val="24"/>
          <w:szCs w:val="24"/>
          <w:lang w:val="en-GB" w:eastAsia="it-IT" w:bidi="en-US"/>
        </w:rPr>
        <w:t xml:space="preserve"> are either too </w:t>
      </w:r>
      <w:r w:rsidR="00907772">
        <w:rPr>
          <w:rFonts w:ascii="Times New Roman" w:hAnsi="Times New Roman" w:cs="Times New Roman"/>
          <w:sz w:val="24"/>
          <w:szCs w:val="24"/>
          <w:lang w:val="en-GB" w:eastAsia="it-IT" w:bidi="en-US"/>
        </w:rPr>
        <w:t>simple or</w:t>
      </w:r>
      <w:r w:rsidR="009A3BCD">
        <w:rPr>
          <w:rFonts w:ascii="Times New Roman" w:hAnsi="Times New Roman" w:cs="Times New Roman"/>
          <w:sz w:val="24"/>
          <w:szCs w:val="24"/>
          <w:lang w:val="en-GB" w:eastAsia="it-IT" w:bidi="en-US"/>
        </w:rPr>
        <w:t xml:space="preserve"> </w:t>
      </w:r>
      <w:r w:rsidR="00907772">
        <w:rPr>
          <w:rFonts w:ascii="Times New Roman" w:hAnsi="Times New Roman" w:cs="Times New Roman"/>
          <w:sz w:val="24"/>
          <w:szCs w:val="24"/>
          <w:lang w:val="en-GB" w:eastAsia="it-IT" w:bidi="en-US"/>
        </w:rPr>
        <w:t xml:space="preserve">completely </w:t>
      </w:r>
      <w:r w:rsidR="009A3BCD">
        <w:rPr>
          <w:rFonts w:ascii="Times New Roman" w:hAnsi="Times New Roman" w:cs="Times New Roman"/>
          <w:sz w:val="24"/>
          <w:szCs w:val="24"/>
          <w:lang w:val="en-GB" w:eastAsia="it-IT" w:bidi="en-US"/>
        </w:rPr>
        <w:t>missing</w:t>
      </w:r>
      <w:r w:rsidR="00740D42" w:rsidRPr="00BF6D73">
        <w:rPr>
          <w:rFonts w:ascii="Times New Roman" w:hAnsi="Times New Roman" w:cs="Times New Roman"/>
          <w:sz w:val="24"/>
          <w:szCs w:val="24"/>
          <w:lang w:val="en-GB" w:eastAsia="it-IT" w:bidi="en-US"/>
        </w:rPr>
        <w:t xml:space="preserve"> </w:t>
      </w:r>
      <w:r w:rsidR="00740D42" w:rsidRPr="00BF6D73">
        <w:rPr>
          <w:rFonts w:ascii="Times New Roman" w:hAnsi="Times New Roman" w:cs="Times New Roman"/>
          <w:sz w:val="24"/>
          <w:szCs w:val="24"/>
          <w:lang w:val="en-GB" w:eastAsia="it-IT" w:bidi="en-US"/>
        </w:rPr>
        <w:fldChar w:fldCharType="begin" w:fldLock="1"/>
      </w:r>
      <w:r w:rsidR="003445CC">
        <w:rPr>
          <w:rFonts w:ascii="Times New Roman" w:hAnsi="Times New Roman" w:cs="Times New Roman"/>
          <w:sz w:val="24"/>
          <w:szCs w:val="24"/>
          <w:lang w:val="en-GB" w:eastAsia="it-IT" w:bidi="en-US"/>
        </w:rPr>
        <w:instrText>ADDIN CSL_CITATION {"citationItems":[{"id":"ITEM-1","itemData":{"DOI":"10.1016/j.jclepro.2019.05.019","ISSN":"09596526","author":[{"dropping-particle":"","family":"Sassanelli","given":"Claudio","non-dropping-particle":"","parse-names":false,"suffix":""},{"dropping-particle":"","family":"Rosa","given":"Paolo","non-dropping-particle":"","parse-names":false,"suffix":""},{"dropping-particle":"","family":"Rocca","given":"Roberto","non-dropping-particle":"","parse-names":false,"suffix":""},{"dropping-particle":"","family":"Terzi","given":"Sergio","non-dropping-particle":"","parse-names":false,"suffix":""}],"container-title":"Journal of Cleaner Production","id":"ITEM-1","issued":{"date-parts":[["2019"]]},"page":"440-453","publisher":"Elsevier B.V.","title":"Circular Economy performance assessment methods: a systematic literature review","type":"article-journal","volume":"229"},"uris":["http://www.mendeley.com/documents/?uuid=820a475a-30e8-46cb-8e6a-6796a84a8a49"]}],"mendeley":{"formattedCitation":"(Sassanelli et al., 2019)","plainTextFormattedCitation":"(Sassanelli et al., 2019)","previouslyFormattedCitation":"(Sassanelli et al., 2019)"},"properties":{"noteIndex":0},"schema":"https://github.com/citation-style-language/schema/raw/master/csl-citation.json"}</w:instrText>
      </w:r>
      <w:r w:rsidR="00740D42" w:rsidRPr="00BF6D73">
        <w:rPr>
          <w:rFonts w:ascii="Times New Roman" w:hAnsi="Times New Roman" w:cs="Times New Roman"/>
          <w:sz w:val="24"/>
          <w:szCs w:val="24"/>
          <w:lang w:val="en-GB" w:eastAsia="it-IT" w:bidi="en-US"/>
        </w:rPr>
        <w:fldChar w:fldCharType="separate"/>
      </w:r>
      <w:r w:rsidR="00740D42" w:rsidRPr="00BF6D73">
        <w:rPr>
          <w:rFonts w:ascii="Times New Roman" w:hAnsi="Times New Roman" w:cs="Times New Roman"/>
          <w:noProof/>
          <w:sz w:val="24"/>
          <w:szCs w:val="24"/>
          <w:lang w:val="en-GB" w:eastAsia="it-IT" w:bidi="en-US"/>
        </w:rPr>
        <w:t>(Sassanelli et al., 2019)</w:t>
      </w:r>
      <w:r w:rsidR="00740D42" w:rsidRPr="00BF6D73">
        <w:rPr>
          <w:rFonts w:ascii="Times New Roman" w:hAnsi="Times New Roman" w:cs="Times New Roman"/>
          <w:sz w:val="24"/>
          <w:szCs w:val="24"/>
          <w:lang w:val="en-GB" w:eastAsia="it-IT" w:bidi="en-US"/>
        </w:rPr>
        <w:fldChar w:fldCharType="end"/>
      </w:r>
      <w:r w:rsidR="00740D42" w:rsidRPr="00BF6D73">
        <w:rPr>
          <w:rFonts w:ascii="Times New Roman" w:hAnsi="Times New Roman" w:cs="Times New Roman"/>
          <w:sz w:val="24"/>
          <w:szCs w:val="24"/>
          <w:lang w:val="en-GB" w:eastAsia="it-IT" w:bidi="en-US"/>
        </w:rPr>
        <w:t xml:space="preserve"> and digital technologies</w:t>
      </w:r>
      <w:r w:rsidR="006D2390">
        <w:rPr>
          <w:rFonts w:ascii="Times New Roman" w:hAnsi="Times New Roman" w:cs="Times New Roman"/>
          <w:sz w:val="24"/>
          <w:szCs w:val="24"/>
          <w:lang w:val="en-GB" w:eastAsia="it-IT" w:bidi="en-US"/>
        </w:rPr>
        <w:t xml:space="preserve"> are not yet </w:t>
      </w:r>
      <w:r w:rsidR="00011FC7">
        <w:rPr>
          <w:rFonts w:ascii="Times New Roman" w:hAnsi="Times New Roman" w:cs="Times New Roman"/>
          <w:sz w:val="24"/>
          <w:szCs w:val="24"/>
          <w:lang w:val="en-GB" w:eastAsia="it-IT" w:bidi="en-US"/>
        </w:rPr>
        <w:t>exploited in the correct way</w:t>
      </w:r>
      <w:r w:rsidR="00740D42" w:rsidRPr="00BF6D73">
        <w:rPr>
          <w:rFonts w:ascii="Times New Roman" w:hAnsi="Times New Roman" w:cs="Times New Roman"/>
          <w:sz w:val="24"/>
          <w:szCs w:val="24"/>
          <w:lang w:val="en-GB" w:eastAsia="it-IT" w:bidi="en-US"/>
        </w:rPr>
        <w:t>.</w:t>
      </w:r>
    </w:p>
    <w:p w14:paraId="793DE445" w14:textId="2DA3B4E8" w:rsidR="00B72E08" w:rsidRPr="00402AEC" w:rsidRDefault="00EE787D" w:rsidP="00203660">
      <w:pPr>
        <w:spacing w:after="240" w:line="360" w:lineRule="auto"/>
        <w:jc w:val="both"/>
        <w:rPr>
          <w:lang w:val="en-GB" w:bidi="en-US"/>
        </w:rPr>
      </w:pPr>
      <w:r>
        <w:rPr>
          <w:lang w:val="en-GB" w:bidi="en-US"/>
        </w:rPr>
        <w:t>Within this</w:t>
      </w:r>
      <w:r w:rsidR="00740D42">
        <w:rPr>
          <w:lang w:val="en-GB" w:bidi="en-US"/>
        </w:rPr>
        <w:t xml:space="preserve"> complex scenario, t</w:t>
      </w:r>
      <w:r w:rsidR="00DE1215" w:rsidRPr="00402AEC">
        <w:rPr>
          <w:lang w:val="en-GB" w:bidi="en-US"/>
        </w:rPr>
        <w:t xml:space="preserve">he most common BMs described in literature when speaking about CE are represented by recycling practices and use-oriented PSSs. </w:t>
      </w:r>
      <w:r w:rsidR="00D73EF2">
        <w:rPr>
          <w:lang w:val="en-GB" w:bidi="en-US"/>
        </w:rPr>
        <w:t>However</w:t>
      </w:r>
      <w:r w:rsidR="00DE1215" w:rsidRPr="00402AEC">
        <w:rPr>
          <w:lang w:val="en-GB" w:bidi="en-US"/>
        </w:rPr>
        <w:t xml:space="preserve">, there are other BMs widely considered like a real application of CE. </w:t>
      </w:r>
      <w:r w:rsidR="00D73EF2" w:rsidRPr="00402AEC">
        <w:rPr>
          <w:lang w:val="en-GB" w:bidi="en-US"/>
        </w:rPr>
        <w:t>The</w:t>
      </w:r>
      <w:r w:rsidR="00D73EF2">
        <w:rPr>
          <w:lang w:val="en-GB" w:bidi="en-US"/>
        </w:rPr>
        <w:t>y</w:t>
      </w:r>
      <w:r w:rsidR="00D73EF2" w:rsidRPr="00402AEC">
        <w:rPr>
          <w:lang w:val="en-GB" w:bidi="en-US"/>
        </w:rPr>
        <w:t xml:space="preserve"> </w:t>
      </w:r>
      <w:r w:rsidR="00DE1215" w:rsidRPr="00402AEC">
        <w:rPr>
          <w:lang w:val="en-GB" w:bidi="en-US"/>
        </w:rPr>
        <w:t>are focused on bio-based/secondary materials exploitation, reuse and refurbishing/remanufacturing practices, result-oriented and product-oriented PSSs and industrial symbiosis. Finally, there are other CBMs not so commonly described in literature. These are focused on renewable energies, co-ownership and co-access, repair practices, product dematerialization and new technologies.</w:t>
      </w:r>
      <w:r w:rsidR="00B5799B" w:rsidRPr="00402AEC">
        <w:rPr>
          <w:lang w:val="en-GB" w:bidi="en-US"/>
        </w:rPr>
        <w:t xml:space="preserve"> </w:t>
      </w:r>
      <w:r w:rsidR="00DE1215" w:rsidRPr="00402AEC">
        <w:rPr>
          <w:lang w:val="en-GB" w:bidi="en-US"/>
        </w:rPr>
        <w:t>What is evident from the presented literature is that there is a big research gap in terms of new ideas on how to practically transform a linear BM in</w:t>
      </w:r>
      <w:r w:rsidR="00821307">
        <w:rPr>
          <w:lang w:val="en-GB" w:bidi="en-US"/>
        </w:rPr>
        <w:t>to</w:t>
      </w:r>
      <w:r w:rsidR="00DE1215" w:rsidRPr="00402AEC">
        <w:rPr>
          <w:lang w:val="en-GB" w:bidi="en-US"/>
        </w:rPr>
        <w:t xml:space="preserve"> a circular </w:t>
      </w:r>
      <w:r w:rsidR="00DE1215" w:rsidRPr="00402AEC">
        <w:rPr>
          <w:lang w:val="en-GB" w:bidi="en-US"/>
        </w:rPr>
        <w:lastRenderedPageBreak/>
        <w:t xml:space="preserve">one. Just in very few cases </w:t>
      </w:r>
      <w:r w:rsidR="00B5799B" w:rsidRPr="00402AEC">
        <w:rPr>
          <w:lang w:val="en-GB" w:bidi="en-US"/>
        </w:rPr>
        <w:t>experts</w:t>
      </w:r>
      <w:r w:rsidR="00DE1215" w:rsidRPr="00402AEC">
        <w:rPr>
          <w:lang w:val="en-GB" w:bidi="en-US"/>
        </w:rPr>
        <w:t xml:space="preserve"> present</w:t>
      </w:r>
      <w:r w:rsidR="00821307">
        <w:rPr>
          <w:lang w:val="en-GB" w:bidi="en-US"/>
        </w:rPr>
        <w:t>ed</w:t>
      </w:r>
      <w:r w:rsidR="00DE1215" w:rsidRPr="00402AEC">
        <w:rPr>
          <w:lang w:val="en-GB" w:bidi="en-US"/>
        </w:rPr>
        <w:t xml:space="preserve"> innovative ideas and implement</w:t>
      </w:r>
      <w:r w:rsidR="00821307">
        <w:rPr>
          <w:lang w:val="en-GB" w:bidi="en-US"/>
        </w:rPr>
        <w:t>ed</w:t>
      </w:r>
      <w:r w:rsidR="00DE1215" w:rsidRPr="00402AEC">
        <w:rPr>
          <w:lang w:val="en-GB" w:bidi="en-US"/>
        </w:rPr>
        <w:t xml:space="preserve"> them in</w:t>
      </w:r>
      <w:r w:rsidR="00B5799B" w:rsidRPr="00402AEC">
        <w:rPr>
          <w:lang w:val="en-GB" w:bidi="en-US"/>
        </w:rPr>
        <w:t>to</w:t>
      </w:r>
      <w:r w:rsidR="00DE1215" w:rsidRPr="00402AEC">
        <w:rPr>
          <w:lang w:val="en-GB" w:bidi="en-US"/>
        </w:rPr>
        <w:t xml:space="preserve"> practice. From one side, theoretical concepts are given usually like a suggestion to companies and politicians, without explaining the logical procedure to follow for their implementation. From another side, best practices are described like a complex mix of mechanisms not always comprehensible and adoptable by </w:t>
      </w:r>
      <w:r w:rsidR="008C5D3F" w:rsidRPr="00402AEC">
        <w:rPr>
          <w:lang w:val="en-GB" w:bidi="en-US"/>
        </w:rPr>
        <w:t>SMEs</w:t>
      </w:r>
      <w:r w:rsidR="00DE1215" w:rsidRPr="00402AEC">
        <w:rPr>
          <w:lang w:val="en-GB" w:bidi="en-US"/>
        </w:rPr>
        <w:t xml:space="preserve">. Again, the involvement of common people in current industrial CBMs is almost absent from the reference literature. </w:t>
      </w:r>
      <w:r w:rsidR="00336804" w:rsidRPr="00402AEC">
        <w:rPr>
          <w:lang w:val="en-GB" w:bidi="en-US"/>
        </w:rPr>
        <w:t>It has also to be highlighted the attention deserved to PSSs</w:t>
      </w:r>
      <w:r w:rsidR="00B72E08" w:rsidRPr="00402AEC">
        <w:rPr>
          <w:lang w:val="en-GB" w:bidi="en-US"/>
        </w:rPr>
        <w:t xml:space="preserve">. Indeed, 25 authors </w:t>
      </w:r>
      <w:r w:rsidR="005F3352" w:rsidRPr="00402AEC">
        <w:rPr>
          <w:lang w:val="en-GB" w:bidi="en-US"/>
        </w:rPr>
        <w:t xml:space="preserve">out </w:t>
      </w:r>
      <w:r w:rsidR="00B72E08" w:rsidRPr="00402AEC">
        <w:rPr>
          <w:lang w:val="en-GB" w:bidi="en-US"/>
        </w:rPr>
        <w:t>of 65 reported PSSs as suggested practices to move towards CE</w:t>
      </w:r>
      <w:r w:rsidR="005F3352" w:rsidRPr="00402AEC">
        <w:rPr>
          <w:lang w:val="en-GB" w:bidi="en-US"/>
        </w:rPr>
        <w:t>.</w:t>
      </w:r>
      <w:r w:rsidR="00B72E08" w:rsidRPr="00402AEC">
        <w:rPr>
          <w:lang w:val="en-GB" w:bidi="en-US"/>
        </w:rPr>
        <w:t xml:space="preserve"> </w:t>
      </w:r>
      <w:r w:rsidR="004D7FCE" w:rsidRPr="00402AEC">
        <w:rPr>
          <w:lang w:val="en-GB" w:bidi="en-US"/>
        </w:rPr>
        <w:t>More in detail,</w:t>
      </w:r>
      <w:r w:rsidR="00B72E08" w:rsidRPr="00402AEC">
        <w:rPr>
          <w:lang w:val="en-GB" w:bidi="en-US"/>
        </w:rPr>
        <w:t xml:space="preserve"> 12 </w:t>
      </w:r>
      <w:r w:rsidR="00026C52">
        <w:rPr>
          <w:lang w:val="en-GB" w:bidi="en-US"/>
        </w:rPr>
        <w:t xml:space="preserve">papers </w:t>
      </w:r>
      <w:r w:rsidR="00B72E08" w:rsidRPr="00402AEC">
        <w:rPr>
          <w:lang w:val="en-GB" w:bidi="en-US"/>
        </w:rPr>
        <w:t xml:space="preserve">proposed only one </w:t>
      </w:r>
      <w:r w:rsidR="00776644" w:rsidRPr="00402AEC">
        <w:rPr>
          <w:lang w:val="en-GB" w:bidi="en-US"/>
        </w:rPr>
        <w:t xml:space="preserve">type </w:t>
      </w:r>
      <w:r w:rsidR="00776644">
        <w:rPr>
          <w:lang w:val="en-GB" w:bidi="en-US"/>
        </w:rPr>
        <w:t xml:space="preserve">of </w:t>
      </w:r>
      <w:r w:rsidR="004D7FCE" w:rsidRPr="00402AEC">
        <w:rPr>
          <w:lang w:val="en-GB" w:bidi="en-US"/>
        </w:rPr>
        <w:t>PSS</w:t>
      </w:r>
      <w:r w:rsidR="00B72E08" w:rsidRPr="00402AEC">
        <w:rPr>
          <w:lang w:val="en-GB" w:bidi="en-US"/>
        </w:rPr>
        <w:t>.</w:t>
      </w:r>
      <w:r w:rsidR="00FE378C" w:rsidRPr="00402AEC">
        <w:rPr>
          <w:lang w:val="en-GB" w:bidi="en-US"/>
        </w:rPr>
        <w:t xml:space="preserve"> </w:t>
      </w:r>
      <w:r w:rsidR="00B72E08" w:rsidRPr="00402AEC">
        <w:rPr>
          <w:lang w:val="en-GB" w:bidi="en-US"/>
        </w:rPr>
        <w:t>P</w:t>
      </w:r>
      <w:r w:rsidR="00FE378C" w:rsidRPr="00402AEC">
        <w:rPr>
          <w:lang w:val="en-GB" w:bidi="en-US"/>
        </w:rPr>
        <w:t>robably</w:t>
      </w:r>
      <w:r w:rsidR="005C3A60">
        <w:rPr>
          <w:lang w:val="en-GB" w:bidi="en-US"/>
        </w:rPr>
        <w:t>,</w:t>
      </w:r>
      <w:r w:rsidR="00FE378C" w:rsidRPr="00402AEC">
        <w:rPr>
          <w:lang w:val="en-GB" w:bidi="en-US"/>
        </w:rPr>
        <w:t xml:space="preserve"> </w:t>
      </w:r>
      <w:r w:rsidR="00B72E08" w:rsidRPr="00402AEC">
        <w:rPr>
          <w:lang w:val="en-GB" w:bidi="en-US"/>
        </w:rPr>
        <w:t xml:space="preserve">this </w:t>
      </w:r>
      <w:r w:rsidR="00F647F1">
        <w:rPr>
          <w:lang w:val="en-GB" w:bidi="en-US"/>
        </w:rPr>
        <w:t xml:space="preserve">trend </w:t>
      </w:r>
      <w:r w:rsidR="005C3A60">
        <w:rPr>
          <w:lang w:val="en-GB" w:bidi="en-US"/>
        </w:rPr>
        <w:t xml:space="preserve">can be explained </w:t>
      </w:r>
      <w:r w:rsidR="00FE378C" w:rsidRPr="00402AEC">
        <w:rPr>
          <w:lang w:val="en-GB" w:bidi="en-US"/>
        </w:rPr>
        <w:t xml:space="preserve">since </w:t>
      </w:r>
      <w:r w:rsidR="00B72E08" w:rsidRPr="00402AEC">
        <w:rPr>
          <w:lang w:val="en-GB" w:bidi="en-US"/>
        </w:rPr>
        <w:t>PSSs</w:t>
      </w:r>
      <w:r w:rsidR="00FE378C" w:rsidRPr="00402AEC">
        <w:rPr>
          <w:lang w:val="en-GB" w:bidi="en-US"/>
        </w:rPr>
        <w:t xml:space="preserve"> </w:t>
      </w:r>
      <w:r w:rsidR="00DF57C1" w:rsidRPr="00402AEC">
        <w:rPr>
          <w:lang w:val="en-GB" w:bidi="en-US"/>
        </w:rPr>
        <w:t xml:space="preserve">can </w:t>
      </w:r>
      <w:r w:rsidR="00532B74">
        <w:rPr>
          <w:lang w:val="en-GB" w:bidi="en-US"/>
        </w:rPr>
        <w:t>be related with</w:t>
      </w:r>
      <w:r w:rsidR="00793C7B" w:rsidRPr="00402AEC">
        <w:rPr>
          <w:lang w:val="en-GB" w:bidi="en-US"/>
        </w:rPr>
        <w:t xml:space="preserve"> </w:t>
      </w:r>
      <w:r w:rsidR="00DF57C1" w:rsidRPr="00402AEC">
        <w:rPr>
          <w:lang w:val="en-GB" w:bidi="en-US"/>
        </w:rPr>
        <w:t xml:space="preserve">eight different archetypes </w:t>
      </w:r>
      <w:r w:rsidR="00DF57C1" w:rsidRPr="009601F2">
        <w:rPr>
          <w:lang w:val="en-GB" w:bidi="en-US"/>
        </w:rPr>
        <w:fldChar w:fldCharType="begin" w:fldLock="1"/>
      </w:r>
      <w:r w:rsidR="003445CC">
        <w:rPr>
          <w:lang w:val="en-GB" w:bidi="en-US"/>
        </w:rPr>
        <w:instrText>ADDIN CSL_CITATION {"citationItems":[{"id":"ITEM-1","itemData":{"DOI":"10.1002/bse.414","ISSN":"09644733","abstract":"Function-oriented business models or product-service systems (PSSs) are often seen as an excellent means for achieving 'factor 4'. SusProNet, an EU network on PSSs, showed a more complicated reality. At least eight different types of PSS exist, with quite diverging economic and environmental characteristics. The economic potential of each type was evaluated in terms of (i) tangible and intangible value for the user, (ii) tangible costs and risk premium for the provider, (iii) capital/investment needs and (iv) issues such as the providers' position in the value chain and client relations. The environmental potential was evaluated by checking the relevance of certain impact reduction mechanisms (e.g. more intensive use of capital goods, inherent incentives for sustainable user and provider behaviour etc.). Most PSS types will result in marginal environmental improvements at best. The exception is the PSS type known as functional results, but here liability and risk premium issues, amongst others, need a solution. © 2004 John Wiley and Sons, Ltd and ERP Environment.","author":[{"dropping-particle":"","family":"Tukker","given":"Arnold","non-dropping-particle":"","parse-names":false,"suffix":""}],"container-title":"Business Strategy and the Environment","id":"ITEM-1","issue":"4","issued":{"date-parts":[["2004"]]},"page":"246-260","title":"Eight types of product-service system: Eight ways to sustainability? Experiences from suspronet","type":"article-journal","volume":"13"},"uris":["http://www.mendeley.com/documents/?uuid=5ba688cc-0e22-4ef9-8e4d-383e9f4c3acd"]}],"mendeley":{"formattedCitation":"(Tukker, 2004)","plainTextFormattedCitation":"(Tukker, 2004)","previouslyFormattedCitation":"(Tukker, 2004)"},"properties":{"noteIndex":0},"schema":"https://github.com/citation-style-language/schema/raw/master/csl-citation.json"}</w:instrText>
      </w:r>
      <w:r w:rsidR="00DF57C1" w:rsidRPr="009601F2">
        <w:rPr>
          <w:lang w:val="en-GB" w:bidi="en-US"/>
        </w:rPr>
        <w:fldChar w:fldCharType="separate"/>
      </w:r>
      <w:r w:rsidR="00DF57C1" w:rsidRPr="00402AEC">
        <w:rPr>
          <w:noProof/>
          <w:lang w:val="en-GB" w:bidi="en-US"/>
        </w:rPr>
        <w:t>(Tukker, 2004)</w:t>
      </w:r>
      <w:r w:rsidR="00DF57C1" w:rsidRPr="009601F2">
        <w:rPr>
          <w:lang w:val="en-GB" w:bidi="en-US"/>
        </w:rPr>
        <w:fldChar w:fldCharType="end"/>
      </w:r>
      <w:r w:rsidR="00DF57C1" w:rsidRPr="00402AEC">
        <w:rPr>
          <w:lang w:val="en-GB" w:bidi="en-US"/>
        </w:rPr>
        <w:t xml:space="preserve"> and several types of product</w:t>
      </w:r>
      <w:r w:rsidR="003D1147" w:rsidRPr="00402AEC">
        <w:rPr>
          <w:lang w:val="en-GB" w:bidi="en-US"/>
        </w:rPr>
        <w:t>-</w:t>
      </w:r>
      <w:r w:rsidR="00DF57C1" w:rsidRPr="00402AEC">
        <w:rPr>
          <w:lang w:val="en-GB" w:bidi="en-US"/>
        </w:rPr>
        <w:t xml:space="preserve">related services </w:t>
      </w:r>
      <w:r w:rsidR="00DF57C1" w:rsidRPr="009601F2">
        <w:rPr>
          <w:lang w:val="en-GB" w:bidi="en-US"/>
        </w:rPr>
        <w:fldChar w:fldCharType="begin" w:fldLock="1"/>
      </w:r>
      <w:r w:rsidR="004055AA" w:rsidRPr="00402AEC">
        <w:rPr>
          <w:lang w:val="en-GB" w:bidi="en-US"/>
        </w:rPr>
        <w:instrText>ADDIN CSL_CITATION {"citationItems":[{"id":"ITEM-1","itemData":{"DOI":"10.1016/j.jclepro.2013.11.032","ISBN":"0959-6526","ISSN":"09596526","abstract":"Organisations have been approaching servitisation in an unstructured fashion. This is partially because there is insufficient understanding of the different types of Product-Service offerings. Therefore, a more detailed understanding of Product-Service types might advance the collective knowledge and assist organisations that are considering a servitisation strategy. Current models discuss specific aspects on the basis of few (or sometimes single) dimensions. In this paper, we develop a comprehensive model for classifying traditional and green Product-Service offerings, thus combining business and green offerings in a single model. We describe the model building process and its practical application in a case study. The model reveals the various traditional and green options available to companies and identifies how to compete between services; it allows servitisation positions to be identified such that a company may track its journey over time. Finally it fosters the introduction of innovative Product-Service Systems as promising business models to address environmental and social challenges. ?? 2013 Elsevier Ltd. All rights reserved.","author":[{"dropping-particle":"","family":"Gaiardelli","given":"Paolo","non-dropping-particle":"","parse-names":false,"suffix":""},{"dropping-particle":"","family":"Resta","given":"Barbara","non-dropping-particle":"","parse-names":false,"suffix":""},{"dropping-particle":"","family":"Martinez","given":"Veronica","non-dropping-particle":"","parse-names":false,"suffix":""},{"dropping-particle":"","family":"Pinto","given":"Roberto","non-dropping-particle":"","parse-names":false,"suffix":""},{"dropping-particle":"","family":"Albores","given":"Pavel","non-dropping-particle":"","parse-names":false,"suffix":""}],"container-title":"Journal of Cleaner Production","id":"ITEM-1","issued":{"date-parts":[["2014"]]},"page":"507-519","title":"A Classification Model for Product-Service Offerings","type":"article-journal","volume":"66"},"uris":["http://www.mendeley.com/documents/?uuid=85b14a8c-2618-4906-a181-02b3ee71430e","http://www.mendeley.com/documents/?uuid=ce4daefd-0f0f-492a-88e0-e3aa5d5fe32a"]}],"mendeley":{"formattedCitation":"(Gaiardelli et al., 2014)","plainTextFormattedCitation":"(Gaiardelli et al., 2014)","previouslyFormattedCitation":"(Gaiardelli et al., 2014)"},"properties":{"noteIndex":0},"schema":"https://github.com/citation-style-language/schema/raw/master/csl-citation.json"}</w:instrText>
      </w:r>
      <w:r w:rsidR="00DF57C1" w:rsidRPr="009601F2">
        <w:rPr>
          <w:lang w:val="en-GB" w:bidi="en-US"/>
        </w:rPr>
        <w:fldChar w:fldCharType="separate"/>
      </w:r>
      <w:r w:rsidR="00DF57C1" w:rsidRPr="00402AEC">
        <w:rPr>
          <w:noProof/>
          <w:lang w:val="en-GB" w:bidi="en-US"/>
        </w:rPr>
        <w:t>(Gaiardelli et al., 2014)</w:t>
      </w:r>
      <w:r w:rsidR="00DF57C1" w:rsidRPr="009601F2">
        <w:rPr>
          <w:lang w:val="en-GB" w:bidi="en-US"/>
        </w:rPr>
        <w:fldChar w:fldCharType="end"/>
      </w:r>
      <w:r w:rsidR="00FE378C" w:rsidRPr="00402AEC">
        <w:rPr>
          <w:lang w:val="en-GB" w:bidi="en-US"/>
        </w:rPr>
        <w:t xml:space="preserve">. </w:t>
      </w:r>
      <w:r w:rsidR="00CA4C27">
        <w:rPr>
          <w:lang w:val="en-GB" w:bidi="en-US"/>
        </w:rPr>
        <w:t>However,</w:t>
      </w:r>
      <w:r w:rsidR="00B72E08" w:rsidRPr="00402AEC">
        <w:rPr>
          <w:lang w:val="en-GB" w:bidi="en-US"/>
        </w:rPr>
        <w:t xml:space="preserve"> only </w:t>
      </w:r>
      <w:r w:rsidR="003D1147" w:rsidRPr="00402AEC">
        <w:rPr>
          <w:lang w:val="en-GB" w:bidi="en-US"/>
        </w:rPr>
        <w:t xml:space="preserve">in </w:t>
      </w:r>
      <w:r w:rsidR="00003635">
        <w:rPr>
          <w:lang w:val="en-GB" w:bidi="en-US"/>
        </w:rPr>
        <w:t>3</w:t>
      </w:r>
      <w:r w:rsidR="00003635" w:rsidRPr="00402AEC">
        <w:rPr>
          <w:lang w:val="en-GB" w:bidi="en-US"/>
        </w:rPr>
        <w:t xml:space="preserve"> </w:t>
      </w:r>
      <w:r w:rsidR="00B72E08" w:rsidRPr="00402AEC">
        <w:rPr>
          <w:lang w:val="en-GB" w:bidi="en-US"/>
        </w:rPr>
        <w:t xml:space="preserve">cases </w:t>
      </w:r>
      <w:r w:rsidR="003D1147" w:rsidRPr="00402AEC">
        <w:rPr>
          <w:lang w:val="en-GB" w:bidi="en-US"/>
        </w:rPr>
        <w:t xml:space="preserve">out </w:t>
      </w:r>
      <w:r w:rsidR="00B72E08" w:rsidRPr="00402AEC">
        <w:rPr>
          <w:lang w:val="en-GB" w:bidi="en-US"/>
        </w:rPr>
        <w:t>of 25</w:t>
      </w:r>
      <w:r w:rsidR="003D1147" w:rsidRPr="00402AEC">
        <w:rPr>
          <w:lang w:val="en-GB" w:bidi="en-US"/>
        </w:rPr>
        <w:t xml:space="preserve"> </w:t>
      </w:r>
      <w:r w:rsidR="00B72E08" w:rsidRPr="00402AEC">
        <w:rPr>
          <w:lang w:val="en-GB" w:bidi="en-US"/>
        </w:rPr>
        <w:t xml:space="preserve">authors considered </w:t>
      </w:r>
      <w:r w:rsidR="00003635">
        <w:rPr>
          <w:lang w:val="en-GB" w:bidi="en-US"/>
        </w:rPr>
        <w:t xml:space="preserve">together </w:t>
      </w:r>
      <w:r w:rsidR="00B72E08" w:rsidRPr="00402AEC">
        <w:rPr>
          <w:lang w:val="en-GB" w:bidi="en-US"/>
        </w:rPr>
        <w:t>actions as co-access, co-ownership, repair</w:t>
      </w:r>
      <w:r w:rsidR="00003635">
        <w:rPr>
          <w:lang w:val="en-GB" w:bidi="en-US"/>
        </w:rPr>
        <w:t xml:space="preserve"> and</w:t>
      </w:r>
      <w:r w:rsidR="00B72E08" w:rsidRPr="00402AEC">
        <w:rPr>
          <w:lang w:val="en-GB" w:bidi="en-US"/>
        </w:rPr>
        <w:t xml:space="preserve"> refurbish/remanufacture. </w:t>
      </w:r>
      <w:r w:rsidR="00C93F61" w:rsidRPr="00402AEC">
        <w:rPr>
          <w:lang w:val="en-GB" w:bidi="en-US"/>
        </w:rPr>
        <w:t>The final inference is that the idea of PSS among researchers is quite clear and widespread</w:t>
      </w:r>
      <w:r w:rsidR="006D3D31">
        <w:rPr>
          <w:lang w:val="en-GB" w:bidi="en-US"/>
        </w:rPr>
        <w:t>.</w:t>
      </w:r>
      <w:r w:rsidR="00C93F61" w:rsidRPr="00402AEC">
        <w:rPr>
          <w:lang w:val="en-GB" w:bidi="en-US"/>
        </w:rPr>
        <w:t xml:space="preserve"> </w:t>
      </w:r>
      <w:r w:rsidR="006D3D31">
        <w:rPr>
          <w:lang w:val="en-GB" w:bidi="en-US"/>
        </w:rPr>
        <w:t xml:space="preserve">Hence, </w:t>
      </w:r>
      <w:r w:rsidR="00C93F61" w:rsidRPr="00402AEC">
        <w:rPr>
          <w:lang w:val="en-GB" w:bidi="en-US"/>
        </w:rPr>
        <w:t>it can be considered as a new, more structured</w:t>
      </w:r>
      <w:r w:rsidR="003B1D4A">
        <w:rPr>
          <w:lang w:val="en-GB" w:bidi="en-US"/>
        </w:rPr>
        <w:t>,</w:t>
      </w:r>
      <w:r w:rsidR="00C93F61" w:rsidRPr="00402AEC">
        <w:rPr>
          <w:lang w:val="en-GB" w:bidi="en-US"/>
        </w:rPr>
        <w:t xml:space="preserve"> way </w:t>
      </w:r>
      <w:r w:rsidR="003B1D4A">
        <w:rPr>
          <w:lang w:val="en-GB" w:bidi="en-US"/>
        </w:rPr>
        <w:t>for</w:t>
      </w:r>
      <w:r w:rsidR="003B1D4A" w:rsidRPr="00402AEC">
        <w:rPr>
          <w:lang w:val="en-GB" w:bidi="en-US"/>
        </w:rPr>
        <w:t xml:space="preserve"> </w:t>
      </w:r>
      <w:r w:rsidR="00C93F61" w:rsidRPr="00402AEC">
        <w:rPr>
          <w:lang w:val="en-GB" w:bidi="en-US"/>
        </w:rPr>
        <w:t>refer</w:t>
      </w:r>
      <w:r w:rsidR="003B1D4A">
        <w:rPr>
          <w:lang w:val="en-GB" w:bidi="en-US"/>
        </w:rPr>
        <w:t>ring</w:t>
      </w:r>
      <w:r w:rsidR="00C93F61" w:rsidRPr="00402AEC">
        <w:rPr>
          <w:lang w:val="en-GB" w:bidi="en-US"/>
        </w:rPr>
        <w:t xml:space="preserve"> to different business practices coming from the past in a blurry and fuzzy mode.</w:t>
      </w:r>
      <w:r w:rsidR="00204722" w:rsidRPr="00402AEC">
        <w:rPr>
          <w:lang w:val="en-GB" w:bidi="en-US"/>
        </w:rPr>
        <w:t xml:space="preserve"> </w:t>
      </w:r>
      <w:r w:rsidR="00FE378C" w:rsidRPr="00402AEC">
        <w:rPr>
          <w:lang w:val="en-GB" w:bidi="en-US"/>
        </w:rPr>
        <w:t>Moreover,</w:t>
      </w:r>
      <w:r w:rsidR="00336804" w:rsidRPr="00402AEC">
        <w:rPr>
          <w:lang w:val="en-GB" w:bidi="en-US"/>
        </w:rPr>
        <w:t xml:space="preserve"> </w:t>
      </w:r>
      <w:r w:rsidR="003B1D4A">
        <w:rPr>
          <w:lang w:val="en-GB" w:bidi="en-US"/>
        </w:rPr>
        <w:t>PSSs</w:t>
      </w:r>
      <w:r w:rsidR="003B1D4A" w:rsidRPr="00402AEC">
        <w:rPr>
          <w:lang w:val="en-GB" w:bidi="en-US"/>
        </w:rPr>
        <w:t xml:space="preserve"> </w:t>
      </w:r>
      <w:r w:rsidR="00FE378C" w:rsidRPr="00402AEC">
        <w:rPr>
          <w:lang w:val="en-GB" w:bidi="en-US"/>
        </w:rPr>
        <w:t xml:space="preserve">are </w:t>
      </w:r>
      <w:r w:rsidR="00DF57C1" w:rsidRPr="00402AEC">
        <w:rPr>
          <w:lang w:val="en-GB" w:bidi="en-US"/>
        </w:rPr>
        <w:t xml:space="preserve">considered </w:t>
      </w:r>
      <w:r w:rsidR="00FE378C" w:rsidRPr="00402AEC">
        <w:rPr>
          <w:lang w:val="en-GB" w:bidi="en-US"/>
        </w:rPr>
        <w:t xml:space="preserve">a key solution </w:t>
      </w:r>
      <w:r w:rsidR="003B1D4A">
        <w:rPr>
          <w:lang w:val="en-GB" w:bidi="en-US"/>
        </w:rPr>
        <w:t>for</w:t>
      </w:r>
      <w:r w:rsidR="00FE378C" w:rsidRPr="00402AEC">
        <w:rPr>
          <w:lang w:val="en-GB" w:bidi="en-US"/>
        </w:rPr>
        <w:t xml:space="preserve"> involv</w:t>
      </w:r>
      <w:r w:rsidR="003B1D4A">
        <w:rPr>
          <w:lang w:val="en-GB" w:bidi="en-US"/>
        </w:rPr>
        <w:t>ing</w:t>
      </w:r>
      <w:r w:rsidR="00FE378C" w:rsidRPr="00402AEC">
        <w:rPr>
          <w:lang w:val="en-GB" w:bidi="en-US"/>
        </w:rPr>
        <w:t xml:space="preserve"> users in</w:t>
      </w:r>
      <w:r w:rsidR="00204722" w:rsidRPr="00402AEC">
        <w:rPr>
          <w:lang w:val="en-GB" w:bidi="en-US"/>
        </w:rPr>
        <w:t xml:space="preserve"> </w:t>
      </w:r>
      <w:r w:rsidR="00FE378C" w:rsidRPr="00402AEC">
        <w:rPr>
          <w:lang w:val="en-GB" w:bidi="en-US"/>
        </w:rPr>
        <w:t xml:space="preserve">CE </w:t>
      </w:r>
      <w:r w:rsidR="00FE378C" w:rsidRPr="00A101E3">
        <w:rPr>
          <w:lang w:val="en-GB" w:bidi="en-US"/>
        </w:rPr>
        <w:fldChar w:fldCharType="begin" w:fldLock="1"/>
      </w:r>
      <w:r w:rsidR="003445CC">
        <w:rPr>
          <w:lang w:val="en-GB" w:bidi="en-US"/>
        </w:rPr>
        <w:instrText>ADDIN CSL_CITATION {"citationItems":[{"id":"ITEM-1","itemData":{"DOI":"10.1016/j.procir.2017.03.133","ISBN":"22128271 (ISSN)","ISSN":"22128271","abstract":"Circular Lean Product-Service Systems (CLPSSs) are a new type of PSS, a combination of a tangible circular product with intangible value-added service elements, and its related supporting closed-loop networks and infrastructure. CLPSSs can lead to dematerialization through reducing the creation of waste in manufacturing and services operations, and the consumption of virgin materials, thanks to a restorative and regenerative operational system by design that can satisfy customers' needs, decouple economic growth from environmental impact and create new revenue streams out of extending the residual value of products. This paper aims to demonstrate the compatibility of circular economy and lean principles in the context of PSSs and contribute to their integration in order to create customer-oriented solutions that minimize resources consumption and enhance the ultimate value-added to the end-user.","author":[{"dropping-particle":"","family":"Romero","given":"David","non-dropping-particle":"","parse-names":false,"suffix":""},{"dropping-particle":"","family":"Rossi","given":"Monica","non-dropping-particle":"","parse-names":false,"suffix":""}],"container-title":"Procedia CIRP","id":"ITEM-1","issued":{"date-parts":[["2017"]]},"page":"13-18","publisher":"The Author(s)","title":"Towards Circular Lean Product-Service Systems","type":"article-journal","volume":"64"},"uris":["http://www.mendeley.com/documents/?uuid=2302cd52-3606-4c11-9cd2-e60e271edc3f"]}],"mendeley":{"formattedCitation":"(Romero and Rossi, 2017)","plainTextFormattedCitation":"(Romero and Rossi, 2017)","previouslyFormattedCitation":"(Romero and Rossi, 2017)"},"properties":{"noteIndex":0},"schema":"https://github.com/citation-style-language/schema/raw/master/csl-citation.json"}</w:instrText>
      </w:r>
      <w:r w:rsidR="00FE378C" w:rsidRPr="00A101E3">
        <w:rPr>
          <w:lang w:val="en-GB" w:bidi="en-US"/>
        </w:rPr>
        <w:fldChar w:fldCharType="separate"/>
      </w:r>
      <w:r w:rsidR="00FE378C" w:rsidRPr="00402AEC">
        <w:rPr>
          <w:noProof/>
          <w:lang w:val="en-GB" w:bidi="en-US"/>
        </w:rPr>
        <w:t>(Romero and Rossi, 2017)</w:t>
      </w:r>
      <w:r w:rsidR="00FE378C" w:rsidRPr="00A101E3">
        <w:rPr>
          <w:lang w:val="en-GB" w:bidi="en-US"/>
        </w:rPr>
        <w:fldChar w:fldCharType="end"/>
      </w:r>
      <w:r w:rsidR="00DF57C1" w:rsidRPr="00402AEC">
        <w:rPr>
          <w:lang w:val="en-GB" w:bidi="en-US"/>
        </w:rPr>
        <w:t xml:space="preserve"> through the </w:t>
      </w:r>
      <w:r w:rsidR="00F20255" w:rsidRPr="00402AEC">
        <w:rPr>
          <w:lang w:val="en-GB" w:bidi="en-US"/>
        </w:rPr>
        <w:t xml:space="preserve">direct </w:t>
      </w:r>
      <w:r w:rsidR="00DF57C1" w:rsidRPr="00402AEC">
        <w:rPr>
          <w:lang w:val="en-GB" w:bidi="en-US"/>
        </w:rPr>
        <w:t>utilization of new enabling technologies belonging to the Industry 4.0</w:t>
      </w:r>
      <w:r w:rsidR="00F20255" w:rsidRPr="00402AEC">
        <w:rPr>
          <w:lang w:val="en-GB" w:bidi="en-US"/>
        </w:rPr>
        <w:t xml:space="preserve"> domain</w:t>
      </w:r>
      <w:r w:rsidR="00DF57C1" w:rsidRPr="00402AEC">
        <w:rPr>
          <w:lang w:val="en-GB" w:bidi="en-US"/>
        </w:rPr>
        <w:t xml:space="preserve">, </w:t>
      </w:r>
      <w:r w:rsidR="00040B0E" w:rsidRPr="00402AEC">
        <w:rPr>
          <w:lang w:val="en-GB" w:bidi="en-US"/>
        </w:rPr>
        <w:t>like</w:t>
      </w:r>
      <w:r w:rsidR="00DF57C1" w:rsidRPr="00402AEC">
        <w:rPr>
          <w:lang w:val="en-GB" w:bidi="en-US"/>
        </w:rPr>
        <w:t xml:space="preserve"> I</w:t>
      </w:r>
      <w:r w:rsidR="00DF7333">
        <w:rPr>
          <w:lang w:val="en-GB" w:bidi="en-US"/>
        </w:rPr>
        <w:t>oT</w:t>
      </w:r>
      <w:r w:rsidR="00DF57C1" w:rsidRPr="00402AEC">
        <w:rPr>
          <w:lang w:val="en-GB" w:bidi="en-US"/>
        </w:rPr>
        <w:t xml:space="preserve"> </w:t>
      </w:r>
      <w:r w:rsidR="00690812">
        <w:rPr>
          <w:lang w:val="en-GB" w:bidi="en-US"/>
        </w:rPr>
        <w:fldChar w:fldCharType="begin" w:fldLock="1"/>
      </w:r>
      <w:r w:rsidR="003445CC">
        <w:rPr>
          <w:lang w:val="en-GB" w:bidi="en-US"/>
        </w:rPr>
        <w:instrText>ADDIN CSL_CITATION {"citationItems":[{"id":"ITEM-1","itemData":{"DOI":"10.1016/j.comcom.2018.02.007","ISSN":"01403664","abstract":"Smart interconnected devices, including Cyber-Physical Systems (CPS), permeate our lives and are now an integral part of our daily activities, paving the way towards the Internet of Things (IoT). In the industrial domain, these devices interact with their surroundings and system operators, while often also integrating industrial cloud applications. This 4th Industrial Revolution guides new initiatives, like the introduction of 5th Generation Mobile Networks (5G), to implement flexible, efficient, QoS- and energy- aware solutions that are capable of serving numerous heterogeneous devices, bringing closer the vision of a sustainable, Circular Economy. However, the lack of interoperable solutions that will accommodate the integration, use and management of the plethora of devices and the associated services, hinders the establishment of smart industrial environments across the various vertical domains. Motivated by the above, this paper proposes the Hy-LP - a novel hybrid protocol and development framework for Industrial IoT (IIoT) systems. Hy-LP enables the seamless communication of IIoT sensors and actuators, within and across domains, also facilitating the integration of the Industrial Cloud. The proposed solution is compared with existing standardised solutions on a common application, working around the protocols' intrinsic characteristics and features to produce each variant. The developed systems are evaluated on a common testbed, demonstrating that the proposed solution is around 10 times faster for the same CPU usage level, while consuming 7 times less memory. Moreover, the applicability of the proposed solutions is validated in the context of a real industrial setting, analyzing the network characteristics and performance requirements of an actual, operating wind park, as a representative use case of industrial networks.","author":[{"dropping-particle":"","family":"Hatzivasilis","given":"George","non-dropping-particle":"","parse-names":false,"suffix":""},{"dropping-particle":"","family":"Fysarakis","given":"Konstantinos","non-dropping-particle":"","parse-names":false,"suffix":""},{"dropping-particle":"","family":"Soultatos","given":"Othonas","non-dropping-particle":"","parse-names":false,"suffix":""},{"dropping-particle":"","family":"Askoxylakis","given":"Ioannis","non-dropping-particle":"","parse-names":false,"suffix":""},{"dropping-particle":"","family":"Papaefstathiou","given":"Ioannis","non-dropping-particle":"","parse-names":false,"suffix":""},{"dropping-particle":"","family":"Demetriou","given":"Giorgos","non-dropping-particle":"","parse-names":false,"suffix":""}],"container-title":"Computer Communications","id":"ITEM-1","issued":{"date-parts":[["2018"]]},"page":"127-137","publisher":"Elsevier","title":"The Industrial Internet of Things as an enabler for a Circular Economy Hy-LP: A novel IIoT protocol, evaluated on a wind park's SDN/NFV-enabled 5G industrial network","type":"article-journal","volume":"119"},"uris":["http://www.mendeley.com/documents/?uuid=e60b852b-ddd8-4ae9-ba9d-413e630ab6c9"]},{"id":"ITEM-2","itemData":{"DOI":"10.23919/PICMET.2017.8125369","ISBN":"9781890843366","abstract":"Demands towards sustainable choices in business operations are increasing and more influential solutions are required. This means changes and development of innovations that allow the creation of new markets and value networks by combining new set of sustainability -driven values-finding disruptive innovations for sustainability. Increased digitalization is seen to provide multiple value creation mechanisms and possibilities by enhancing the more effective use of resources. The emergence of IOT (Internet of Things) has connected objects (e.g. physical devices, buildings and vehicles) to existing network of information. IOT can work as a trigger for creation of new markets and value networks by connecting existing information, networked economies and societies together in a new way. Expectations towards IOT solutions are high and they are expected to revolutionize the business markets by promoting the emergence of disruptive innovations for sustainability e.g. in healthcare and transportation solutions, smart cities, intelligent energy services and circular economy. The study focuses on reviewing the impact of IOT in developing these innovations aiming to foster disruptive sustainable change.","author":[{"dropping-particle":"","family":"Nasiri","given":"Mina","non-dropping-particle":"","parse-names":false,"suffix":""},{"dropping-particle":"","family":"Tura","given":"Nina","non-dropping-particle":"","parse-names":false,"suffix":""},{"dropping-particle":"","family":"Ojanen","given":"Ville","non-dropping-particle":"","parse-names":false,"suffix":""}],"container-title":"PICMET '17 - Portland International Conference on Management of Engineering and Technology","id":"ITEM-2","issued":{"date-parts":[["2017"]]},"page":"1-10","title":"Developing disruptive innovations for sustainability: A review on Impact of Internet of Things (IOT)","type":"paper-conference"},"uris":["http://www.mendeley.com/documents/?uuid=0e18a5f9-1ab9-4285-81be-ba2d37572eeb"]}],"mendeley":{"formattedCitation":"(Hatzivasilis et al., 2018; Nasiri et al., 2017)","plainTextFormattedCitation":"(Hatzivasilis et al., 2018; Nasiri et al., 2017)","previouslyFormattedCitation":"(Hatzivasilis et al., 2018; Nasiri et al., 2017)"},"properties":{"noteIndex":0},"schema":"https://github.com/citation-style-language/schema/raw/master/csl-citation.json"}</w:instrText>
      </w:r>
      <w:r w:rsidR="00690812">
        <w:rPr>
          <w:lang w:val="en-GB" w:bidi="en-US"/>
        </w:rPr>
        <w:fldChar w:fldCharType="separate"/>
      </w:r>
      <w:r w:rsidR="00690812" w:rsidRPr="00690812">
        <w:rPr>
          <w:noProof/>
          <w:lang w:val="en-GB" w:bidi="en-US"/>
        </w:rPr>
        <w:t>(Hatzivasilis et al., 2018; Nasiri et al., 2017)</w:t>
      </w:r>
      <w:r w:rsidR="00690812">
        <w:rPr>
          <w:lang w:val="en-GB" w:bidi="en-US"/>
        </w:rPr>
        <w:fldChar w:fldCharType="end"/>
      </w:r>
      <w:r w:rsidR="00DF57C1" w:rsidRPr="00402AEC">
        <w:rPr>
          <w:lang w:val="en-GB" w:bidi="en-US"/>
        </w:rPr>
        <w:t xml:space="preserve"> and </w:t>
      </w:r>
      <w:r w:rsidR="00210431" w:rsidRPr="00402AEC">
        <w:rPr>
          <w:lang w:val="en-GB" w:bidi="en-US"/>
        </w:rPr>
        <w:t>additive manufacturing</w:t>
      </w:r>
      <w:r w:rsidR="00204722" w:rsidRPr="00402AEC">
        <w:rPr>
          <w:lang w:val="en-GB" w:bidi="en-US"/>
        </w:rPr>
        <w:t xml:space="preserve"> </w:t>
      </w:r>
      <w:r w:rsidR="00A10A67" w:rsidRPr="00A101E3">
        <w:rPr>
          <w:lang w:val="en-GB" w:bidi="en-US"/>
        </w:rPr>
        <w:fldChar w:fldCharType="begin" w:fldLock="1"/>
      </w:r>
      <w:r w:rsidR="003445CC">
        <w:rPr>
          <w:lang w:val="en-GB" w:bidi="en-US"/>
        </w:rPr>
        <w:instrText>ADDIN CSL_CITATION {"citationItems":[{"id":"ITEM-1","itemData":{"DOI":"10.1016/j.conbuildmat.2018.02.099","ISSN":"09500618","abstract":"Production and maker spaces are increasingly generating mixed plastic material waste of varying quality from 3-D printers. Industrial interest is growing in embedding granulated recycled particulate material additives into a virgin binding matrix. Examples include the introduction of granulated mixed recycled materials into 3-D printer material, concrete, and pavement. The stress load-sharing between the particulate additive and the binding matrix is an important factor in design and development of these composite materials. With mixed material additives, a designer is interested in the variation of such predicted load-sharing. However, experimental development is costly and time-consuming, thus analytical and semi-analytical estimates are desired for accelerated development. In this work, we expand on previous analytically correlated phase-averaged micro- and macrostructural loading to include variational effects present in mixed recycled material. In addition, model trade-offs are provided to aid designers in quickly selecting application specific mixtures. This framework identifies the stress contributions, and their variation, to reduce product development time and costs, which could greatly accelerate material recycling and reuse for improved infrastructure materials, low-cost 3-D printer filament, and reduced waste towards a more circular economy.","author":[{"dropping-particle":"","family":"Clemon","given":"L.M.","non-dropping-particle":"","parse-names":false,"suffix":""},{"dropping-particle":"","family":"Zohdi","given":"T.I.","non-dropping-particle":"","parse-names":false,"suffix":""}],"container-title":"Construction and Building Materials","id":"ITEM-1","issued":{"date-parts":[["2018"]]},"page":"846-852","publisher":"Elsevier Ltd","title":"On the tolerable limits of granulated recycled material additives to maintain structural integrity","type":"article-journal","volume":"167"},"uris":["http://www.mendeley.com/documents/?uuid=cbf7b391-c622-458e-9808-b0fa508c6659","http://www.mendeley.com/documents/?uuid=318f6825-018a-45fd-a28f-98bdceca9351"]},{"id":"ITEM-2","itemData":{"DOI":"10.1016/j.mtcomm.2018.02.028","ISSN":"23524928","abstract":"The potential of additive manufacturing (AM) for distributed production is often mentioned as an enabler for sustainable manufacturing within a circular economy. Currently, even if manufacturing with AM is distributed, the used materials can rarely be acquired locally and are usually obtained from a centralized location. Addressing this issue, we are developing an approach that supports the search for local materials that are suitable as material input for AM and are recyclable to serve multiple product lifecycles. The approach is an iterative process consisting of four phases; “material in AM context”, “recycling opportunities”, “material property testing”, and “application possibilities”. As an initial example, we present a process to adapt mussel shell waste into AM material. Mussel shells are a voluminous waste stream in the Netherlands. The shells, which mainly exist of calcium carbonate, are ground into a powder and combined with sugar water. Using a modified material extrusion process, 3D objects are created. In this paper, we discuss the iterations through our approach and illustrate the initial 3D printed results. With this project, we intend to demonstrate the potential of using local waste streams for AM processes for a circular economy. This is a first step towards the development of a methodology for linking local material streams to novel AM processes and meaningful applications.","author":[{"dropping-particle":"","family":"Sauerwein","given":"M.","non-dropping-particle":"","parse-names":false,"suffix":""},{"dropping-particle":"","family":"Doubrovski","given":"E.L.","non-dropping-particle":"","parse-names":false,"suffix":""}],"container-title":"Materials Today Communications","id":"ITEM-2","issued":{"date-parts":[["2018"]]},"page":"214-217","publisher":"Elsevier","title":"Local and recyclable materials for additive manufacturing: 3D printing with mussel shells","type":"article-journal","volume":"15"},"uris":["http://www.mendeley.com/documents/?uuid=db864d62-7e1c-423e-b1de-6382268f307b","http://www.mendeley.com/documents/?uuid=b3266083-bd45-4dfc-9f25-35e47f05bae6"]},{"id":"ITEM-3","itemData":{"DOI":"10.1177/0008125618759684","ISBN":"0008125618759","ISSN":"21628564","author":[{"dropping-particle":"","family":"Unruh","given":"Gregory","non-dropping-particle":"","parse-names":false,"suffix":""}],"container-title":"California Management Review","id":"ITEM-3","issue":"3","issued":{"date-parts":[["2018"]]},"page":"95-111","title":"Circular Economy, 3D Printing, and the Biosphere Rules","type":"article-journal","volume":"60"},"uris":["http://www.mendeley.com/documents/?uuid=89795d56-f66f-4700-af68-738f4b67bf93","http://www.mendeley.com/documents/?uuid=bc8015a7-ab20-4e8b-bb67-76b39de36fc6"]}],"mendeley":{"formattedCitation":"(Clemon and Zohdi, 2018; Sauerwein and Doubrovski, 2018; Unruh, 2018)","plainTextFormattedCitation":"(Clemon and Zohdi, 2018; Sauerwein and Doubrovski, 2018; Unruh, 2018)","previouslyFormattedCitation":"(Clemon and Zohdi, 2018; Sauerwein and Doubrovski, 2018; Unruh, 2018)"},"properties":{"noteIndex":0},"schema":"https://github.com/citation-style-language/schema/raw/master/csl-citation.json"}</w:instrText>
      </w:r>
      <w:r w:rsidR="00A10A67" w:rsidRPr="00A101E3">
        <w:rPr>
          <w:lang w:val="en-GB" w:bidi="en-US"/>
        </w:rPr>
        <w:fldChar w:fldCharType="separate"/>
      </w:r>
      <w:r w:rsidR="00A10A67" w:rsidRPr="00402AEC">
        <w:rPr>
          <w:noProof/>
          <w:lang w:val="en-GB" w:bidi="en-US"/>
        </w:rPr>
        <w:t>(Clemon and Zohdi, 2018; Sauerwein and Doubrovski, 2018; Unruh, 2018)</w:t>
      </w:r>
      <w:r w:rsidR="00A10A67" w:rsidRPr="00A101E3">
        <w:rPr>
          <w:lang w:val="en-GB" w:bidi="en-US"/>
        </w:rPr>
        <w:fldChar w:fldCharType="end"/>
      </w:r>
      <w:r w:rsidR="002F6473" w:rsidRPr="00402AEC">
        <w:rPr>
          <w:lang w:val="en-GB" w:bidi="en-US"/>
        </w:rPr>
        <w:t xml:space="preserve">, </w:t>
      </w:r>
      <w:r w:rsidR="001511D4">
        <w:rPr>
          <w:lang w:val="en-GB" w:bidi="en-US"/>
        </w:rPr>
        <w:t xml:space="preserve">so </w:t>
      </w:r>
      <w:r w:rsidR="002F6473" w:rsidRPr="00402AEC">
        <w:rPr>
          <w:lang w:val="en-GB" w:bidi="en-US"/>
        </w:rPr>
        <w:t xml:space="preserve">contributing </w:t>
      </w:r>
      <w:r w:rsidR="001511D4">
        <w:rPr>
          <w:lang w:val="en-GB" w:bidi="en-US"/>
        </w:rPr>
        <w:t>in</w:t>
      </w:r>
      <w:r w:rsidR="002F6473" w:rsidRPr="00402AEC">
        <w:rPr>
          <w:lang w:val="en-GB" w:bidi="en-US"/>
        </w:rPr>
        <w:t xml:space="preserve"> pursu</w:t>
      </w:r>
      <w:r w:rsidR="001511D4">
        <w:rPr>
          <w:lang w:val="en-GB" w:bidi="en-US"/>
        </w:rPr>
        <w:t>ing</w:t>
      </w:r>
      <w:r w:rsidR="002F6473" w:rsidRPr="00402AEC">
        <w:rPr>
          <w:lang w:val="en-GB" w:bidi="en-US"/>
        </w:rPr>
        <w:t xml:space="preserve"> the unexplored exchange dimension an</w:t>
      </w:r>
      <w:r w:rsidR="001511D4">
        <w:rPr>
          <w:lang w:val="en-GB" w:bidi="en-US"/>
        </w:rPr>
        <w:t>d</w:t>
      </w:r>
      <w:r w:rsidR="002F6473" w:rsidRPr="00402AEC">
        <w:rPr>
          <w:lang w:val="en-GB" w:bidi="en-US"/>
        </w:rPr>
        <w:t xml:space="preserve"> </w:t>
      </w:r>
      <w:r w:rsidR="00CF6C93">
        <w:rPr>
          <w:lang w:val="en-GB" w:bidi="en-US"/>
        </w:rPr>
        <w:t>reducing</w:t>
      </w:r>
      <w:r w:rsidR="002F6473" w:rsidRPr="00402AEC">
        <w:rPr>
          <w:lang w:val="en-GB" w:bidi="en-US"/>
        </w:rPr>
        <w:t xml:space="preserve"> the customer involvement issue in moving towards CE</w:t>
      </w:r>
      <w:r w:rsidR="0007314D" w:rsidRPr="00402AEC">
        <w:rPr>
          <w:lang w:val="en-GB" w:bidi="en-US"/>
        </w:rPr>
        <w:t>.</w:t>
      </w:r>
      <w:r w:rsidR="00203660" w:rsidRPr="00402AEC">
        <w:rPr>
          <w:lang w:val="en-GB" w:bidi="en-US"/>
        </w:rPr>
        <w:t xml:space="preserve"> To this </w:t>
      </w:r>
      <w:r w:rsidR="00CF6C93">
        <w:rPr>
          <w:lang w:val="en-GB" w:bidi="en-US"/>
        </w:rPr>
        <w:t>aim</w:t>
      </w:r>
      <w:r w:rsidR="00203660" w:rsidRPr="00402AEC">
        <w:rPr>
          <w:lang w:val="en-GB" w:bidi="en-US"/>
        </w:rPr>
        <w:t>,</w:t>
      </w:r>
      <w:r w:rsidR="005E544B" w:rsidRPr="00402AEC">
        <w:rPr>
          <w:lang w:val="en-GB" w:bidi="en-US"/>
        </w:rPr>
        <w:t xml:space="preserve"> </w:t>
      </w:r>
      <w:r w:rsidR="005E544B" w:rsidRPr="00A101E3">
        <w:rPr>
          <w:lang w:val="en-GB" w:bidi="en-US"/>
        </w:rPr>
        <w:fldChar w:fldCharType="begin" w:fldLock="1"/>
      </w:r>
      <w:r w:rsidR="003445CC">
        <w:rPr>
          <w:lang w:val="en-GB" w:bidi="en-US"/>
        </w:rPr>
        <w:instrText>ADDIN CSL_CITATION {"citationItems":[{"id":"ITEM-1","itemData":{"DOI":"10.1016/j.jclepro.2013.11.049","ISBN":"0304-3894","ISSN":"09596526","PMID":"21899950","abstract":"Since the 1990s, Product Service Systems (PSS) have been heralded as one of the most effective instruments for moving society towards a resource-efficient, circular economy and creating a much-needed 'resource revolution'. This paper reviews the literature on PSS in the last decade and compares the findings with those from an earlier review in this journal in 2006. Close to 300 relevant papers were identified, over 140 of which have been referenced in this review. Research in the field of PSS has become more prolific, with the output of refereed papers quadrupling since 2000, while on average scientific output has only doubled. PSS has also become embedded in a wider range of science fields (such as manufacturing, ICT, business management, and design) and geographical regions (Asia now produces more papers than Europe). The literature of the last seven years has refined insights with regard to the design of PSS, as well as their business and environmental benefits, and confirmed the definitions and PSS concepts already available in 2006. A major contribution of the recent literature is research into how firms have implemented PSS in their organization and what the key success factors and issues that require special attention are (such as a focus on product availability for clients; an emphasis on diversity in terms of services provided rather than the range of products; and the need for staff to possess both knowledge of the product and relationship management skills). The reasons why PSS have nonetheless still not been widely implemented, particularly in the B2C context, seem to have already been explained fairly well in the literature available in 2006. For consumers, having control over things, artifacts, and life itself is one of the most valued attributes. PSS are often less accessible, or have less intangible value, than the competing product, in part because PSS usually do not allow consumers as much behavioral freedom or even leave them with the impression that the PSS provider could prescribe how they should behave.","author":[{"dropping-particle":"","family":"Tukker","given":"Arnold","non-dropping-particle":"","parse-names":false,"suffix":""}],"container-title":"Journal of Cleaner Production","id":"ITEM-1","issued":{"date-parts":[["2015"]]},"page":"76-91","publisher":"Elsevier Ltd","title":"Product services for a resource-efficient and circular economy - A review","type":"article-journal","volume":"97"},"uris":["http://www.mendeley.com/documents/?uuid=6405cc3a-3a61-4534-8beb-1796f2181d5b"]}],"mendeley":{"formattedCitation":"(Tukker, 2015)","manualFormatting":"Tukker (2015)","plainTextFormattedCitation":"(Tukker, 2015)","previouslyFormattedCitation":"(Tukker, 2015)"},"properties":{"noteIndex":0},"schema":"https://github.com/citation-style-language/schema/raw/master/csl-citation.json"}</w:instrText>
      </w:r>
      <w:r w:rsidR="005E544B" w:rsidRPr="00A101E3">
        <w:rPr>
          <w:lang w:val="en-GB" w:bidi="en-US"/>
        </w:rPr>
        <w:fldChar w:fldCharType="separate"/>
      </w:r>
      <w:r w:rsidR="005E544B" w:rsidRPr="00402AEC">
        <w:rPr>
          <w:noProof/>
          <w:lang w:val="en-GB" w:bidi="en-US"/>
        </w:rPr>
        <w:t xml:space="preserve">Tukker </w:t>
      </w:r>
      <w:r w:rsidR="00CF6C93">
        <w:rPr>
          <w:noProof/>
          <w:lang w:val="en-GB" w:bidi="en-US"/>
        </w:rPr>
        <w:t>(</w:t>
      </w:r>
      <w:r w:rsidR="005E544B" w:rsidRPr="00402AEC">
        <w:rPr>
          <w:noProof/>
          <w:lang w:val="en-GB" w:bidi="en-US"/>
        </w:rPr>
        <w:t>2015)</w:t>
      </w:r>
      <w:r w:rsidR="005E544B" w:rsidRPr="00A101E3">
        <w:rPr>
          <w:lang w:val="en-GB" w:bidi="en-US"/>
        </w:rPr>
        <w:fldChar w:fldCharType="end"/>
      </w:r>
      <w:r w:rsidR="002F6473" w:rsidRPr="00402AEC">
        <w:rPr>
          <w:lang w:val="en-GB" w:bidi="en-US"/>
        </w:rPr>
        <w:t xml:space="preserve"> </w:t>
      </w:r>
      <w:r w:rsidR="0007314D" w:rsidRPr="00402AEC">
        <w:rPr>
          <w:lang w:val="en-GB" w:bidi="en-US"/>
        </w:rPr>
        <w:t xml:space="preserve">analysed </w:t>
      </w:r>
      <w:r w:rsidR="00203660" w:rsidRPr="00746DB3">
        <w:rPr>
          <w:lang w:val="en-GB"/>
        </w:rPr>
        <w:t>to what extent sustainable PSS can contrib</w:t>
      </w:r>
      <w:r w:rsidR="008A770D" w:rsidRPr="00746DB3">
        <w:rPr>
          <w:lang w:val="en-GB"/>
        </w:rPr>
        <w:t xml:space="preserve">ute </w:t>
      </w:r>
      <w:r w:rsidR="00C53F46">
        <w:rPr>
          <w:lang w:val="en-GB"/>
        </w:rPr>
        <w:t>in terms of</w:t>
      </w:r>
      <w:r w:rsidR="008A770D" w:rsidRPr="00746DB3">
        <w:rPr>
          <w:lang w:val="en-GB"/>
        </w:rPr>
        <w:t xml:space="preserve"> resource</w:t>
      </w:r>
      <w:r w:rsidR="00853FB2">
        <w:rPr>
          <w:lang w:val="en-GB"/>
        </w:rPr>
        <w:t xml:space="preserve"> </w:t>
      </w:r>
      <w:r w:rsidR="008A770D" w:rsidRPr="00746DB3">
        <w:rPr>
          <w:lang w:val="en-GB"/>
        </w:rPr>
        <w:t>efficiency and</w:t>
      </w:r>
      <w:r w:rsidR="00203660" w:rsidRPr="00746DB3">
        <w:rPr>
          <w:lang w:val="en-GB"/>
        </w:rPr>
        <w:t xml:space="preserve"> </w:t>
      </w:r>
      <w:r w:rsidR="00853FB2">
        <w:rPr>
          <w:lang w:val="en-GB"/>
        </w:rPr>
        <w:t>CE</w:t>
      </w:r>
      <w:r w:rsidR="00203660" w:rsidRPr="00746DB3">
        <w:rPr>
          <w:lang w:val="en-GB"/>
        </w:rPr>
        <w:t>.</w:t>
      </w:r>
      <w:r w:rsidR="008A770D" w:rsidRPr="00746DB3">
        <w:rPr>
          <w:lang w:val="en-GB"/>
        </w:rPr>
        <w:t xml:space="preserve"> </w:t>
      </w:r>
      <w:r w:rsidR="00EE0178">
        <w:rPr>
          <w:lang w:val="en-GB"/>
        </w:rPr>
        <w:t>Results demonstrate</w:t>
      </w:r>
      <w:r w:rsidR="00C53F46">
        <w:rPr>
          <w:lang w:val="en-GB"/>
        </w:rPr>
        <w:t>d</w:t>
      </w:r>
      <w:r w:rsidR="00EE0178">
        <w:rPr>
          <w:lang w:val="en-GB"/>
        </w:rPr>
        <w:t xml:space="preserve"> </w:t>
      </w:r>
      <w:r w:rsidR="00C53F46">
        <w:rPr>
          <w:lang w:val="en-GB"/>
        </w:rPr>
        <w:t xml:space="preserve">as </w:t>
      </w:r>
      <w:r w:rsidR="008A770D" w:rsidRPr="00746DB3">
        <w:rPr>
          <w:lang w:val="en-GB"/>
        </w:rPr>
        <w:t>product-oriented PSSs</w:t>
      </w:r>
      <w:r w:rsidR="005E06C2" w:rsidRPr="00746DB3">
        <w:rPr>
          <w:lang w:val="en-GB"/>
        </w:rPr>
        <w:t xml:space="preserve"> </w:t>
      </w:r>
      <w:r w:rsidR="008A770D" w:rsidRPr="00746DB3">
        <w:rPr>
          <w:lang w:val="en-GB"/>
        </w:rPr>
        <w:t xml:space="preserve">do not mutate the will to maximize product sales. </w:t>
      </w:r>
      <w:r w:rsidR="002405B9">
        <w:rPr>
          <w:lang w:val="en-GB"/>
        </w:rPr>
        <w:t>Furthermore</w:t>
      </w:r>
      <w:r w:rsidR="008A770D" w:rsidRPr="00746DB3">
        <w:rPr>
          <w:lang w:val="en-GB"/>
        </w:rPr>
        <w:t xml:space="preserve">, use-oriented PSSs potentially enhance and improve the use of material products, </w:t>
      </w:r>
      <w:r w:rsidR="0089002A">
        <w:rPr>
          <w:lang w:val="en-GB"/>
        </w:rPr>
        <w:t xml:space="preserve">by </w:t>
      </w:r>
      <w:r w:rsidR="008A770D" w:rsidRPr="00746DB3">
        <w:rPr>
          <w:lang w:val="en-GB"/>
        </w:rPr>
        <w:t>cutting down</w:t>
      </w:r>
      <w:r w:rsidR="005E06C2" w:rsidRPr="00746DB3">
        <w:rPr>
          <w:lang w:val="en-GB"/>
        </w:rPr>
        <w:t xml:space="preserve"> the need for materials</w:t>
      </w:r>
      <w:r w:rsidR="00EE0178">
        <w:rPr>
          <w:lang w:val="en-GB"/>
        </w:rPr>
        <w:t>.</w:t>
      </w:r>
      <w:r w:rsidR="005E06C2" w:rsidRPr="00746DB3">
        <w:rPr>
          <w:lang w:val="en-GB"/>
        </w:rPr>
        <w:t xml:space="preserve"> </w:t>
      </w:r>
      <w:r w:rsidR="0074157D">
        <w:rPr>
          <w:lang w:val="en-GB"/>
        </w:rPr>
        <w:t>However,</w:t>
      </w:r>
      <w:r w:rsidR="008A770D" w:rsidRPr="00746DB3">
        <w:rPr>
          <w:lang w:val="en-GB"/>
        </w:rPr>
        <w:t xml:space="preserve"> </w:t>
      </w:r>
      <w:r w:rsidR="0074157D">
        <w:rPr>
          <w:lang w:val="en-GB"/>
        </w:rPr>
        <w:t xml:space="preserve">a </w:t>
      </w:r>
      <w:r w:rsidR="008A770D" w:rsidRPr="00746DB3">
        <w:rPr>
          <w:lang w:val="en-GB"/>
        </w:rPr>
        <w:t>less careful use</w:t>
      </w:r>
      <w:r w:rsidR="00576BC6">
        <w:rPr>
          <w:lang w:val="en-GB"/>
        </w:rPr>
        <w:t xml:space="preserve"> could </w:t>
      </w:r>
      <w:r w:rsidR="008A770D" w:rsidRPr="00746DB3">
        <w:rPr>
          <w:lang w:val="en-GB"/>
        </w:rPr>
        <w:t xml:space="preserve">lead to </w:t>
      </w:r>
      <w:r w:rsidR="001B2C98" w:rsidRPr="00746DB3">
        <w:rPr>
          <w:lang w:val="en-GB"/>
        </w:rPr>
        <w:t xml:space="preserve">a </w:t>
      </w:r>
      <w:r w:rsidR="008A770D" w:rsidRPr="00746DB3">
        <w:rPr>
          <w:lang w:val="en-GB"/>
        </w:rPr>
        <w:t xml:space="preserve">quicker need to </w:t>
      </w:r>
      <w:r w:rsidR="005E06C2" w:rsidRPr="00746DB3">
        <w:rPr>
          <w:lang w:val="en-GB"/>
        </w:rPr>
        <w:t xml:space="preserve">product </w:t>
      </w:r>
      <w:r w:rsidR="008A770D" w:rsidRPr="00746DB3">
        <w:rPr>
          <w:lang w:val="en-GB"/>
        </w:rPr>
        <w:t xml:space="preserve">substitution. </w:t>
      </w:r>
      <w:r w:rsidR="001B2C98" w:rsidRPr="00746DB3">
        <w:rPr>
          <w:lang w:val="en-GB"/>
        </w:rPr>
        <w:t>Finally, r</w:t>
      </w:r>
      <w:r w:rsidR="008A770D" w:rsidRPr="00746DB3">
        <w:rPr>
          <w:lang w:val="en-GB"/>
        </w:rPr>
        <w:t>esult-oriented PSS</w:t>
      </w:r>
      <w:r w:rsidR="001B2C98" w:rsidRPr="00746DB3">
        <w:rPr>
          <w:lang w:val="en-GB"/>
        </w:rPr>
        <w:t>s</w:t>
      </w:r>
      <w:r w:rsidR="008A770D" w:rsidRPr="00746DB3">
        <w:rPr>
          <w:lang w:val="en-GB"/>
        </w:rPr>
        <w:t xml:space="preserve"> </w:t>
      </w:r>
      <w:r w:rsidR="006B41F6" w:rsidRPr="00746DB3">
        <w:rPr>
          <w:lang w:val="en-GB"/>
        </w:rPr>
        <w:t>seem to have</w:t>
      </w:r>
      <w:r w:rsidR="008A770D" w:rsidRPr="00746DB3">
        <w:rPr>
          <w:lang w:val="en-GB"/>
        </w:rPr>
        <w:t xml:space="preserve"> the greatest potential</w:t>
      </w:r>
      <w:r w:rsidR="00A812D0">
        <w:rPr>
          <w:lang w:val="en-GB"/>
        </w:rPr>
        <w:t>,</w:t>
      </w:r>
      <w:r w:rsidR="008A770D" w:rsidRPr="00746DB3">
        <w:rPr>
          <w:lang w:val="en-GB"/>
        </w:rPr>
        <w:t xml:space="preserve"> </w:t>
      </w:r>
      <w:r w:rsidR="006B41F6" w:rsidRPr="00746DB3">
        <w:rPr>
          <w:lang w:val="en-GB"/>
        </w:rPr>
        <w:t xml:space="preserve">since they </w:t>
      </w:r>
      <w:r w:rsidR="005E06C2" w:rsidRPr="00746DB3">
        <w:rPr>
          <w:lang w:val="en-GB"/>
        </w:rPr>
        <w:t xml:space="preserve">boost the reduction of </w:t>
      </w:r>
      <w:r w:rsidR="008A770D" w:rsidRPr="00746DB3">
        <w:rPr>
          <w:lang w:val="en-GB"/>
        </w:rPr>
        <w:t>material costs</w:t>
      </w:r>
      <w:r w:rsidR="00A812D0">
        <w:rPr>
          <w:lang w:val="en-GB"/>
        </w:rPr>
        <w:t>,</w:t>
      </w:r>
      <w:r w:rsidR="008A770D" w:rsidRPr="00746DB3">
        <w:rPr>
          <w:lang w:val="en-GB"/>
        </w:rPr>
        <w:t xml:space="preserve"> b</w:t>
      </w:r>
      <w:r w:rsidR="00A812D0">
        <w:rPr>
          <w:lang w:val="en-GB"/>
        </w:rPr>
        <w:t xml:space="preserve">ut </w:t>
      </w:r>
      <w:r w:rsidR="005E06C2" w:rsidRPr="00746DB3">
        <w:rPr>
          <w:lang w:val="en-GB"/>
        </w:rPr>
        <w:t>ask</w:t>
      </w:r>
      <w:r w:rsidR="00A812D0">
        <w:rPr>
          <w:lang w:val="en-GB"/>
        </w:rPr>
        <w:t>ing</w:t>
      </w:r>
      <w:r w:rsidR="005E06C2" w:rsidRPr="00746DB3">
        <w:rPr>
          <w:lang w:val="en-GB"/>
        </w:rPr>
        <w:t xml:space="preserve"> for </w:t>
      </w:r>
      <w:r w:rsidR="008A770D" w:rsidRPr="00746DB3">
        <w:rPr>
          <w:lang w:val="en-GB"/>
        </w:rPr>
        <w:t xml:space="preserve">the most </w:t>
      </w:r>
      <w:r w:rsidR="005E06C2" w:rsidRPr="00746DB3">
        <w:rPr>
          <w:lang w:val="en-GB"/>
        </w:rPr>
        <w:t xml:space="preserve">drastic </w:t>
      </w:r>
      <w:r w:rsidR="008A770D" w:rsidRPr="00746DB3">
        <w:rPr>
          <w:lang w:val="en-GB"/>
        </w:rPr>
        <w:t>change</w:t>
      </w:r>
      <w:r w:rsidR="00286419">
        <w:rPr>
          <w:lang w:val="en-GB"/>
        </w:rPr>
        <w:t>s</w:t>
      </w:r>
      <w:r w:rsidR="008A770D" w:rsidRPr="00746DB3">
        <w:rPr>
          <w:lang w:val="en-GB"/>
        </w:rPr>
        <w:t xml:space="preserve"> in </w:t>
      </w:r>
      <w:r w:rsidR="00286419">
        <w:rPr>
          <w:lang w:val="en-GB"/>
        </w:rPr>
        <w:t xml:space="preserve">terms of </w:t>
      </w:r>
      <w:r w:rsidR="005E06C2" w:rsidRPr="00746DB3">
        <w:rPr>
          <w:lang w:val="en-GB"/>
        </w:rPr>
        <w:t>BM</w:t>
      </w:r>
      <w:r w:rsidR="00A812D0">
        <w:rPr>
          <w:lang w:val="en-GB"/>
        </w:rPr>
        <w:t>s.</w:t>
      </w:r>
      <w:r w:rsidR="008A770D" w:rsidRPr="00746DB3">
        <w:rPr>
          <w:lang w:val="en-GB"/>
        </w:rPr>
        <w:t xml:space="preserve"> </w:t>
      </w:r>
      <w:r w:rsidR="00A812D0">
        <w:rPr>
          <w:lang w:val="en-GB"/>
        </w:rPr>
        <w:t>T</w:t>
      </w:r>
      <w:r w:rsidR="005E06C2" w:rsidRPr="00746DB3">
        <w:rPr>
          <w:lang w:val="en-GB"/>
        </w:rPr>
        <w:t xml:space="preserve">his hampers in the industrial context both their widespread </w:t>
      </w:r>
      <w:r w:rsidR="006B41F6" w:rsidRPr="00746DB3">
        <w:rPr>
          <w:lang w:val="en-GB"/>
        </w:rPr>
        <w:t>imple</w:t>
      </w:r>
      <w:r w:rsidR="008A770D" w:rsidRPr="00746DB3">
        <w:rPr>
          <w:lang w:val="en-GB"/>
        </w:rPr>
        <w:t xml:space="preserve">mentation and </w:t>
      </w:r>
      <w:r w:rsidR="005E06C2" w:rsidRPr="00746DB3">
        <w:rPr>
          <w:lang w:val="en-GB"/>
        </w:rPr>
        <w:t xml:space="preserve">the provision of their benefits </w:t>
      </w:r>
      <w:r w:rsidR="008A770D" w:rsidRPr="00746DB3">
        <w:rPr>
          <w:lang w:val="en-GB"/>
        </w:rPr>
        <w:t>to resource</w:t>
      </w:r>
      <w:r w:rsidR="00A812D0">
        <w:rPr>
          <w:lang w:val="en-GB"/>
        </w:rPr>
        <w:t xml:space="preserve"> </w:t>
      </w:r>
      <w:r w:rsidR="008A770D" w:rsidRPr="00746DB3">
        <w:rPr>
          <w:lang w:val="en-GB"/>
        </w:rPr>
        <w:t>efficiency and circularity</w:t>
      </w:r>
      <w:r w:rsidR="006B41F6" w:rsidRPr="00746DB3">
        <w:rPr>
          <w:lang w:val="en-GB"/>
        </w:rPr>
        <w:t>.</w:t>
      </w:r>
      <w:r w:rsidR="005E06C2" w:rsidRPr="00746DB3">
        <w:rPr>
          <w:lang w:val="en-GB"/>
        </w:rPr>
        <w:t xml:space="preserve"> A further </w:t>
      </w:r>
      <w:r w:rsidR="00F451D9" w:rsidRPr="00746DB3">
        <w:rPr>
          <w:lang w:val="en-GB"/>
        </w:rPr>
        <w:t>research</w:t>
      </w:r>
      <w:r w:rsidR="005E06C2" w:rsidRPr="00746DB3">
        <w:rPr>
          <w:lang w:val="en-GB"/>
        </w:rPr>
        <w:t xml:space="preserve">, actively involving industrials, </w:t>
      </w:r>
      <w:r w:rsidR="00601635">
        <w:rPr>
          <w:lang w:val="en-GB"/>
        </w:rPr>
        <w:t>should</w:t>
      </w:r>
      <w:r w:rsidR="005E06C2" w:rsidRPr="00746DB3">
        <w:rPr>
          <w:lang w:val="en-GB"/>
        </w:rPr>
        <w:t xml:space="preserve"> be </w:t>
      </w:r>
      <w:r w:rsidR="00601635">
        <w:rPr>
          <w:lang w:val="en-GB"/>
        </w:rPr>
        <w:t>done</w:t>
      </w:r>
      <w:r w:rsidR="005E06C2" w:rsidRPr="00746DB3">
        <w:rPr>
          <w:lang w:val="en-GB"/>
        </w:rPr>
        <w:t xml:space="preserve"> </w:t>
      </w:r>
      <w:r w:rsidR="00601635">
        <w:rPr>
          <w:lang w:val="en-GB"/>
        </w:rPr>
        <w:t>for</w:t>
      </w:r>
      <w:r w:rsidR="005E06C2" w:rsidRPr="00746DB3">
        <w:rPr>
          <w:lang w:val="en-GB"/>
        </w:rPr>
        <w:t xml:space="preserve"> </w:t>
      </w:r>
      <w:r w:rsidR="00F451D9" w:rsidRPr="00746DB3">
        <w:rPr>
          <w:lang w:val="en-GB"/>
        </w:rPr>
        <w:t>verify</w:t>
      </w:r>
      <w:r w:rsidR="00601635">
        <w:rPr>
          <w:lang w:val="en-GB"/>
        </w:rPr>
        <w:t>ing</w:t>
      </w:r>
      <w:r w:rsidR="00F451D9" w:rsidRPr="00746DB3">
        <w:rPr>
          <w:lang w:val="en-GB"/>
        </w:rPr>
        <w:t xml:space="preserve"> and </w:t>
      </w:r>
      <w:r w:rsidR="005E06C2" w:rsidRPr="00746DB3">
        <w:rPr>
          <w:lang w:val="en-GB"/>
        </w:rPr>
        <w:t>better understand</w:t>
      </w:r>
      <w:r w:rsidR="00601635">
        <w:rPr>
          <w:lang w:val="en-GB"/>
        </w:rPr>
        <w:t>ing</w:t>
      </w:r>
      <w:r w:rsidR="005E06C2" w:rsidRPr="00746DB3">
        <w:rPr>
          <w:lang w:val="en-GB"/>
        </w:rPr>
        <w:t xml:space="preserve"> </w:t>
      </w:r>
      <w:r w:rsidR="00F451D9" w:rsidRPr="00746DB3">
        <w:rPr>
          <w:lang w:val="en-GB"/>
        </w:rPr>
        <w:t>which kind of PSS</w:t>
      </w:r>
      <w:r w:rsidR="005D6EA1">
        <w:rPr>
          <w:lang w:val="en-GB"/>
        </w:rPr>
        <w:t>s</w:t>
      </w:r>
      <w:r w:rsidR="00F451D9" w:rsidRPr="00746DB3">
        <w:rPr>
          <w:lang w:val="en-GB"/>
        </w:rPr>
        <w:t>, or CBM archetype</w:t>
      </w:r>
      <w:r w:rsidR="005D6EA1">
        <w:rPr>
          <w:lang w:val="en-GB"/>
        </w:rPr>
        <w:t>s</w:t>
      </w:r>
      <w:r w:rsidR="00F451D9" w:rsidRPr="00746DB3">
        <w:rPr>
          <w:lang w:val="en-GB"/>
        </w:rPr>
        <w:t xml:space="preserve">, could </w:t>
      </w:r>
      <w:r w:rsidR="005D6EA1">
        <w:rPr>
          <w:lang w:val="en-GB"/>
        </w:rPr>
        <w:t xml:space="preserve">better </w:t>
      </w:r>
      <w:r w:rsidR="00F451D9" w:rsidRPr="00746DB3">
        <w:rPr>
          <w:lang w:val="en-GB"/>
        </w:rPr>
        <w:t xml:space="preserve">contribute </w:t>
      </w:r>
      <w:r w:rsidR="005D6EA1">
        <w:rPr>
          <w:lang w:val="en-GB"/>
        </w:rPr>
        <w:t>in</w:t>
      </w:r>
      <w:r w:rsidR="00F451D9" w:rsidRPr="00746DB3">
        <w:rPr>
          <w:lang w:val="en-GB"/>
        </w:rPr>
        <w:t xml:space="preserve"> adopt</w:t>
      </w:r>
      <w:r w:rsidR="005D6EA1">
        <w:rPr>
          <w:lang w:val="en-GB"/>
        </w:rPr>
        <w:t>ing</w:t>
      </w:r>
      <w:r w:rsidR="00F451D9" w:rsidRPr="00746DB3">
        <w:rPr>
          <w:lang w:val="en-GB"/>
        </w:rPr>
        <w:t xml:space="preserve"> and achiev</w:t>
      </w:r>
      <w:r w:rsidR="005D6EA1">
        <w:rPr>
          <w:lang w:val="en-GB"/>
        </w:rPr>
        <w:t>ing</w:t>
      </w:r>
      <w:r w:rsidR="00F451D9" w:rsidRPr="00746DB3">
        <w:rPr>
          <w:lang w:val="en-GB"/>
        </w:rPr>
        <w:t xml:space="preserve"> CE and which benefits</w:t>
      </w:r>
      <w:r w:rsidR="001203A2">
        <w:rPr>
          <w:lang w:val="en-GB"/>
        </w:rPr>
        <w:t xml:space="preserve"> </w:t>
      </w:r>
      <w:r w:rsidR="00F451D9" w:rsidRPr="00746DB3">
        <w:rPr>
          <w:lang w:val="en-GB"/>
        </w:rPr>
        <w:t xml:space="preserve">could </w:t>
      </w:r>
      <w:r w:rsidR="001203A2">
        <w:rPr>
          <w:lang w:val="en-GB"/>
        </w:rPr>
        <w:t>be gathered</w:t>
      </w:r>
      <w:r w:rsidR="00F451D9" w:rsidRPr="00746DB3">
        <w:rPr>
          <w:lang w:val="en-GB"/>
        </w:rPr>
        <w:t xml:space="preserve"> </w:t>
      </w:r>
      <w:r w:rsidR="001203A2">
        <w:rPr>
          <w:lang w:val="en-GB"/>
        </w:rPr>
        <w:t>by</w:t>
      </w:r>
      <w:r w:rsidR="00F451D9" w:rsidRPr="00746DB3">
        <w:rPr>
          <w:lang w:val="en-GB"/>
        </w:rPr>
        <w:t xml:space="preserve"> compan</w:t>
      </w:r>
      <w:r w:rsidR="001203A2">
        <w:rPr>
          <w:lang w:val="en-GB"/>
        </w:rPr>
        <w:t>ies</w:t>
      </w:r>
      <w:r w:rsidR="00F451D9" w:rsidRPr="00746DB3">
        <w:rPr>
          <w:lang w:val="en-GB"/>
        </w:rPr>
        <w:t>.</w:t>
      </w:r>
    </w:p>
    <w:p w14:paraId="372447F7" w14:textId="209BB843" w:rsidR="002813FE" w:rsidRPr="00402AEC" w:rsidRDefault="00AB417F" w:rsidP="00026D10">
      <w:pPr>
        <w:spacing w:after="240" w:line="360" w:lineRule="auto"/>
        <w:rPr>
          <w:b/>
          <w:lang w:val="en-GB"/>
        </w:rPr>
      </w:pPr>
      <w:r w:rsidRPr="00402AEC">
        <w:rPr>
          <w:b/>
          <w:lang w:val="en-GB"/>
        </w:rPr>
        <w:t xml:space="preserve">6. </w:t>
      </w:r>
      <w:r w:rsidR="00DE1215" w:rsidRPr="00402AEC">
        <w:rPr>
          <w:b/>
          <w:lang w:val="en-GB"/>
        </w:rPr>
        <w:t>Conclusion</w:t>
      </w:r>
      <w:r w:rsidR="007C76C9" w:rsidRPr="00402AEC">
        <w:rPr>
          <w:b/>
          <w:lang w:val="en-GB"/>
        </w:rPr>
        <w:t>s</w:t>
      </w:r>
    </w:p>
    <w:p w14:paraId="548E04BE" w14:textId="450DF0BF" w:rsidR="00C34F11" w:rsidRPr="00746DB3" w:rsidRDefault="004C34B9" w:rsidP="00851EEC">
      <w:pPr>
        <w:spacing w:after="240" w:line="360" w:lineRule="auto"/>
        <w:jc w:val="both"/>
        <w:rPr>
          <w:rFonts w:eastAsia="Times New Roman"/>
          <w:lang w:val="en-GB"/>
        </w:rPr>
      </w:pPr>
      <w:r w:rsidRPr="00402AEC">
        <w:rPr>
          <w:lang w:val="en-GB"/>
        </w:rPr>
        <w:t>The present paper conducted</w:t>
      </w:r>
      <w:r w:rsidR="00CA0608" w:rsidRPr="00402AEC">
        <w:rPr>
          <w:lang w:val="en-GB"/>
        </w:rPr>
        <w:t xml:space="preserve"> </w:t>
      </w:r>
      <w:r w:rsidR="00DE1215" w:rsidRPr="00402AEC">
        <w:rPr>
          <w:lang w:val="en-GB"/>
        </w:rPr>
        <w:t xml:space="preserve">a </w:t>
      </w:r>
      <w:r w:rsidR="00E21E39" w:rsidRPr="00402AEC">
        <w:rPr>
          <w:lang w:val="en-GB"/>
        </w:rPr>
        <w:t xml:space="preserve">systematic literature </w:t>
      </w:r>
      <w:r w:rsidR="00EC11CF">
        <w:rPr>
          <w:lang w:val="en-GB"/>
        </w:rPr>
        <w:t>review</w:t>
      </w:r>
      <w:r w:rsidR="00BF2F60">
        <w:rPr>
          <w:lang w:val="en-GB"/>
        </w:rPr>
        <w:t xml:space="preserve"> to both explore the CBM research context</w:t>
      </w:r>
      <w:r w:rsidR="0095023F">
        <w:rPr>
          <w:lang w:val="en-GB"/>
        </w:rPr>
        <w:t xml:space="preserve">, </w:t>
      </w:r>
      <w:r w:rsidR="002A0960" w:rsidRPr="00402AEC">
        <w:rPr>
          <w:lang w:val="en-GB"/>
        </w:rPr>
        <w:t>defin</w:t>
      </w:r>
      <w:r w:rsidR="00BF2F60">
        <w:rPr>
          <w:lang w:val="en-GB"/>
        </w:rPr>
        <w:t>e</w:t>
      </w:r>
      <w:r w:rsidR="00DE1215" w:rsidRPr="00402AEC">
        <w:rPr>
          <w:lang w:val="en-GB"/>
        </w:rPr>
        <w:t xml:space="preserve"> the most common types of CBMs and their classification methods.</w:t>
      </w:r>
      <w:r w:rsidR="00E21E39" w:rsidRPr="00402AEC">
        <w:rPr>
          <w:lang w:val="en-GB" w:bidi="en-US"/>
        </w:rPr>
        <w:t xml:space="preserve"> The analysis states that most common CBMs are recycling practices and use-oriented PSSs</w:t>
      </w:r>
      <w:r w:rsidR="002D2B3C">
        <w:rPr>
          <w:lang w:val="en-GB" w:bidi="en-US"/>
        </w:rPr>
        <w:t>,</w:t>
      </w:r>
      <w:r w:rsidR="00E21E39" w:rsidRPr="00402AEC">
        <w:rPr>
          <w:lang w:val="en-GB" w:bidi="en-US"/>
        </w:rPr>
        <w:t xml:space="preserve"> but </w:t>
      </w:r>
      <w:r w:rsidR="002811C8">
        <w:rPr>
          <w:lang w:val="en-GB" w:bidi="en-US"/>
        </w:rPr>
        <w:t xml:space="preserve">also </w:t>
      </w:r>
      <w:r w:rsidR="001D72D0">
        <w:rPr>
          <w:lang w:val="en-GB" w:bidi="en-US"/>
        </w:rPr>
        <w:t>product</w:t>
      </w:r>
      <w:r w:rsidR="002811C8" w:rsidRPr="001068D4">
        <w:rPr>
          <w:lang w:val="en-GB" w:bidi="en-US"/>
        </w:rPr>
        <w:t xml:space="preserve">- and result- </w:t>
      </w:r>
      <w:r w:rsidR="002811C8" w:rsidRPr="001068D4">
        <w:rPr>
          <w:lang w:val="en-GB" w:bidi="en-US"/>
        </w:rPr>
        <w:lastRenderedPageBreak/>
        <w:t>oriented PSSs</w:t>
      </w:r>
      <w:r w:rsidR="002811C8">
        <w:rPr>
          <w:lang w:val="en-GB" w:bidi="en-US"/>
        </w:rPr>
        <w:t xml:space="preserve"> </w:t>
      </w:r>
      <w:r w:rsidR="00E21E39" w:rsidRPr="00402AEC">
        <w:rPr>
          <w:lang w:val="en-GB" w:bidi="en-US"/>
        </w:rPr>
        <w:t>unveil strategic potentialities</w:t>
      </w:r>
      <w:r w:rsidR="0024501C">
        <w:rPr>
          <w:lang w:val="en-GB" w:bidi="en-US"/>
        </w:rPr>
        <w:t xml:space="preserve"> towards CE</w:t>
      </w:r>
      <w:r w:rsidR="00E21E39" w:rsidRPr="00402AEC">
        <w:rPr>
          <w:lang w:val="en-GB" w:bidi="en-US"/>
        </w:rPr>
        <w:t>.</w:t>
      </w:r>
      <w:r w:rsidR="00C96A6D" w:rsidRPr="00402AEC">
        <w:rPr>
          <w:lang w:val="en-GB"/>
        </w:rPr>
        <w:t xml:space="preserve"> </w:t>
      </w:r>
      <w:r w:rsidR="00C96A6D" w:rsidRPr="00402AEC">
        <w:rPr>
          <w:rFonts w:eastAsia="Times New Roman"/>
          <w:lang w:val="en-GB"/>
        </w:rPr>
        <w:t>W</w:t>
      </w:r>
      <w:r w:rsidR="00DE1215" w:rsidRPr="00402AEC">
        <w:rPr>
          <w:lang w:val="en-GB" w:bidi="en-US"/>
        </w:rPr>
        <w:t xml:space="preserve">hat is evident from the literature is </w:t>
      </w:r>
      <w:r w:rsidR="002811C8">
        <w:rPr>
          <w:lang w:val="en-GB" w:bidi="en-US"/>
        </w:rPr>
        <w:t>the</w:t>
      </w:r>
      <w:r w:rsidR="00DE1215" w:rsidRPr="00402AEC">
        <w:rPr>
          <w:lang w:val="en-GB" w:bidi="en-US"/>
        </w:rPr>
        <w:t xml:space="preserve"> big research gap in terms of how </w:t>
      </w:r>
      <w:r w:rsidR="00662B15">
        <w:rPr>
          <w:lang w:val="en-GB" w:bidi="en-US"/>
        </w:rPr>
        <w:t xml:space="preserve">to </w:t>
      </w:r>
      <w:r w:rsidR="00DE1215" w:rsidRPr="00402AEC">
        <w:rPr>
          <w:lang w:val="en-GB" w:bidi="en-US"/>
        </w:rPr>
        <w:t xml:space="preserve">practically transform a linear </w:t>
      </w:r>
      <w:r w:rsidR="0024501C">
        <w:rPr>
          <w:lang w:val="en-GB" w:bidi="en-US"/>
        </w:rPr>
        <w:t>BM</w:t>
      </w:r>
      <w:r w:rsidR="00DE1215" w:rsidRPr="00402AEC">
        <w:rPr>
          <w:lang w:val="en-GB" w:bidi="en-US"/>
        </w:rPr>
        <w:t xml:space="preserve"> in</w:t>
      </w:r>
      <w:r w:rsidR="002811C8">
        <w:rPr>
          <w:lang w:val="en-GB" w:bidi="en-US"/>
        </w:rPr>
        <w:t>to</w:t>
      </w:r>
      <w:r w:rsidR="00DE1215" w:rsidRPr="00402AEC">
        <w:rPr>
          <w:lang w:val="en-GB" w:bidi="en-US"/>
        </w:rPr>
        <w:t xml:space="preserve"> a circular one, with very few cases implementing </w:t>
      </w:r>
      <w:r w:rsidR="00B05EF0">
        <w:rPr>
          <w:lang w:val="en-GB" w:bidi="en-US"/>
        </w:rPr>
        <w:t xml:space="preserve">CE </w:t>
      </w:r>
      <w:r w:rsidR="00DE1215" w:rsidRPr="00402AEC">
        <w:rPr>
          <w:lang w:val="en-GB" w:bidi="en-US"/>
        </w:rPr>
        <w:t>in</w:t>
      </w:r>
      <w:r w:rsidR="00B05EF0">
        <w:rPr>
          <w:lang w:val="en-GB" w:bidi="en-US"/>
        </w:rPr>
        <w:t>to</w:t>
      </w:r>
      <w:r w:rsidR="00DE1215" w:rsidRPr="00402AEC">
        <w:rPr>
          <w:lang w:val="en-GB" w:bidi="en-US"/>
        </w:rPr>
        <w:t xml:space="preserve"> practice. </w:t>
      </w:r>
      <w:r w:rsidR="009C0103" w:rsidRPr="00402AEC">
        <w:rPr>
          <w:lang w:val="en-GB" w:bidi="en-US"/>
        </w:rPr>
        <w:t>Indeed</w:t>
      </w:r>
      <w:r w:rsidR="00DE1215" w:rsidRPr="00402AEC">
        <w:rPr>
          <w:lang w:val="en-GB" w:bidi="en-US"/>
        </w:rPr>
        <w:t xml:space="preserve">, </w:t>
      </w:r>
      <w:r w:rsidR="00F735CA" w:rsidRPr="00402AEC">
        <w:rPr>
          <w:lang w:val="en-GB" w:bidi="en-US"/>
        </w:rPr>
        <w:t>a clear line of action to</w:t>
      </w:r>
      <w:r w:rsidR="007907FC" w:rsidRPr="00402AEC">
        <w:rPr>
          <w:lang w:val="en-GB" w:bidi="en-US"/>
        </w:rPr>
        <w:t xml:space="preserve"> practical</w:t>
      </w:r>
      <w:r w:rsidR="00F735CA" w:rsidRPr="00402AEC">
        <w:rPr>
          <w:lang w:val="en-GB" w:bidi="en-US"/>
        </w:rPr>
        <w:t xml:space="preserve">ly support a BM change from linear to circular is still </w:t>
      </w:r>
      <w:r w:rsidR="008E26F5" w:rsidRPr="00402AEC">
        <w:rPr>
          <w:lang w:val="en-GB" w:bidi="en-US"/>
        </w:rPr>
        <w:t>missing</w:t>
      </w:r>
      <w:r w:rsidR="00A24772">
        <w:rPr>
          <w:lang w:val="en-GB" w:bidi="en-US"/>
        </w:rPr>
        <w:t>.</w:t>
      </w:r>
      <w:r w:rsidR="00DE1215" w:rsidRPr="00402AEC">
        <w:rPr>
          <w:lang w:val="en-GB" w:bidi="en-US"/>
        </w:rPr>
        <w:t xml:space="preserve"> </w:t>
      </w:r>
      <w:r w:rsidR="006D570C">
        <w:rPr>
          <w:lang w:val="en-GB" w:bidi="en-US"/>
        </w:rPr>
        <w:t>From one side, t</w:t>
      </w:r>
      <w:r w:rsidR="00DE1215" w:rsidRPr="00402AEC">
        <w:rPr>
          <w:lang w:val="en-GB" w:bidi="en-US"/>
        </w:rPr>
        <w:t xml:space="preserve">heoretical concepts are given only </w:t>
      </w:r>
      <w:r w:rsidR="006D570C" w:rsidRPr="00402AEC">
        <w:rPr>
          <w:lang w:val="en-GB" w:bidi="en-US"/>
        </w:rPr>
        <w:t>a</w:t>
      </w:r>
      <w:r w:rsidR="006D570C">
        <w:rPr>
          <w:lang w:val="en-GB" w:bidi="en-US"/>
        </w:rPr>
        <w:t>s</w:t>
      </w:r>
      <w:r w:rsidR="00DE1215" w:rsidRPr="00402AEC">
        <w:rPr>
          <w:lang w:val="en-GB" w:bidi="en-US"/>
        </w:rPr>
        <w:t xml:space="preserve"> suggestion</w:t>
      </w:r>
      <w:r w:rsidR="006D570C">
        <w:rPr>
          <w:lang w:val="en-GB" w:bidi="en-US"/>
        </w:rPr>
        <w:t>s</w:t>
      </w:r>
      <w:r w:rsidR="00DE1215" w:rsidRPr="00402AEC">
        <w:rPr>
          <w:lang w:val="en-GB" w:bidi="en-US"/>
        </w:rPr>
        <w:t xml:space="preserve"> to companies and politicians</w:t>
      </w:r>
      <w:r w:rsidR="006D570C">
        <w:rPr>
          <w:lang w:val="en-GB" w:bidi="en-US"/>
        </w:rPr>
        <w:t>.</w:t>
      </w:r>
      <w:r w:rsidR="00DE1215" w:rsidRPr="00402AEC">
        <w:rPr>
          <w:lang w:val="en-GB" w:bidi="en-US"/>
        </w:rPr>
        <w:t xml:space="preserve"> </w:t>
      </w:r>
      <w:r w:rsidR="006D570C">
        <w:rPr>
          <w:lang w:val="en-GB" w:bidi="en-US"/>
        </w:rPr>
        <w:t>From another side, b</w:t>
      </w:r>
      <w:r w:rsidR="00DE1215" w:rsidRPr="00402AEC">
        <w:rPr>
          <w:lang w:val="en-GB" w:bidi="en-US"/>
        </w:rPr>
        <w:t xml:space="preserve">est practices are </w:t>
      </w:r>
      <w:r w:rsidR="006D570C">
        <w:rPr>
          <w:lang w:val="en-GB" w:bidi="en-US"/>
        </w:rPr>
        <w:t>too</w:t>
      </w:r>
      <w:r w:rsidR="00DE1215" w:rsidRPr="00402AEC">
        <w:rPr>
          <w:lang w:val="en-GB" w:bidi="en-US"/>
        </w:rPr>
        <w:t xml:space="preserve"> complex to be adoptable by </w:t>
      </w:r>
      <w:r w:rsidR="000E7458" w:rsidRPr="00402AEC">
        <w:rPr>
          <w:lang w:val="en-GB" w:bidi="en-US"/>
        </w:rPr>
        <w:t>SMEs</w:t>
      </w:r>
      <w:r w:rsidR="00DE1215" w:rsidRPr="00402AEC">
        <w:rPr>
          <w:lang w:val="en-GB" w:bidi="en-US"/>
        </w:rPr>
        <w:t>. Moreover, the involvement of common people in current industrial CBMs is almost absent from the reference literature.</w:t>
      </w:r>
      <w:r w:rsidR="00046F0D">
        <w:rPr>
          <w:lang w:val="en-GB" w:bidi="en-US"/>
        </w:rPr>
        <w:t xml:space="preserve"> </w:t>
      </w:r>
      <w:r w:rsidR="000D4DFA">
        <w:rPr>
          <w:lang w:val="en-GB" w:bidi="en-US"/>
        </w:rPr>
        <w:t xml:space="preserve">Considering all these issues, </w:t>
      </w:r>
      <w:r w:rsidR="000D4DFA" w:rsidRPr="006A568D">
        <w:rPr>
          <w:lang w:val="en-GB" w:bidi="en-US"/>
        </w:rPr>
        <w:t xml:space="preserve">this research </w:t>
      </w:r>
      <w:r w:rsidR="000D4DFA">
        <w:rPr>
          <w:lang w:val="en-GB" w:bidi="en-US"/>
        </w:rPr>
        <w:t>tried in</w:t>
      </w:r>
      <w:r w:rsidR="000D4DFA" w:rsidRPr="006A568D">
        <w:rPr>
          <w:lang w:val="en-GB" w:bidi="en-US"/>
        </w:rPr>
        <w:t xml:space="preserve"> propos</w:t>
      </w:r>
      <w:r w:rsidR="000D4DFA">
        <w:rPr>
          <w:lang w:val="en-GB" w:bidi="en-US"/>
        </w:rPr>
        <w:t>ing</w:t>
      </w:r>
      <w:r w:rsidR="000D4DFA" w:rsidRPr="006A568D">
        <w:rPr>
          <w:lang w:val="en-GB" w:bidi="en-US"/>
        </w:rPr>
        <w:t xml:space="preserve"> a practical way to overcome </w:t>
      </w:r>
      <w:r w:rsidR="000D4DFA">
        <w:rPr>
          <w:lang w:val="en-GB" w:bidi="en-US"/>
        </w:rPr>
        <w:t xml:space="preserve">some of </w:t>
      </w:r>
      <w:r w:rsidR="000D4DFA" w:rsidRPr="006A568D">
        <w:rPr>
          <w:lang w:val="en-GB" w:bidi="en-US"/>
        </w:rPr>
        <w:t>these limits</w:t>
      </w:r>
      <w:r w:rsidR="000D4DFA">
        <w:rPr>
          <w:lang w:val="en-GB" w:bidi="en-US"/>
        </w:rPr>
        <w:t>, by</w:t>
      </w:r>
      <w:r w:rsidR="000D4DFA" w:rsidRPr="006A568D">
        <w:rPr>
          <w:lang w:val="en-GB" w:bidi="en-US"/>
        </w:rPr>
        <w:t xml:space="preserve"> providing a set of innovative CBMs.</w:t>
      </w:r>
      <w:r w:rsidR="000D4DFA" w:rsidRPr="006A568D">
        <w:rPr>
          <w:lang w:val="en-GB"/>
        </w:rPr>
        <w:t xml:space="preserve"> Indeed, the analysis conducted contributes to the research domain</w:t>
      </w:r>
      <w:r w:rsidR="000D4DFA">
        <w:rPr>
          <w:lang w:val="en-GB"/>
        </w:rPr>
        <w:t>,</w:t>
      </w:r>
      <w:r w:rsidR="000D4DFA" w:rsidRPr="006A568D">
        <w:rPr>
          <w:lang w:val="en-GB"/>
        </w:rPr>
        <w:t xml:space="preserve"> </w:t>
      </w:r>
      <w:r w:rsidR="000D4DFA">
        <w:rPr>
          <w:lang w:val="en-GB"/>
        </w:rPr>
        <w:t xml:space="preserve">by </w:t>
      </w:r>
      <w:r w:rsidR="000D4DFA" w:rsidRPr="006A568D">
        <w:rPr>
          <w:lang w:val="en-GB"/>
        </w:rPr>
        <w:t xml:space="preserve">providing a declination of possible strategies </w:t>
      </w:r>
      <w:r w:rsidR="000D4DFA">
        <w:rPr>
          <w:lang w:val="en-GB"/>
        </w:rPr>
        <w:t>for</w:t>
      </w:r>
      <w:r w:rsidR="000D4DFA" w:rsidRPr="006A568D">
        <w:rPr>
          <w:lang w:val="en-GB"/>
        </w:rPr>
        <w:t xml:space="preserve"> approach</w:t>
      </w:r>
      <w:r w:rsidR="000D4DFA">
        <w:rPr>
          <w:lang w:val="en-GB"/>
        </w:rPr>
        <w:t>ing</w:t>
      </w:r>
      <w:r w:rsidR="000D4DFA" w:rsidRPr="006A568D">
        <w:rPr>
          <w:lang w:val="en-GB"/>
        </w:rPr>
        <w:t xml:space="preserve"> CE, also ranked according to their frequency of adoption in the extant literature. </w:t>
      </w:r>
      <w:r w:rsidR="004C3625" w:rsidRPr="00AD578E">
        <w:rPr>
          <w:lang w:val="en-GB"/>
        </w:rPr>
        <w:t>F</w:t>
      </w:r>
      <w:r w:rsidR="004C3625">
        <w:rPr>
          <w:lang w:val="en-GB"/>
        </w:rPr>
        <w:t>rom</w:t>
      </w:r>
      <w:r w:rsidR="004C3625" w:rsidRPr="00AD578E">
        <w:rPr>
          <w:lang w:val="en-GB"/>
        </w:rPr>
        <w:t xml:space="preserve"> </w:t>
      </w:r>
      <w:r w:rsidR="004C3625">
        <w:rPr>
          <w:lang w:val="en-GB"/>
        </w:rPr>
        <w:t xml:space="preserve">an </w:t>
      </w:r>
      <w:r w:rsidR="004C3625" w:rsidRPr="00AD578E">
        <w:rPr>
          <w:lang w:val="en-GB"/>
        </w:rPr>
        <w:t>industrial</w:t>
      </w:r>
      <w:r w:rsidR="004C3625">
        <w:rPr>
          <w:lang w:val="en-GB"/>
        </w:rPr>
        <w:t xml:space="preserve"> perspective</w:t>
      </w:r>
      <w:r w:rsidR="004C3625" w:rsidRPr="00AD578E">
        <w:rPr>
          <w:lang w:val="en-GB"/>
        </w:rPr>
        <w:t xml:space="preserve">, this categorization </w:t>
      </w:r>
      <w:r w:rsidR="004C3625">
        <w:rPr>
          <w:lang w:val="en-GB"/>
        </w:rPr>
        <w:t>could represent</w:t>
      </w:r>
      <w:r w:rsidR="004C3625" w:rsidRPr="00AD578E">
        <w:rPr>
          <w:lang w:val="en-GB"/>
        </w:rPr>
        <w:t xml:space="preserve"> a starting point to better understand which is the </w:t>
      </w:r>
      <w:r w:rsidR="004C3625">
        <w:rPr>
          <w:lang w:val="en-GB"/>
        </w:rPr>
        <w:t xml:space="preserve">preferable </w:t>
      </w:r>
      <w:r w:rsidR="004C3625" w:rsidRPr="00AD578E">
        <w:rPr>
          <w:lang w:val="en-GB"/>
        </w:rPr>
        <w:t xml:space="preserve">CBM </w:t>
      </w:r>
      <w:r w:rsidR="004C3625">
        <w:rPr>
          <w:lang w:val="en-GB"/>
        </w:rPr>
        <w:t xml:space="preserve">to </w:t>
      </w:r>
      <w:r w:rsidR="004C3625" w:rsidRPr="00AD578E">
        <w:rPr>
          <w:lang w:val="en-GB"/>
        </w:rPr>
        <w:t xml:space="preserve">be adopted </w:t>
      </w:r>
      <w:r w:rsidR="00EA4274">
        <w:rPr>
          <w:lang w:val="en-GB"/>
        </w:rPr>
        <w:t>– depending</w:t>
      </w:r>
      <w:r w:rsidR="004C3625" w:rsidRPr="00AD578E">
        <w:rPr>
          <w:lang w:val="en-GB"/>
        </w:rPr>
        <w:t xml:space="preserve"> on </w:t>
      </w:r>
      <w:r w:rsidR="004C3625">
        <w:rPr>
          <w:lang w:val="en-GB"/>
        </w:rPr>
        <w:t xml:space="preserve">internal </w:t>
      </w:r>
      <w:r w:rsidR="004C3625" w:rsidRPr="00AD578E">
        <w:rPr>
          <w:lang w:val="en-GB"/>
        </w:rPr>
        <w:t>strateg</w:t>
      </w:r>
      <w:r w:rsidR="004C3625">
        <w:rPr>
          <w:lang w:val="en-GB"/>
        </w:rPr>
        <w:t>ies</w:t>
      </w:r>
      <w:r w:rsidR="004C3625" w:rsidRPr="00AD578E">
        <w:rPr>
          <w:lang w:val="en-GB"/>
        </w:rPr>
        <w:t xml:space="preserve"> to be pursued</w:t>
      </w:r>
      <w:r w:rsidR="00EA4274">
        <w:rPr>
          <w:lang w:val="en-GB"/>
        </w:rPr>
        <w:t xml:space="preserve"> –</w:t>
      </w:r>
      <w:r w:rsidR="00061F40" w:rsidRPr="00061F40">
        <w:rPr>
          <w:lang w:val="en-GB" w:bidi="en-US"/>
        </w:rPr>
        <w:t xml:space="preserve"> </w:t>
      </w:r>
      <w:r w:rsidR="00061F40">
        <w:rPr>
          <w:lang w:val="en-GB" w:bidi="en-US"/>
        </w:rPr>
        <w:t>by</w:t>
      </w:r>
      <w:r w:rsidR="00EA4274">
        <w:rPr>
          <w:lang w:val="en-GB" w:bidi="en-US"/>
        </w:rPr>
        <w:t xml:space="preserve"> </w:t>
      </w:r>
      <w:r w:rsidR="00061F40" w:rsidRPr="00404C88">
        <w:rPr>
          <w:lang w:val="en-GB"/>
        </w:rPr>
        <w:t>uncover</w:t>
      </w:r>
      <w:r w:rsidR="00061F40">
        <w:rPr>
          <w:lang w:val="en-GB"/>
        </w:rPr>
        <w:t>ing</w:t>
      </w:r>
      <w:r w:rsidR="00061F40" w:rsidRPr="00404C88">
        <w:rPr>
          <w:lang w:val="en-GB"/>
        </w:rPr>
        <w:t xml:space="preserve"> challenges and opportunitie</w:t>
      </w:r>
      <w:r w:rsidR="00550EB8">
        <w:rPr>
          <w:lang w:val="en-GB"/>
        </w:rPr>
        <w:t>s</w:t>
      </w:r>
      <w:r w:rsidR="00061F40" w:rsidRPr="00404C88">
        <w:rPr>
          <w:lang w:val="en-GB"/>
        </w:rPr>
        <w:t>.</w:t>
      </w:r>
      <w:r w:rsidR="00550EB8" w:rsidRPr="00550EB8">
        <w:rPr>
          <w:lang w:val="en-GB"/>
        </w:rPr>
        <w:t xml:space="preserve"> </w:t>
      </w:r>
      <w:r w:rsidR="00550EB8" w:rsidRPr="00AA3F2A">
        <w:rPr>
          <w:lang w:val="en-GB"/>
        </w:rPr>
        <w:t xml:space="preserve">From a governmental perspective, </w:t>
      </w:r>
      <w:r w:rsidR="00550EB8" w:rsidRPr="005861E8">
        <w:rPr>
          <w:lang w:val="en-GB"/>
        </w:rPr>
        <w:t>detected</w:t>
      </w:r>
      <w:r w:rsidR="00550EB8" w:rsidRPr="00AA3F2A" w:rsidDel="00550EB8">
        <w:rPr>
          <w:lang w:val="en-GB"/>
        </w:rPr>
        <w:t xml:space="preserve"> </w:t>
      </w:r>
      <w:r w:rsidR="00550EB8" w:rsidRPr="00AA3F2A">
        <w:rPr>
          <w:lang w:val="en-GB"/>
        </w:rPr>
        <w:t>CBM archetypes c</w:t>
      </w:r>
      <w:r w:rsidR="00024A09">
        <w:rPr>
          <w:lang w:val="en-GB"/>
        </w:rPr>
        <w:t>ould</w:t>
      </w:r>
      <w:r w:rsidR="00550EB8" w:rsidRPr="00AA3F2A">
        <w:rPr>
          <w:lang w:val="en-GB"/>
        </w:rPr>
        <w:t xml:space="preserve"> guide </w:t>
      </w:r>
      <w:r w:rsidR="00550EB8">
        <w:rPr>
          <w:lang w:val="en-GB"/>
        </w:rPr>
        <w:t>politicians</w:t>
      </w:r>
      <w:r w:rsidR="00550EB8" w:rsidRPr="00AA3F2A">
        <w:rPr>
          <w:lang w:val="en-GB"/>
        </w:rPr>
        <w:t xml:space="preserve"> in drawing up circular-based plans</w:t>
      </w:r>
      <w:r w:rsidR="00550EB8">
        <w:rPr>
          <w:lang w:val="en-GB"/>
        </w:rPr>
        <w:t xml:space="preserve"> and subsidies</w:t>
      </w:r>
      <w:r w:rsidR="00550EB8" w:rsidRPr="00AA3F2A">
        <w:rPr>
          <w:lang w:val="en-GB"/>
        </w:rPr>
        <w:t>.</w:t>
      </w:r>
      <w:r w:rsidR="00644B92">
        <w:rPr>
          <w:lang w:val="en-GB"/>
        </w:rPr>
        <w:t xml:space="preserve"> F</w:t>
      </w:r>
      <w:r w:rsidR="00E53B9F">
        <w:rPr>
          <w:lang w:val="en-GB"/>
        </w:rPr>
        <w:t>rom a</w:t>
      </w:r>
      <w:r w:rsidR="002C4AEE">
        <w:rPr>
          <w:lang w:val="en-GB"/>
        </w:rPr>
        <w:t>n academic</w:t>
      </w:r>
      <w:r w:rsidR="00E53B9F">
        <w:rPr>
          <w:lang w:val="en-GB"/>
        </w:rPr>
        <w:t xml:space="preserve"> </w:t>
      </w:r>
      <w:r w:rsidR="002C4AEE">
        <w:rPr>
          <w:lang w:val="en-GB"/>
        </w:rPr>
        <w:t>perspective</w:t>
      </w:r>
      <w:r w:rsidR="00644B92">
        <w:rPr>
          <w:lang w:val="en-GB"/>
        </w:rPr>
        <w:t xml:space="preserve">, </w:t>
      </w:r>
      <w:r w:rsidR="00E53B9F" w:rsidRPr="006D7F1D">
        <w:rPr>
          <w:lang w:val="en-GB"/>
        </w:rPr>
        <w:t xml:space="preserve">they </w:t>
      </w:r>
      <w:r w:rsidR="00E53B9F">
        <w:rPr>
          <w:lang w:val="en-GB"/>
        </w:rPr>
        <w:t>open</w:t>
      </w:r>
      <w:r w:rsidR="00E53B9F" w:rsidRPr="006D7F1D">
        <w:rPr>
          <w:lang w:val="en-GB"/>
        </w:rPr>
        <w:t xml:space="preserve"> new research opportunities.</w:t>
      </w:r>
      <w:r w:rsidR="00E53B9F" w:rsidRPr="00E53B9F">
        <w:rPr>
          <w:rFonts w:eastAsia="Times New Roman"/>
          <w:lang w:val="en-GB"/>
        </w:rPr>
        <w:t xml:space="preserve"> </w:t>
      </w:r>
      <w:r w:rsidR="00E53B9F" w:rsidRPr="00FE5EC7">
        <w:rPr>
          <w:rFonts w:eastAsia="Times New Roman"/>
          <w:lang w:val="en-GB"/>
        </w:rPr>
        <w:t>First</w:t>
      </w:r>
      <w:r w:rsidR="00E53B9F">
        <w:rPr>
          <w:rFonts w:eastAsia="Times New Roman"/>
          <w:lang w:val="en-GB"/>
        </w:rPr>
        <w:t>ly</w:t>
      </w:r>
      <w:r w:rsidR="00E53B9F" w:rsidRPr="00FE5EC7">
        <w:rPr>
          <w:rFonts w:eastAsia="Times New Roman"/>
          <w:lang w:val="en-GB"/>
        </w:rPr>
        <w:t xml:space="preserve">, </w:t>
      </w:r>
      <w:r w:rsidR="00224E5A">
        <w:rPr>
          <w:rFonts w:eastAsia="Times New Roman"/>
          <w:lang w:val="en-GB"/>
        </w:rPr>
        <w:t>they</w:t>
      </w:r>
      <w:r w:rsidR="00E53B9F" w:rsidRPr="00FE5EC7">
        <w:rPr>
          <w:rFonts w:eastAsia="Times New Roman"/>
          <w:lang w:val="en-GB"/>
        </w:rPr>
        <w:t xml:space="preserve"> could be useful </w:t>
      </w:r>
      <w:r w:rsidR="00224E5A">
        <w:rPr>
          <w:rFonts w:eastAsia="Times New Roman"/>
          <w:lang w:val="en-GB"/>
        </w:rPr>
        <w:t>for</w:t>
      </w:r>
      <w:r w:rsidR="00E53B9F" w:rsidRPr="00FE5EC7">
        <w:rPr>
          <w:rFonts w:eastAsia="Times New Roman"/>
          <w:lang w:val="en-GB"/>
        </w:rPr>
        <w:t xml:space="preserve"> understand</w:t>
      </w:r>
      <w:r w:rsidR="00224E5A">
        <w:rPr>
          <w:rFonts w:eastAsia="Times New Roman"/>
          <w:lang w:val="en-GB"/>
        </w:rPr>
        <w:t>ing</w:t>
      </w:r>
      <w:r w:rsidR="00E53B9F" w:rsidRPr="00FE5EC7">
        <w:rPr>
          <w:rFonts w:eastAsia="Times New Roman"/>
          <w:lang w:val="en-GB"/>
        </w:rPr>
        <w:t xml:space="preserve"> which CBM archetypes can be considered </w:t>
      </w:r>
      <w:r w:rsidR="00E53B9F" w:rsidRPr="00FE5EC7">
        <w:rPr>
          <w:lang w:val="en-GB"/>
        </w:rPr>
        <w:t xml:space="preserve">the most suitable to practically enable </w:t>
      </w:r>
      <w:r w:rsidR="00E53B9F">
        <w:rPr>
          <w:lang w:val="en-GB"/>
        </w:rPr>
        <w:t>CE</w:t>
      </w:r>
      <w:r w:rsidR="00E53B9F" w:rsidRPr="00FE5EC7">
        <w:rPr>
          <w:lang w:val="en-GB"/>
        </w:rPr>
        <w:t xml:space="preserve"> in specific sectors</w:t>
      </w:r>
      <w:r w:rsidR="00174B58">
        <w:rPr>
          <w:lang w:val="en-GB"/>
        </w:rPr>
        <w:t>.</w:t>
      </w:r>
      <w:r w:rsidR="00174B58" w:rsidRPr="00174B58">
        <w:rPr>
          <w:lang w:val="en-GB"/>
        </w:rPr>
        <w:t xml:space="preserve"> </w:t>
      </w:r>
      <w:r w:rsidR="00174B58">
        <w:rPr>
          <w:lang w:val="en-GB"/>
        </w:rPr>
        <w:t>To this aim,</w:t>
      </w:r>
      <w:r w:rsidR="00174B58" w:rsidRPr="00AB0B92">
        <w:rPr>
          <w:lang w:val="en-GB"/>
        </w:rPr>
        <w:t xml:space="preserve"> the involvement of both academic and industrial experts </w:t>
      </w:r>
      <w:r w:rsidR="00EA4274">
        <w:rPr>
          <w:lang w:val="en-GB"/>
        </w:rPr>
        <w:t>could</w:t>
      </w:r>
      <w:r w:rsidR="00174B58" w:rsidRPr="00AB0B92">
        <w:rPr>
          <w:lang w:val="en-GB"/>
        </w:rPr>
        <w:t xml:space="preserve"> enable </w:t>
      </w:r>
      <w:r w:rsidR="0076329F">
        <w:rPr>
          <w:lang w:val="en-GB"/>
        </w:rPr>
        <w:t xml:space="preserve">both </w:t>
      </w:r>
      <w:r w:rsidR="00174B58" w:rsidRPr="00AB0B92">
        <w:rPr>
          <w:lang w:val="en-GB"/>
        </w:rPr>
        <w:t xml:space="preserve">the detection of specific CBMs </w:t>
      </w:r>
      <w:r w:rsidR="00FA4D6E">
        <w:rPr>
          <w:lang w:val="en-GB"/>
        </w:rPr>
        <w:t xml:space="preserve">and related benefits </w:t>
      </w:r>
      <w:r w:rsidR="00174B58" w:rsidRPr="00AB0B92">
        <w:rPr>
          <w:lang w:val="en-GB"/>
        </w:rPr>
        <w:t>in specific domains</w:t>
      </w:r>
      <w:r w:rsidR="00BF2F60">
        <w:rPr>
          <w:lang w:val="en-GB"/>
        </w:rPr>
        <w:t xml:space="preserve"> </w:t>
      </w:r>
      <w:r w:rsidR="00BF2F60">
        <w:rPr>
          <w:lang w:val="en-GB"/>
        </w:rPr>
        <w:fldChar w:fldCharType="begin" w:fldLock="1"/>
      </w:r>
      <w:r w:rsidR="003445CC">
        <w:rPr>
          <w:lang w:val="en-GB"/>
        </w:rPr>
        <w:instrText>ADDIN CSL_CITATION {"citationItems":[{"id":"ITEM-1","itemData":{"DOI":"10.1016/j.jclepro.2019.05.310","ISSN":"09596526","author":[{"dropping-particle":"","family":"Rosa","given":"Paolo","non-dropping-particle":"","parse-names":false,"suffix":""},{"dropping-particle":"","family":"Sassanelli","given":"Claudio","non-dropping-particle":"","parse-names":false,"suffix":""},{"dropping-particle":"","family":"Terzi","given":"Sergio","non-dropping-particle":"","parse-names":false,"suffix":""}],"container-title":"Journal of Cleaner Production","id":"ITEM-1","issued":{"date-parts":[["2019"]]},"publisher":"Elsevier B.V.","title":"Circular Business Models versus Circular Benefits: An Assessment in the Waste from Electrical and Electronic Equipments Sector","type":"article-journal"},"uris":["http://www.mendeley.com/documents/?uuid=5dac3ff0-8c3c-4c11-8018-1a154369ad91"]}],"mendeley":{"formattedCitation":"(Rosa et al., 2019)","plainTextFormattedCitation":"(Rosa et al., 2019)","previouslyFormattedCitation":"(Rosa et al., 2019)"},"properties":{"noteIndex":0},"schema":"https://github.com/citation-style-language/schema/raw/master/csl-citation.json"}</w:instrText>
      </w:r>
      <w:r w:rsidR="00BF2F60">
        <w:rPr>
          <w:lang w:val="en-GB"/>
        </w:rPr>
        <w:fldChar w:fldCharType="separate"/>
      </w:r>
      <w:r w:rsidR="00BF2F60" w:rsidRPr="00BF2F60">
        <w:rPr>
          <w:noProof/>
          <w:lang w:val="en-GB"/>
        </w:rPr>
        <w:t>(Rosa et al., 2019)</w:t>
      </w:r>
      <w:r w:rsidR="00BF2F60">
        <w:rPr>
          <w:lang w:val="en-GB"/>
        </w:rPr>
        <w:fldChar w:fldCharType="end"/>
      </w:r>
      <w:r w:rsidR="00174B58" w:rsidRPr="00AB0B92">
        <w:rPr>
          <w:lang w:val="en-GB"/>
        </w:rPr>
        <w:t>.</w:t>
      </w:r>
      <w:r w:rsidR="002D7DD1" w:rsidRPr="002D7DD1">
        <w:rPr>
          <w:rFonts w:eastAsia="Times New Roman"/>
          <w:lang w:val="en-GB"/>
        </w:rPr>
        <w:t xml:space="preserve"> </w:t>
      </w:r>
      <w:r w:rsidR="002D7DD1" w:rsidRPr="002D4CE4">
        <w:rPr>
          <w:rFonts w:eastAsia="Times New Roman"/>
          <w:lang w:val="en-GB"/>
        </w:rPr>
        <w:t>Second</w:t>
      </w:r>
      <w:r w:rsidR="002D7DD1">
        <w:rPr>
          <w:rFonts w:eastAsia="Times New Roman"/>
          <w:lang w:val="en-GB"/>
        </w:rPr>
        <w:t>ly</w:t>
      </w:r>
      <w:r w:rsidR="002D7DD1" w:rsidRPr="002D4CE4">
        <w:rPr>
          <w:rFonts w:eastAsia="Times New Roman"/>
          <w:lang w:val="en-GB"/>
        </w:rPr>
        <w:t>, a theoretical taxonomy for CBMs could be proposed</w:t>
      </w:r>
      <w:r w:rsidR="002D7DD1">
        <w:rPr>
          <w:rFonts w:eastAsia="Times New Roman"/>
          <w:lang w:val="en-GB"/>
        </w:rPr>
        <w:t>,</w:t>
      </w:r>
      <w:r w:rsidR="002D7DD1" w:rsidRPr="002D4CE4">
        <w:rPr>
          <w:rFonts w:eastAsia="Times New Roman"/>
          <w:lang w:val="en-GB"/>
        </w:rPr>
        <w:t xml:space="preserve"> in order to provide managerial practices </w:t>
      </w:r>
      <w:r w:rsidR="002D7DD1">
        <w:rPr>
          <w:rFonts w:eastAsia="Times New Roman"/>
          <w:lang w:val="en-GB"/>
        </w:rPr>
        <w:t>for</w:t>
      </w:r>
      <w:r w:rsidR="002D7DD1" w:rsidRPr="002D4CE4">
        <w:rPr>
          <w:rFonts w:eastAsia="Times New Roman"/>
          <w:lang w:val="en-GB"/>
        </w:rPr>
        <w:t xml:space="preserve"> design and implement</w:t>
      </w:r>
      <w:r w:rsidR="002D7DD1">
        <w:rPr>
          <w:rFonts w:eastAsia="Times New Roman"/>
          <w:lang w:val="en-GB"/>
        </w:rPr>
        <w:t>ation</w:t>
      </w:r>
      <w:r w:rsidR="002D7DD1" w:rsidRPr="002D4CE4">
        <w:rPr>
          <w:rFonts w:eastAsia="Times New Roman"/>
          <w:lang w:val="en-GB"/>
        </w:rPr>
        <w:t xml:space="preserve"> </w:t>
      </w:r>
      <w:r w:rsidR="002D7DD1">
        <w:rPr>
          <w:rFonts w:eastAsia="Times New Roman"/>
          <w:lang w:val="en-GB"/>
        </w:rPr>
        <w:t xml:space="preserve">of </w:t>
      </w:r>
      <w:r w:rsidR="002D7DD1" w:rsidRPr="002D4CE4">
        <w:rPr>
          <w:rFonts w:eastAsia="Times New Roman"/>
          <w:lang w:val="en-GB"/>
        </w:rPr>
        <w:t xml:space="preserve">CBMs </w:t>
      </w:r>
      <w:r w:rsidR="002D7DD1">
        <w:rPr>
          <w:rFonts w:eastAsia="Times New Roman"/>
          <w:lang w:val="en-GB"/>
        </w:rPr>
        <w:t>focusing on</w:t>
      </w:r>
      <w:r w:rsidR="002D7DD1" w:rsidRPr="002D4CE4">
        <w:rPr>
          <w:rFonts w:eastAsia="Times New Roman"/>
          <w:lang w:val="en-GB"/>
        </w:rPr>
        <w:t xml:space="preserve"> value </w:t>
      </w:r>
      <w:r w:rsidR="002D7DD1">
        <w:rPr>
          <w:rFonts w:eastAsia="Times New Roman"/>
          <w:lang w:val="en-GB"/>
        </w:rPr>
        <w:t>proposition, customer involvement and supply chain management</w:t>
      </w:r>
      <w:r w:rsidR="002D7DD1" w:rsidRPr="002D4CE4">
        <w:rPr>
          <w:rFonts w:eastAsia="Times New Roman"/>
          <w:lang w:val="en-GB"/>
        </w:rPr>
        <w:t>.</w:t>
      </w:r>
      <w:r w:rsidR="003D0F29" w:rsidRPr="003D0F29">
        <w:rPr>
          <w:rFonts w:eastAsia="Times New Roman"/>
          <w:lang w:val="en-GB"/>
        </w:rPr>
        <w:t xml:space="preserve"> </w:t>
      </w:r>
      <w:r w:rsidR="003D0F29" w:rsidRPr="00957504">
        <w:rPr>
          <w:rFonts w:eastAsia="Times New Roman"/>
          <w:lang w:val="en-GB"/>
        </w:rPr>
        <w:t>Third</w:t>
      </w:r>
      <w:r w:rsidR="003D0F29">
        <w:rPr>
          <w:rFonts w:eastAsia="Times New Roman"/>
          <w:lang w:val="en-GB"/>
        </w:rPr>
        <w:t>ly</w:t>
      </w:r>
      <w:r w:rsidR="003D0F29" w:rsidRPr="00957504">
        <w:rPr>
          <w:rFonts w:eastAsia="Times New Roman"/>
          <w:lang w:val="en-GB"/>
        </w:rPr>
        <w:t xml:space="preserve">, in order to better pursue the </w:t>
      </w:r>
      <w:r w:rsidR="003D0F29">
        <w:rPr>
          <w:rFonts w:eastAsia="Times New Roman"/>
          <w:lang w:val="en-GB"/>
        </w:rPr>
        <w:t>“E</w:t>
      </w:r>
      <w:r w:rsidR="003D0F29" w:rsidRPr="00957504">
        <w:rPr>
          <w:rFonts w:eastAsia="Times New Roman"/>
          <w:lang w:val="en-GB"/>
        </w:rPr>
        <w:t>xchange</w:t>
      </w:r>
      <w:r w:rsidR="003D0F29">
        <w:rPr>
          <w:rFonts w:eastAsia="Times New Roman"/>
          <w:lang w:val="en-GB"/>
        </w:rPr>
        <w:t>” archetype,</w:t>
      </w:r>
      <w:r w:rsidR="003D0F29" w:rsidRPr="00957504">
        <w:rPr>
          <w:rFonts w:eastAsia="Times New Roman"/>
          <w:lang w:val="en-GB"/>
        </w:rPr>
        <w:t xml:space="preserve"> </w:t>
      </w:r>
      <w:r w:rsidR="003D0F29">
        <w:rPr>
          <w:rFonts w:eastAsia="Times New Roman"/>
          <w:lang w:val="en-GB"/>
        </w:rPr>
        <w:t xml:space="preserve">the chance to </w:t>
      </w:r>
      <w:r w:rsidR="003D0F29" w:rsidRPr="00957504">
        <w:rPr>
          <w:rFonts w:eastAsia="Times New Roman"/>
          <w:lang w:val="en-GB"/>
        </w:rPr>
        <w:t>integrat</w:t>
      </w:r>
      <w:r w:rsidR="003D0F29">
        <w:rPr>
          <w:rFonts w:eastAsia="Times New Roman"/>
          <w:lang w:val="en-GB"/>
        </w:rPr>
        <w:t>e</w:t>
      </w:r>
      <w:r w:rsidR="003D0F29" w:rsidRPr="00957504">
        <w:rPr>
          <w:rFonts w:eastAsia="Times New Roman"/>
          <w:lang w:val="en-GB"/>
        </w:rPr>
        <w:t xml:space="preserve"> CE and Industry 4.0 </w:t>
      </w:r>
      <w:r w:rsidR="003D0F29">
        <w:rPr>
          <w:rFonts w:eastAsia="Times New Roman"/>
          <w:lang w:val="en-GB"/>
        </w:rPr>
        <w:t>must be assessed</w:t>
      </w:r>
      <w:r w:rsidR="003D0F29" w:rsidRPr="00957504">
        <w:rPr>
          <w:rFonts w:eastAsia="Times New Roman"/>
          <w:lang w:val="en-GB"/>
        </w:rPr>
        <w:t>.</w:t>
      </w:r>
      <w:r w:rsidR="00011F8D" w:rsidRPr="00011F8D">
        <w:rPr>
          <w:rFonts w:eastAsia="Times New Roman"/>
          <w:lang w:val="en-GB"/>
        </w:rPr>
        <w:t xml:space="preserve"> </w:t>
      </w:r>
      <w:r w:rsidR="00011F8D" w:rsidRPr="00BC2491">
        <w:rPr>
          <w:rFonts w:eastAsia="Times New Roman"/>
          <w:lang w:val="en-GB"/>
        </w:rPr>
        <w:t xml:space="preserve">Finally, a methodology </w:t>
      </w:r>
      <w:r w:rsidR="00011F8D">
        <w:rPr>
          <w:rFonts w:eastAsia="Times New Roman"/>
          <w:lang w:val="en-GB"/>
        </w:rPr>
        <w:t>for</w:t>
      </w:r>
      <w:r w:rsidR="00011F8D" w:rsidRPr="00BC2491">
        <w:rPr>
          <w:rFonts w:eastAsia="Times New Roman"/>
          <w:lang w:val="en-GB"/>
        </w:rPr>
        <w:t xml:space="preserve"> conduct</w:t>
      </w:r>
      <w:r w:rsidR="00011F8D">
        <w:rPr>
          <w:rFonts w:eastAsia="Times New Roman"/>
          <w:lang w:val="en-GB"/>
        </w:rPr>
        <w:t>ing</w:t>
      </w:r>
      <w:r w:rsidR="00011F8D" w:rsidRPr="00BC2491">
        <w:rPr>
          <w:rFonts w:eastAsia="Times New Roman"/>
          <w:lang w:val="en-GB"/>
        </w:rPr>
        <w:t xml:space="preserve"> </w:t>
      </w:r>
      <w:r w:rsidR="00011F8D">
        <w:rPr>
          <w:rFonts w:eastAsia="Times New Roman"/>
          <w:lang w:val="en-GB"/>
        </w:rPr>
        <w:t>a</w:t>
      </w:r>
      <w:r w:rsidR="00011F8D" w:rsidRPr="00BC2491">
        <w:rPr>
          <w:rFonts w:eastAsia="Times New Roman"/>
          <w:lang w:val="en-GB"/>
        </w:rPr>
        <w:t xml:space="preserve"> </w:t>
      </w:r>
      <w:r w:rsidR="00B249B3">
        <w:rPr>
          <w:rFonts w:eastAsia="Times New Roman"/>
          <w:lang w:val="en-GB"/>
        </w:rPr>
        <w:t>CE</w:t>
      </w:r>
      <w:r w:rsidR="00011F8D" w:rsidRPr="00BC2491">
        <w:rPr>
          <w:rFonts w:eastAsia="Times New Roman"/>
          <w:lang w:val="en-GB"/>
        </w:rPr>
        <w:t xml:space="preserve"> </w:t>
      </w:r>
      <w:r w:rsidR="00011F8D">
        <w:rPr>
          <w:rFonts w:eastAsia="Times New Roman"/>
          <w:lang w:val="en-GB"/>
        </w:rPr>
        <w:t xml:space="preserve">performance </w:t>
      </w:r>
      <w:r w:rsidR="00011F8D" w:rsidRPr="00BC2491">
        <w:rPr>
          <w:rFonts w:eastAsia="Times New Roman"/>
          <w:lang w:val="en-GB"/>
        </w:rPr>
        <w:t xml:space="preserve">assessment of CBMs needs to be </w:t>
      </w:r>
      <w:r w:rsidR="00011F8D">
        <w:rPr>
          <w:rFonts w:eastAsia="Times New Roman"/>
          <w:lang w:val="en-GB"/>
        </w:rPr>
        <w:t>developed</w:t>
      </w:r>
      <w:r w:rsidR="00BF2F60">
        <w:rPr>
          <w:rFonts w:eastAsia="Times New Roman"/>
          <w:lang w:val="en-GB"/>
        </w:rPr>
        <w:t xml:space="preserve"> </w:t>
      </w:r>
      <w:r w:rsidR="00BF2F60">
        <w:rPr>
          <w:rFonts w:eastAsia="Times New Roman"/>
          <w:lang w:val="en-GB"/>
        </w:rPr>
        <w:fldChar w:fldCharType="begin" w:fldLock="1"/>
      </w:r>
      <w:r w:rsidR="003445CC">
        <w:rPr>
          <w:rFonts w:eastAsia="Times New Roman"/>
          <w:lang w:val="en-GB"/>
        </w:rPr>
        <w:instrText>ADDIN CSL_CITATION {"citationItems":[{"id":"ITEM-1","itemData":{"DOI":"10.1016/j.jclepro.2019.05.019","ISSN":"09596526","author":[{"dropping-particle":"","family":"Sassanelli","given":"Claudio","non-dropping-particle":"","parse-names":false,"suffix":""},{"dropping-particle":"","family":"Rosa","given":"Paolo","non-dropping-particle":"","parse-names":false,"suffix":""},{"dropping-particle":"","family":"Rocca","given":"Roberto","non-dropping-particle":"","parse-names":false,"suffix":""},{"dropping-particle":"","family":"Terzi","given":"Sergio","non-dropping-particle":"","parse-names":false,"suffix":""}],"container-title":"Journal of Cleaner Production","id":"ITEM-1","issued":{"date-parts":[["2019"]]},"page":"440-453","publisher":"Elsevier B.V.","title":"Circular Economy performance assessment methods: a systematic literature review","type":"article-journal","volume":"229"},"uris":["http://www.mendeley.com/documents/?uuid=820a475a-30e8-46cb-8e6a-6796a84a8a49"]}],"mendeley":{"formattedCitation":"(Sassanelli et al., 2019)","plainTextFormattedCitation":"(Sassanelli et al., 2019)","previouslyFormattedCitation":"(Sassanelli et al., 2019)"},"properties":{"noteIndex":0},"schema":"https://github.com/citation-style-language/schema/raw/master/csl-citation.json"}</w:instrText>
      </w:r>
      <w:r w:rsidR="00BF2F60">
        <w:rPr>
          <w:rFonts w:eastAsia="Times New Roman"/>
          <w:lang w:val="en-GB"/>
        </w:rPr>
        <w:fldChar w:fldCharType="separate"/>
      </w:r>
      <w:r w:rsidR="00BF2F60" w:rsidRPr="00BF2F60">
        <w:rPr>
          <w:rFonts w:eastAsia="Times New Roman"/>
          <w:noProof/>
          <w:lang w:val="en-GB"/>
        </w:rPr>
        <w:t>(Sassanelli et al., 2019)</w:t>
      </w:r>
      <w:r w:rsidR="00BF2F60">
        <w:rPr>
          <w:rFonts w:eastAsia="Times New Roman"/>
          <w:lang w:val="en-GB"/>
        </w:rPr>
        <w:fldChar w:fldCharType="end"/>
      </w:r>
      <w:r w:rsidR="00011F8D">
        <w:rPr>
          <w:rFonts w:eastAsia="Times New Roman"/>
          <w:lang w:val="en-GB"/>
        </w:rPr>
        <w:t>,</w:t>
      </w:r>
      <w:r w:rsidR="00011F8D" w:rsidRPr="00BC2491">
        <w:rPr>
          <w:rFonts w:eastAsia="Times New Roman"/>
          <w:lang w:val="en-GB"/>
        </w:rPr>
        <w:t xml:space="preserve"> in order to provide practitioners with a</w:t>
      </w:r>
      <w:r w:rsidR="00011F8D">
        <w:rPr>
          <w:rFonts w:eastAsia="Times New Roman"/>
          <w:lang w:val="en-GB"/>
        </w:rPr>
        <w:t>n assessment</w:t>
      </w:r>
      <w:r w:rsidR="00011F8D" w:rsidRPr="00BC2491">
        <w:rPr>
          <w:rFonts w:eastAsia="Times New Roman"/>
          <w:lang w:val="en-GB"/>
        </w:rPr>
        <w:t xml:space="preserve"> tool </w:t>
      </w:r>
      <w:r w:rsidR="00011F8D">
        <w:rPr>
          <w:rFonts w:eastAsia="Times New Roman"/>
          <w:lang w:val="en-GB"/>
        </w:rPr>
        <w:t>quantifying</w:t>
      </w:r>
      <w:r w:rsidR="00011F8D" w:rsidRPr="00BC2491">
        <w:rPr>
          <w:rFonts w:eastAsia="Times New Roman"/>
          <w:lang w:val="en-GB"/>
        </w:rPr>
        <w:t xml:space="preserve"> benefits deriving from </w:t>
      </w:r>
      <w:r w:rsidR="00011F8D">
        <w:rPr>
          <w:rFonts w:eastAsia="Times New Roman"/>
          <w:lang w:val="en-GB"/>
        </w:rPr>
        <w:t>CE</w:t>
      </w:r>
      <w:r w:rsidR="00011F8D" w:rsidRPr="00BC2491">
        <w:rPr>
          <w:rFonts w:eastAsia="Times New Roman"/>
          <w:lang w:val="en-GB"/>
        </w:rPr>
        <w:t>.</w:t>
      </w:r>
    </w:p>
    <w:p w14:paraId="79B78F1D" w14:textId="23FD6F93" w:rsidR="004F781D" w:rsidRPr="00402AEC" w:rsidRDefault="004F781D" w:rsidP="00026D10">
      <w:pPr>
        <w:spacing w:after="240" w:line="360" w:lineRule="auto"/>
        <w:rPr>
          <w:b/>
          <w:lang w:val="en-GB"/>
        </w:rPr>
      </w:pPr>
      <w:r w:rsidRPr="00402AEC">
        <w:rPr>
          <w:b/>
          <w:lang w:val="en-GB"/>
        </w:rPr>
        <w:t>Acknowledgements</w:t>
      </w:r>
    </w:p>
    <w:p w14:paraId="0384F80D" w14:textId="21365D74" w:rsidR="00B90A26" w:rsidRPr="00402AEC" w:rsidRDefault="004F781D" w:rsidP="00851EEC">
      <w:pPr>
        <w:pStyle w:val="Style10ptJustified"/>
        <w:spacing w:line="360" w:lineRule="auto"/>
        <w:rPr>
          <w:iCs w:val="0"/>
          <w:sz w:val="24"/>
          <w:szCs w:val="24"/>
          <w:lang w:eastAsia="it-IT"/>
        </w:rPr>
      </w:pPr>
      <w:r w:rsidRPr="00402AEC">
        <w:rPr>
          <w:iCs w:val="0"/>
          <w:sz w:val="24"/>
          <w:szCs w:val="24"/>
          <w:lang w:eastAsia="it-IT"/>
        </w:rPr>
        <w:t>This work has received funding from the European Union’s Horizon 2020 research and innovation programme under grant agreement No 760792. In any case, the present work cannot be considered as an official position of the supporting organization, but it reports just the point of view of the authors.</w:t>
      </w:r>
    </w:p>
    <w:p w14:paraId="1CE0FA97" w14:textId="11D8BBCD" w:rsidR="00BE1DFA" w:rsidRPr="00402AEC" w:rsidRDefault="001B134B" w:rsidP="006E3663">
      <w:pPr>
        <w:spacing w:after="240"/>
        <w:rPr>
          <w:b/>
          <w:lang w:val="en-GB"/>
        </w:rPr>
      </w:pPr>
      <w:r w:rsidRPr="00402AEC">
        <w:rPr>
          <w:b/>
          <w:lang w:val="en-GB"/>
        </w:rPr>
        <w:t>References</w:t>
      </w:r>
    </w:p>
    <w:p w14:paraId="6ED94F06" w14:textId="6C1FF2C4" w:rsidR="00522FD5" w:rsidRPr="00EE64F6" w:rsidRDefault="00DE1215" w:rsidP="00522FD5">
      <w:pPr>
        <w:widowControl w:val="0"/>
        <w:autoSpaceDE w:val="0"/>
        <w:autoSpaceDN w:val="0"/>
        <w:adjustRightInd w:val="0"/>
        <w:spacing w:after="240"/>
        <w:ind w:left="480" w:hanging="480"/>
        <w:rPr>
          <w:noProof/>
          <w:sz w:val="22"/>
          <w:lang w:val="en-GB"/>
        </w:rPr>
      </w:pPr>
      <w:r w:rsidRPr="009601F2">
        <w:rPr>
          <w:color w:val="FF0000"/>
          <w:sz w:val="22"/>
          <w:lang w:val="en-GB"/>
        </w:rPr>
        <w:fldChar w:fldCharType="begin" w:fldLock="1"/>
      </w:r>
      <w:r w:rsidRPr="00402AEC">
        <w:rPr>
          <w:color w:val="FF0000"/>
          <w:sz w:val="22"/>
          <w:lang w:val="en-GB"/>
        </w:rPr>
        <w:instrText xml:space="preserve">ADDIN Mendeley Bibliography CSL_BIBLIOGRAPHY </w:instrText>
      </w:r>
      <w:r w:rsidRPr="009601F2">
        <w:rPr>
          <w:color w:val="FF0000"/>
          <w:sz w:val="22"/>
          <w:lang w:val="en-GB"/>
        </w:rPr>
        <w:fldChar w:fldCharType="separate"/>
      </w:r>
      <w:r w:rsidR="00522FD5" w:rsidRPr="00EE64F6">
        <w:rPr>
          <w:noProof/>
          <w:sz w:val="22"/>
          <w:lang w:val="en-GB"/>
        </w:rPr>
        <w:t xml:space="preserve">Adam, S., Bücker, C., Desguin, S., Madsen, N., Saebi, T., 2017. Taking part in the circular economy: four ways to designing circular business models. SSRN Electron. J. 1–21. </w:t>
      </w:r>
      <w:r w:rsidR="00522FD5" w:rsidRPr="00EE64F6">
        <w:rPr>
          <w:noProof/>
          <w:sz w:val="22"/>
          <w:lang w:val="en-GB"/>
        </w:rPr>
        <w:lastRenderedPageBreak/>
        <w:t>https://doi.org/http://dx.doi.org/10.2139/ssrn.2908107</w:t>
      </w:r>
    </w:p>
    <w:p w14:paraId="21B9898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Antikainen, M., Aminoff, A., Paloheimo, H., Kettunen, O., 2017. Designing circular business model experimentation - Case study, in: ISPIM Innovation Forum. Toronto, pp. 1–14.</w:t>
      </w:r>
    </w:p>
    <w:p w14:paraId="65DCB1C3"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Antikainen, M., Valkokari, K., 2016. A Framework for Sustainable Circular Business Model Innovation. Technol. Innov. Manag. Rev. 5, 1–8. https://doi.org/http://timreview.ca/article/1000</w:t>
      </w:r>
    </w:p>
    <w:p w14:paraId="5E9C83DE"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Beulque, R., Aggeri, F., 2016. Circular Business Model Innovation: Key Patterns and Challenges to unleash recycling value creation potential, in: Egos Confernce. Naples, pp. 1–29.</w:t>
      </w:r>
    </w:p>
    <w:p w14:paraId="357BC96B"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Bocken, N.M.P., Bom, C.A., Lemstra, H.J., 2017. Business experiments as an approach to drive sustainable consumption: the case of HOMIE, in: PLATE 2017 - Product Lifetimes And The Environment Conference. TU Delft, Delft, pp. 1–7. https://doi.org/10.3233/978-1-61499-820-4-41</w:t>
      </w:r>
    </w:p>
    <w:p w14:paraId="68EAEBAE"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Bocken, N.M.P., de Pauw, I., Bakker, C.A., van der Grinten, B., 2016a. Product design and business model strategies for a circular economy. J. Ind. Prod. Eng. 33, 308–320. https://doi.org/10.1080/21681015.2016.1172124</w:t>
      </w:r>
    </w:p>
    <w:p w14:paraId="17605BF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Bocken, N.M.P., Miller, K., Evans, S., 2016b. Assessing the environmental impact of new Circular business models, in: New Business Models - Exploring a Changing View on Organizing Value Creation. Toulouse, France, pp. 1–15.</w:t>
      </w:r>
    </w:p>
    <w:p w14:paraId="66B3C4F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Bocken, N.M.P., Miller, K., Weissbrod, I., Holgado, M., Evans, S., 2018. Business Model Experimentation for Circularity: Driving sustainability in a large international clothing retailer. Econ. Policy Energy Environ. (EPEE). Spec. Issue Circ. Econ. 1–38.</w:t>
      </w:r>
    </w:p>
    <w:p w14:paraId="19988CE7"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Bocken, N.M.P., Short, S.W., Rana, P., Evans, S., 2014. A literature and practice review to develop sustainable business model archetypes. J. Clean. Prod. 65, 42–56. https://doi.org/10.1016/j.jclepro.2013.11.039</w:t>
      </w:r>
    </w:p>
    <w:p w14:paraId="0C624AD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Bocken, N.M.P., Short, S.W., Rana, P., Evans, S., 2013. A value mapping tool for sustainable business modelling. Corp. Gov. 13, 482–497. https://doi.org/10.1108/CG-06-2013-0078</w:t>
      </w:r>
    </w:p>
    <w:p w14:paraId="31DDFA8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Bradley, R., Jawahir, I.S., Badurdeen, F., Rouch, K., 2016. A Framework for Material Selection in Multi-Generational Components: Sustainable Value Creation for a Circular Economy. Procedia CIRP 48, 370–375. https://doi.org/10.1016/j.procir.2016.03.247</w:t>
      </w:r>
    </w:p>
    <w:p w14:paraId="2BE15135"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Braungart, M., McDonough, W., Bollinger, A., 2007. Cradle-to-cradle design: creating healthy emissions - a strategy for eco-effective product and system design. </w:t>
      </w:r>
      <w:r w:rsidRPr="00522FD5">
        <w:rPr>
          <w:noProof/>
          <w:sz w:val="22"/>
        </w:rPr>
        <w:t>J. Clean. Prod. 15, 1337–1348. https://doi.org/10.1016/j.jclepro.2006.08.003</w:t>
      </w:r>
    </w:p>
    <w:p w14:paraId="7DF52642"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Bressanelli, G., Perona, M., Saccani, N., 2017. </w:t>
      </w:r>
      <w:r w:rsidRPr="00EE64F6">
        <w:rPr>
          <w:noProof/>
          <w:sz w:val="22"/>
          <w:lang w:val="en-GB"/>
        </w:rPr>
        <w:t>Reshaping the Washing Machine Industry through Circular Economy and Product-Service System Business Models. Procedia CIRP 64, 43–48. https://doi.org/10.1016/j.procir.2017.03.065</w:t>
      </w:r>
    </w:p>
    <w:p w14:paraId="40C9A12C"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Broadbent, C., 2016. Steel’s recyclability: demonstrating the benefits of recycling steel to achieve a circular economy. Int. J. Life Cycle Assess. 21, 1658–1665. https://doi.org/10.1007/s11367-016-1081-1</w:t>
      </w:r>
    </w:p>
    <w:p w14:paraId="1238DDBE"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Broman, G.I., Robèrt, K.H., 2017. A framework for strategic sustainable development. J. Clean. Prod. 140, 17–31. https://doi.org/10.1016/j.jclepro.2015.10.121</w:t>
      </w:r>
    </w:p>
    <w:p w14:paraId="2A9F83D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Buil, P., Roger-Loppacher, O., Selvam, R.M., Prieto-Sandoval, V., 2017. The involvement of future generations in the circular economy paradigm: An empirical analysis on aluminium packaging recycling in spain. Sustain. 9, 1–13. https://doi.org/10.3390/su9122345</w:t>
      </w:r>
    </w:p>
    <w:p w14:paraId="4490887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lastRenderedPageBreak/>
        <w:t>Charter, M., 2016. Circular Economy Business Models, in: Sustainable Innovation 2016. pp. 64–69.</w:t>
      </w:r>
    </w:p>
    <w:p w14:paraId="77D04F7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Chertow, M., Ehrenfeld, J., 2012. Organizing Self-Organizing Systems: Toward a Theory of Industrial Symbiosis. J. Ind. Ecol. 16, 13–27. https://doi.org/10.1111/j.1530-9290.2011.00450.x</w:t>
      </w:r>
    </w:p>
    <w:p w14:paraId="0D865DD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Chiappetta Jabbour, C.J., Lopes de Sousa Jabbour, A.B., Sarkis, J., Godinho Filho, M., 2017. Unlocking the circular economy through new business models based on large-scale data: An integrative framework and research agenda. Technol. Forecast. Soc. Chang. https://doi.org/10.1016/j.techfore.2017.09.010</w:t>
      </w:r>
    </w:p>
    <w:p w14:paraId="76CA6BBF"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Chiaroni, D., Urbinati, A., Chiesa, V., 2016. Circular Economy Business Models: towards a new taxonomy of the degree of circularity, in: The XXVII Edition of the Annual Scientific Meeting of the Italian Association of Management Engineering (AiIG), Higher Education and Socio-Economic Development. AIIG, Bergamo, Italy, pp. 1–27. https://doi.org/10.1016/j.jclepro.2017.09.047</w:t>
      </w:r>
    </w:p>
    <w:p w14:paraId="4E948781"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Clemon, L.M., Zohdi, T.I., 2018. On the tolerable limits of granulated recycled material additives to maintain structural integrity. Constr. Build. Mater. 167, 846–852. https://doi.org/10.1016/j.conbuildmat.2018.02.099</w:t>
      </w:r>
    </w:p>
    <w:p w14:paraId="331F494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Cong, L., Zhao, F., Sutherland, J.W., 2017. Integration of dismantling operations into a value recovery plan for circular economy. J. Clean. Prod. 149, 378–386. https://doi.org/10.1016/j.jclepro.2017.02.115</w:t>
      </w:r>
    </w:p>
    <w:p w14:paraId="524B6529"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Copani, G., Rosa, P., 2014. DEMAT: Sustainability assessment of new flexibility-oriented business models in the machine tools industry. Int. J. Comput. Integr. Manuf. 28, 1–10. https://doi.org/10.1080/0951192X.2014.924160</w:t>
      </w:r>
    </w:p>
    <w:p w14:paraId="3174C876"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Dalhammar, C., Milios, L., 2016. Policies to support reconditioning and reuse of ICT, in: EGG 2016 - Electronics Goes Green 2016+. pp. 1–9. https://doi.org/10.1109/EGG.2016.7829845</w:t>
      </w:r>
    </w:p>
    <w:p w14:paraId="683B264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de Lange, J., Rodić, L., 2013. </w:t>
      </w:r>
      <w:r w:rsidRPr="00EE64F6">
        <w:rPr>
          <w:noProof/>
          <w:sz w:val="22"/>
          <w:lang w:val="en-GB"/>
        </w:rPr>
        <w:t>From Waste Handler to Resource Manager : New Roles for Solid Waste Management Companies in a Circular Economy.</w:t>
      </w:r>
    </w:p>
    <w:p w14:paraId="4038D367"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De los Rios, I.C., Charnley, F.J.S., 2017. Skills and capabilities for a sustainable and circular economy: The changing role of design. J. Clean. Prod. 160, 109–122. https://doi.org/10.1016/j.jclepro.2016.10.130</w:t>
      </w:r>
    </w:p>
    <w:p w14:paraId="5F12ED2F"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Denyer, D., Tranfield, D., 2009. Producing a Systematic Review, in: Buchanan, D.A., Bryman, A. (Eds.), The SAGE Handbook of Organizational Research Methods. SAGE London, pp. 671–689.</w:t>
      </w:r>
    </w:p>
    <w:p w14:paraId="74220AF3"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Dewberry, E., Saca, L., Moreno, M., Sheldrick, L., Sinclair, M.A., 2016. A Landscape of Repair, in: Sustainable Innovation 2016. pp. 76–85.</w:t>
      </w:r>
    </w:p>
    <w:p w14:paraId="590AF52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Di Maio, F., Rem, P.C., 2015. A Robust Indicator for Promoting Circular Economy through Recycling. J. Environ. Prot. (Irvine,. Calif). 6, 1095–1104. https://doi.org/10.1680/warm.2008.161.1.3</w:t>
      </w:r>
    </w:p>
    <w:p w14:paraId="146CA49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Dolinsky, M., Maier, S., 2015. Market-based Approach in Shift from Linear Economy Towards Circular Economy Supported by Game Theory Analysis. Creat. Knowl. Soc. 5, 1–10. https://doi.org/10.1515/cks-2015-0009</w:t>
      </w:r>
    </w:p>
    <w:p w14:paraId="26F2847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European Commission, 2017. Report on the implementation of the Circular Economy Action Plan.</w:t>
      </w:r>
    </w:p>
    <w:p w14:paraId="40D022F1"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European Commission, 2011. Roadmap to a resource efficient Europe.</w:t>
      </w:r>
    </w:p>
    <w:p w14:paraId="0BD9585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Favi, C., Germani, M., Luzi, A., Mandolini, M., Marconi, M., 2017. </w:t>
      </w:r>
      <w:r w:rsidRPr="00EE64F6">
        <w:rPr>
          <w:noProof/>
          <w:sz w:val="22"/>
          <w:lang w:val="en-GB"/>
        </w:rPr>
        <w:t>A design for EoL approach and metrics to favour closed-loop scenarios for products. Int. J. Sustain. Eng. 10, 136–146. https://doi.org/10.1080/19397038.2016.1270369</w:t>
      </w:r>
    </w:p>
    <w:p w14:paraId="2C1F8EF9"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lastRenderedPageBreak/>
        <w:t>Franco, M.A., 2017. Circular economy at the micro level: A dynamic view of incumbents’ struggles and challenges in the textile industry. J. Clean. Prod. 168, 833–845. https://doi.org/10.1016/j.jclepro.2017.09.056</w:t>
      </w:r>
    </w:p>
    <w:p w14:paraId="51BCC03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Frenken, K., 2017. Political economies and environmental futures for the sharing economy. Philos. Trans. R. Soc. A Math. Phys. Eng. Sci. 375, 1–15. https://doi.org/10.1098/rsta.2016.0367</w:t>
      </w:r>
    </w:p>
    <w:p w14:paraId="51271569"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Frone, D.F., Frone, S., 2017a. </w:t>
      </w:r>
      <w:r w:rsidRPr="00EE64F6">
        <w:rPr>
          <w:noProof/>
          <w:sz w:val="22"/>
          <w:lang w:val="en-GB"/>
        </w:rPr>
        <w:t>Circular Economy in Romania: an Industrial Synergy in the Agri-Food Sector. Sci. Pap. Manag. Econ. Eng. Agric. Rural Dev. 17, 103–109.</w:t>
      </w:r>
    </w:p>
    <w:p w14:paraId="636D3AA7"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Frone, D.F., Frone, S., 2017b. Eco-Innovation Park Promoting the Green Economy in Romania. Sci. Pap. Manag. Econ. Eng. Agric. Rural Dev. 17, 111–119.</w:t>
      </w:r>
    </w:p>
    <w:p w14:paraId="70700CE1"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Gaiardelli, P., Resta, B., Martinez, V., Pinto, R., Albores, P., 2014. A Classification Model for Product-Service Offerings. J. Clean. Prod. 66, 507–519. https://doi.org/10.1016/j.jclepro.2013.11.032</w:t>
      </w:r>
    </w:p>
    <w:p w14:paraId="15AB0961"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Geng, Y., Doberstein, B., 2008. Developing the circular economy in China: Challenges and opportunities for achieving’leapfrog development’. Int. J. Sustain. Dev. World Ecol. 15, 231–239. https://doi.org/10.3843/SusDev.15.3</w:t>
      </w:r>
    </w:p>
    <w:p w14:paraId="5D93889B"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Gharfalkar, M., Ali, Z., Hillier, G., 2016. Clarifying the disagreements on various reuse options: Repair, recondition, refurbish and remanufacture. Waste Manag. Res. 34, 995–1005. https://doi.org/10.1177/0734242X16628981</w:t>
      </w:r>
    </w:p>
    <w:p w14:paraId="7FEC8F4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Ghezzi, A., Cavallo, A., 2019. Agile Business Model Innovation in Digital Entrepreneurship: Lean Startup Approaches. J. Bus. Res. https://doi.org/10.1016/j.jbusres.2018.06.013</w:t>
      </w:r>
    </w:p>
    <w:p w14:paraId="31408E8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Ghisellini, P., Cialani, C., Ulgiati, S., 2016. A review on circular economy: The expected transition to a balanced interplay of environmental and economic systems. J. Clean. Prod. 114, 11–32. https://doi.org/10.1016/j.jclepro.2015.09.007</w:t>
      </w:r>
    </w:p>
    <w:p w14:paraId="14A78EE8"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Giurco, D., Littleboy, A., Boyle, T., Fyfe, J., White, S., 2014. Circular Economy: Questions for Responsible Minerals, Additive Manufacturing and Recycling of Metals. </w:t>
      </w:r>
      <w:r w:rsidRPr="00522FD5">
        <w:rPr>
          <w:noProof/>
          <w:sz w:val="22"/>
        </w:rPr>
        <w:t>Resources 3, 432–453. https://doi.org/10.3390/resources3020432</w:t>
      </w:r>
    </w:p>
    <w:p w14:paraId="7B221BEA" w14:textId="77777777" w:rsidR="00522FD5" w:rsidRPr="00522FD5" w:rsidRDefault="00522FD5" w:rsidP="00522FD5">
      <w:pPr>
        <w:widowControl w:val="0"/>
        <w:autoSpaceDE w:val="0"/>
        <w:autoSpaceDN w:val="0"/>
        <w:adjustRightInd w:val="0"/>
        <w:spacing w:after="240"/>
        <w:ind w:left="480" w:hanging="480"/>
        <w:rPr>
          <w:noProof/>
          <w:sz w:val="22"/>
        </w:rPr>
      </w:pPr>
      <w:r w:rsidRPr="00522FD5">
        <w:rPr>
          <w:noProof/>
          <w:sz w:val="22"/>
        </w:rPr>
        <w:t xml:space="preserve">Gnoni, M.G., Mossa, G., Mummolo, G., Tornese, F., Verriello, R., 2017. </w:t>
      </w:r>
      <w:r w:rsidRPr="00EE64F6">
        <w:rPr>
          <w:noProof/>
          <w:sz w:val="22"/>
          <w:lang w:val="en-GB"/>
        </w:rPr>
        <w:t xml:space="preserve">Supporting Circular Economy through Use-Based Business Models: The Washing Machines Case. </w:t>
      </w:r>
      <w:r w:rsidRPr="00522FD5">
        <w:rPr>
          <w:noProof/>
          <w:sz w:val="22"/>
        </w:rPr>
        <w:t>Procedia CIRP 64, 49–54. https://doi.org/10.1016/j.procir.2017.03.018</w:t>
      </w:r>
    </w:p>
    <w:p w14:paraId="6695E4B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Goyal, S., Esposito, M., Kapoor, A., 2016. </w:t>
      </w:r>
      <w:r w:rsidRPr="00EE64F6">
        <w:rPr>
          <w:noProof/>
          <w:sz w:val="22"/>
          <w:lang w:val="en-GB"/>
        </w:rPr>
        <w:t>Circular Economy Business Models in Developing Economies: Lessons from India on Reduce, Recycle, and Reuse Paradigms. Thunderbird Int. Bus. Rev. 1–15. https://doi.org/10.1002/tie</w:t>
      </w:r>
    </w:p>
    <w:p w14:paraId="1F73C19B"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Guldmann, E., 2016. Best Practice Examples of Circular Business Models.</w:t>
      </w:r>
    </w:p>
    <w:p w14:paraId="36D7269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Guldmann, E., Jensen, J.P., 2015. Implementation of circular economy in Danish companies, in: Global Cleaner Production and Sustainable Consumption Conference 2015. Barcelona, Spain, pp. 1–2.</w:t>
      </w:r>
    </w:p>
    <w:p w14:paraId="76F002B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Haanstra, W., Toxopeus, M.E., van Gerrevink, M.R., 2017. Product Life Cycle Planning for Sustainable Manufacturing: Translating Theory into Business Opportunities. Procedia CIRP 61, 46–51. https://doi.org/10.1016/j.procir.2016.12.005</w:t>
      </w:r>
    </w:p>
    <w:p w14:paraId="70A4DF2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Hagelüken, C., Lee-Shin, J., Carpentier, A., Heron, C., 2016. The EU Circular Economy and Its Relevance to Metal Recycling. Recycling 1, 242–253. https://doi.org/10.3390/recycling1020242</w:t>
      </w:r>
    </w:p>
    <w:p w14:paraId="0010B4C2"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lastRenderedPageBreak/>
        <w:t>Hartwell, I., Marco, J., 2016. Management of intellectual property uncertainty in a remanufacturing strategy for automotive energy storage systems. J. Remanufacturing 6, 1–19. https://doi.org/10.1186/s13243-016-0025-z</w:t>
      </w:r>
    </w:p>
    <w:p w14:paraId="1BF319C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Hatzivasilis, G., Fysarakis, K., Soultatos, O., Askoxylakis, I., Papaefstathiou, I., Demetriou, G., 2018. The Industrial Internet of Things as an enabler for a Circular Economy Hy-LP: A novel IIoT protocol, evaluated on a wind park’s SDN/NFV-enabled 5G industrial network. Comput. Commun. 119, 127–137. https://doi.org/10.1016/j.comcom.2018.02.007</w:t>
      </w:r>
    </w:p>
    <w:p w14:paraId="5830633F"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Heyes, G., Sharmina, M., Mendoza, J.M.F., Gallego-Schmid, A., Azapagic, A., 2018. Developing and implementing circular economy business models in service-oriented technology companies. J. Clean. Prod. 177, 621–632. https://doi.org/10.1016/j.jclepro.2017.12.168</w:t>
      </w:r>
    </w:p>
    <w:p w14:paraId="535C56B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Hindley, R., 2016. Putting the Circular Economy in Motion. Alum. Int. Today 1–4.</w:t>
      </w:r>
    </w:p>
    <w:p w14:paraId="18772A09"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Howell, R., van Beers, C., Doorn, N., 2018. Value capture and value creation: The role of information technology in business models for frugal innovations in Africa. Technol. Forecast. Soc. Chang. 131, 227–239. https://doi.org/10.1016/j.techfore.2017.09.030</w:t>
      </w:r>
    </w:p>
    <w:p w14:paraId="2E944B4D"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Hu, J., Xiao, Z., Zhou, R., Deng, W., Wang, M., Ma, S., 2011. Ecological utilization of leather tannery waste with circular economy model. </w:t>
      </w:r>
      <w:r w:rsidRPr="00522FD5">
        <w:rPr>
          <w:noProof/>
          <w:sz w:val="22"/>
        </w:rPr>
        <w:t>J. Clean. Prod. 19, 221–228. https://doi.org/10.1016/j.jclepro.2010.09.018</w:t>
      </w:r>
    </w:p>
    <w:p w14:paraId="0A198D03"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Inigo, E.A., Albareda, L., Ritala, P., 2017. </w:t>
      </w:r>
      <w:r w:rsidRPr="00EE64F6">
        <w:rPr>
          <w:noProof/>
          <w:sz w:val="22"/>
          <w:lang w:val="en-GB"/>
        </w:rPr>
        <w:t>Business model innovation for sustainability: exploring evolutionary and radical approaches through dynamic capabilities. Ind. Innov. 24, 515–542. https://doi.org/10.1080/13662716.2017.1310034</w:t>
      </w:r>
    </w:p>
    <w:p w14:paraId="11435CDF"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Jagger, A., 2016. A circular economy: combined food and power projects. Biofuels, Bioprod. Biorefining 10, 202–203. https://doi.org/10.1002/bbb</w:t>
      </w:r>
    </w:p>
    <w:p w14:paraId="604E940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Janssen, K.L., Stel, F., 2017. Orchestrating partnerships in a circular economy - a working method for SMEs, in: The XXVIII ISPIM Innovation Conference. Vienna, pp. 1–17.</w:t>
      </w:r>
    </w:p>
    <w:p w14:paraId="4190BEA8"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Jawahir, I.S., Bradley, R., 2016. Technological Elements of Circular Economy and the Principles of 6R-Based Closed-loop Material Flow in Sustainable Manufacturing. </w:t>
      </w:r>
      <w:r w:rsidRPr="00522FD5">
        <w:rPr>
          <w:noProof/>
          <w:sz w:val="22"/>
        </w:rPr>
        <w:t>Procedia CIRP 40, 103–108. https://doi.org/10.1016/j.procir.2016.01.067</w:t>
      </w:r>
    </w:p>
    <w:p w14:paraId="68EF1A21"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Kim, J., Ahn, Y., Roh, T., 2016. </w:t>
      </w:r>
      <w:r w:rsidRPr="00EE64F6">
        <w:rPr>
          <w:noProof/>
          <w:sz w:val="22"/>
          <w:lang w:val="en-GB"/>
        </w:rPr>
        <w:t>Low-carbon Management of POSCO in Circular Economy: Current Status and Limitations, Towards a Circular Economy: Corporate Management and Policy Pathways. ERIA Research Project Report 2014-44.</w:t>
      </w:r>
    </w:p>
    <w:p w14:paraId="37CA61CB"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Kurilova-Palisaitiene, J., Sundin, E., Poksinska, B., 2018. Remanufacturing challenges and possible lean improvements. </w:t>
      </w:r>
      <w:r w:rsidRPr="00522FD5">
        <w:rPr>
          <w:noProof/>
          <w:sz w:val="22"/>
        </w:rPr>
        <w:t>J. Clean. Prod. 172, 3225–3236. https://doi.org/10.1016/j.jclepro.2017.11.023</w:t>
      </w:r>
    </w:p>
    <w:p w14:paraId="6A16819C" w14:textId="77777777" w:rsidR="00522FD5" w:rsidRPr="00522FD5" w:rsidRDefault="00522FD5" w:rsidP="00522FD5">
      <w:pPr>
        <w:widowControl w:val="0"/>
        <w:autoSpaceDE w:val="0"/>
        <w:autoSpaceDN w:val="0"/>
        <w:adjustRightInd w:val="0"/>
        <w:spacing w:after="240"/>
        <w:ind w:left="480" w:hanging="480"/>
        <w:rPr>
          <w:noProof/>
          <w:sz w:val="22"/>
        </w:rPr>
      </w:pPr>
      <w:r w:rsidRPr="00522FD5">
        <w:rPr>
          <w:noProof/>
          <w:sz w:val="22"/>
        </w:rPr>
        <w:t xml:space="preserve">Landaburu-Aguirre, J., García-Pacheco, R., Molina, S., Rodríguez-Sáez, L., Rabadán, J., García-Calvo, E., 2016. </w:t>
      </w:r>
      <w:r w:rsidRPr="00EE64F6">
        <w:rPr>
          <w:noProof/>
          <w:sz w:val="22"/>
          <w:lang w:val="en-GB"/>
        </w:rPr>
        <w:t xml:space="preserve">Fouling prevention, preparing for re-use and membrane recycling. Towards circular economy in RO desalination. </w:t>
      </w:r>
      <w:r w:rsidRPr="00522FD5">
        <w:rPr>
          <w:noProof/>
          <w:sz w:val="22"/>
        </w:rPr>
        <w:t>Desalination 393, 16–30. https://doi.org/10.1016/j.desal.2016.04.002</w:t>
      </w:r>
    </w:p>
    <w:p w14:paraId="7C7727D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Laubscher, M., Marinelli, T., 2014. </w:t>
      </w:r>
      <w:r w:rsidRPr="00EE64F6">
        <w:rPr>
          <w:noProof/>
          <w:sz w:val="22"/>
          <w:lang w:val="en-GB"/>
        </w:rPr>
        <w:t>Integration of Circular Economy in Business, in: Going Green - Care Innovation 2014. pp. 1–6.</w:t>
      </w:r>
    </w:p>
    <w:p w14:paraId="02407213"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Leising, E., Quist, J., Bocken, N.M.P., 2018. Circular Economy in the building sector: Three cases and a collaboration tool. J. Clean. Prod. 176, 976–989. https://doi.org/10.1016/j.jclepro.2017.12.010</w:t>
      </w:r>
    </w:p>
    <w:p w14:paraId="7D64E5E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 xml:space="preserve">Leslie, H.A., Leonards, P.E.G., Brandsma, S.H., de Boer, J., Jonkers, N., 2016. Propelling plastics into the </w:t>
      </w:r>
      <w:r w:rsidRPr="00EE64F6">
        <w:rPr>
          <w:noProof/>
          <w:sz w:val="22"/>
          <w:lang w:val="en-GB"/>
        </w:rPr>
        <w:lastRenderedPageBreak/>
        <w:t>circular economy - weeding out the toxics first. Environ. Int. 94, 230–234. https://doi.org/10.1016/j.envint.2016.05.012</w:t>
      </w:r>
    </w:p>
    <w:p w14:paraId="22D4555E"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Lewandowski, M., 2016. Designing the business models for circular economy-towards the conceptual framework. Sustain. 8, 1–28. https://doi.org/10.3390/su8010043</w:t>
      </w:r>
    </w:p>
    <w:p w14:paraId="46DBB32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Li, H., Bao, W., Xiu, C., Zhang, Y., Xu, H., 2010. Energy conservation and circular economy in China’s process industries. Energy 35, 4273–4281. https://doi.org/10.1016/j.energy.2009.04.021</w:t>
      </w:r>
    </w:p>
    <w:p w14:paraId="75753F0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Lieder, M., Asif, F.M.A., Rashid, A., 2017a. Towards Circular Economy implementation: an agent-based simulation approach for business model changes. Auton. Agent. Multi. Agent. Syst. 1–26. https://doi.org/10.1007/s10458-017-9365-9</w:t>
      </w:r>
    </w:p>
    <w:p w14:paraId="2E00CC09"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Lieder, M., Asif, F.M.A., Rashid, A., Mihelič, A., Kotnik, S., 2017b. Towards circular economy implementation in manufacturing systems using a multi-method simulation approach to link design and business strategy. Int. J. Adv. Manuf. Technol. 93, 1953–1970. https://doi.org/10.1007/s00170-017-0610-9</w:t>
      </w:r>
    </w:p>
    <w:p w14:paraId="6FA047E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Lieder, M., Rashid, A., 2016. Towards circular economy implementation: A comprehensive review in context of manufacturing industry. J. Clean. Prod. 115, 36–51. https://doi.org/10.1016/j.jclepro.2015.12.042</w:t>
      </w:r>
    </w:p>
    <w:p w14:paraId="72F3C342"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Liguori, R., Faraco, V., 2016. Biological processes for advancing lignocellulosic waste biorefinery by advocating circular economy. Bioresour. Technol. 215, 13–20. https://doi.org/10.1016/j.biortech.2016.04.054</w:t>
      </w:r>
    </w:p>
    <w:p w14:paraId="0C96A082"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Linder, M., Williander, M., 2017. Circular Business Model Innovation: Inherent Uncertainties. Bus. Strateg. Environ. 26, 182–196. https://doi.org/10.1002/bse.1906</w:t>
      </w:r>
    </w:p>
    <w:p w14:paraId="09985380"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Lindström, J., 2016. When Moving from Products and Services towards Functional Products: Which Sustainability-oriented Customer Values are of Interest? </w:t>
      </w:r>
      <w:r w:rsidRPr="00522FD5">
        <w:rPr>
          <w:noProof/>
          <w:sz w:val="22"/>
        </w:rPr>
        <w:t>Procedia CIRP 48, 16–21. https://doi.org/10.1016/j.procir.2016.03.027</w:t>
      </w:r>
    </w:p>
    <w:p w14:paraId="33C818C9"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Lofthouse, V., Trimingham, R., Bhamra, T., 2017. </w:t>
      </w:r>
      <w:r w:rsidRPr="00EE64F6">
        <w:rPr>
          <w:noProof/>
          <w:sz w:val="22"/>
          <w:lang w:val="en-GB"/>
        </w:rPr>
        <w:t>Reinventing refills: guidelines for design. Packag. Technol. Sci. 30, 809–818. https://doi.org/10.1002/pts.2337</w:t>
      </w:r>
    </w:p>
    <w:p w14:paraId="1E6BB53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Lozano, R., Witjes, S., van Geet, C., Willems, M., 2016. Collaboration for Circular Economy : Linking sustainable public procurement and business models. https://doi.org/10.13140/RG.2.2.36081.68969</w:t>
      </w:r>
    </w:p>
    <w:p w14:paraId="2513721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Lüdeke-Freund, F., Dembek, K., 2017. Sustainable business model research and practice: Emerging field or passing fancy? J. Clean. Prod. 168, 1668–1678. https://doi.org/10.1016/j.jclepro.2017.08.093</w:t>
      </w:r>
    </w:p>
    <w:p w14:paraId="760CD34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Ma, S., Wen, Zong-guo, Chen, J., Wen, Zhi-chao, 2014. Mode of circular economy in China’s iron and steel industry: A case study in Wu’an city. J. Clean. Prod. 64, 505–512. https://doi.org/10.1016/j.jclepro.2013.10.008</w:t>
      </w:r>
    </w:p>
    <w:p w14:paraId="6511BBA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Malinauskaite, J., Jouhara, H., Czajczyńska, D., Stanchev, P., Katsou, E., Rostkowski, P., Thorne, R.J., Colón, J., Ponsá, S., Al-Mansour, F., Anguilano, L., Krzyżyńska, R., López, I.C., Vlasopoulos, A., Spencer, N., 2017. Municipal solid waste management and waste-to-energy in the context of a circular economy and energy recycling in Europe. Energy 141, 2013–2044. https://doi.org/10.1016/j.energy.2017.11.128</w:t>
      </w:r>
    </w:p>
    <w:p w14:paraId="745901DB"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Manninen, K., Koskela, S., Antikainen, R., Bocken, N.M.P., Dahlbo, H., Aminoff, A., 2018. Do circular economy business models capture intended environmental value propositions? J. Clean. Prod. 171, 413–422. https://doi.org/10.1016/j.jclepro.2017.10.003</w:t>
      </w:r>
    </w:p>
    <w:p w14:paraId="15A928FF"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lastRenderedPageBreak/>
        <w:t xml:space="preserve">Manzini, E., Vezzoli, C., 2003. A strategic design approach to develop sustainable product service systems: examples taken from the ‘environmentally friendly innovation’ Italian prize. </w:t>
      </w:r>
      <w:r w:rsidRPr="00522FD5">
        <w:rPr>
          <w:noProof/>
          <w:sz w:val="22"/>
        </w:rPr>
        <w:t>J. Clean. Prod. 11, 851–857. https://doi.org/10.1016/S0959-6526(02)00153-1</w:t>
      </w:r>
    </w:p>
    <w:p w14:paraId="15966A9F" w14:textId="77777777" w:rsidR="00522FD5" w:rsidRPr="00522FD5" w:rsidRDefault="00522FD5" w:rsidP="00522FD5">
      <w:pPr>
        <w:widowControl w:val="0"/>
        <w:autoSpaceDE w:val="0"/>
        <w:autoSpaceDN w:val="0"/>
        <w:adjustRightInd w:val="0"/>
        <w:spacing w:after="240"/>
        <w:ind w:left="480" w:hanging="480"/>
        <w:rPr>
          <w:noProof/>
          <w:sz w:val="22"/>
        </w:rPr>
      </w:pPr>
      <w:r w:rsidRPr="00522FD5">
        <w:rPr>
          <w:noProof/>
          <w:sz w:val="22"/>
        </w:rPr>
        <w:t xml:space="preserve">Marconi, M., Favi, C., Germani, M., Mandolini, M., Mengarelli, M., 2017. </w:t>
      </w:r>
      <w:r w:rsidRPr="00EE64F6">
        <w:rPr>
          <w:noProof/>
          <w:sz w:val="22"/>
          <w:lang w:val="en-GB"/>
        </w:rPr>
        <w:t xml:space="preserve">A Collaborative End of Life platform to Favour the Reuse of Electronic Components. </w:t>
      </w:r>
      <w:r w:rsidRPr="00522FD5">
        <w:rPr>
          <w:noProof/>
          <w:sz w:val="22"/>
        </w:rPr>
        <w:t>Procedia CIRP 61, 166–171. https://doi.org/10.1016/j.procir.2016.11.169</w:t>
      </w:r>
    </w:p>
    <w:p w14:paraId="4685212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Mathews, J.A., Tan, H., 2016. </w:t>
      </w:r>
      <w:r w:rsidRPr="00EE64F6">
        <w:rPr>
          <w:noProof/>
          <w:sz w:val="22"/>
          <w:lang w:val="en-GB"/>
        </w:rPr>
        <w:t>Circular economy: Lessons from China. Nature 531, 440–442. https://doi.org/10.1038/531440a</w:t>
      </w:r>
    </w:p>
    <w:p w14:paraId="7C553193"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Mathews, J.A., Tan, H., 2011. Progress toward a circular economy in China: The drivers (and inhibitors) of eco-industrial initiative. J. Ind. Ecol. 15, 435–457. https://doi.org/10.1111/j.1530-9290.2011.00332.x</w:t>
      </w:r>
    </w:p>
    <w:p w14:paraId="6B5BC9E3"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Maxwell, D., Sheate, W., van der Vorst, R., 2006. Functional and systems aspects of the sustainable product and service development approach for industry. J. Clean. Prod. 14, 1466–1479. https://doi.org/10.1016/j.jclepro.2006.01.028</w:t>
      </w:r>
    </w:p>
    <w:p w14:paraId="3B5D027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McIntyre, K., Ortiz, J.A., 2015. Multinational Corporations and the Circular Economy: How Hewlett Packard Scales Innovation and Technology in Its Global Supply Chain, in: Taking Stock of Industrial Ecology. pp. 317–330. https://doi.org/10.1007/978-3-319-20571-7</w:t>
      </w:r>
    </w:p>
    <w:p w14:paraId="7A34C348"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Mendoza, J.M.F., Sharmina, M., Gallego-Schmid, A., Heyes, G., Azapagic, A., 2017. Integrating Backcasting and Eco-Design for the Circular Economy: The BECE Framework. </w:t>
      </w:r>
      <w:r w:rsidRPr="00522FD5">
        <w:rPr>
          <w:noProof/>
          <w:sz w:val="22"/>
        </w:rPr>
        <w:t>J. Ind. Ecol. 21, 526–544. https://doi.org/10.1111/jiec.12590</w:t>
      </w:r>
    </w:p>
    <w:p w14:paraId="55348D8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Merli, R., Preziosi, M., Acampora, A., 2018. </w:t>
      </w:r>
      <w:r w:rsidRPr="00EE64F6">
        <w:rPr>
          <w:noProof/>
          <w:sz w:val="22"/>
          <w:lang w:val="en-GB"/>
        </w:rPr>
        <w:t>How do scholars approach the circular economy? A systematic literature review. J. Clean. Prod. 178, 703–722. https://doi.org/10.1016/j.jclepro.2017.12.112</w:t>
      </w:r>
    </w:p>
    <w:p w14:paraId="5C255A83"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Milios, L., 2017. The “circular” building materials challenge : a case-based policy approach policy approach, in: ERSCP 2017 - 18th European Roundtable on Sustainable Consumption and Production Conference. pp. 1–11.</w:t>
      </w:r>
    </w:p>
    <w:p w14:paraId="200E4CD3"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Molina-Moreno, V., Leyva-Díaz, J., Sánchez-Molina, J., 2016. </w:t>
      </w:r>
      <w:r w:rsidRPr="00EE64F6">
        <w:rPr>
          <w:noProof/>
          <w:sz w:val="22"/>
          <w:lang w:val="en-GB"/>
        </w:rPr>
        <w:t>Pellet as a Technological Nutrient within the Circular Economy Model: Comparative Analysis of Combustion Efficiency and CO and NOx Emissions for Pellets from Olive and Almond Trees. Energies (Switzerland) 9, 1–16. https://doi.org/10.3390/en9100777</w:t>
      </w:r>
    </w:p>
    <w:p w14:paraId="5FA61072"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Morioka, S.N., Bolis, I., Evans, S., Monteiro de Carvalho, M., 2017. Transforming sustainability challenges into competitive advantage: Multiple case studies kaleidoscope converging into sustainable business models. J. Clean. Prod. 167, 723–738. https://doi.org/10.1016/j.jclepro.2017.08.118</w:t>
      </w:r>
    </w:p>
    <w:p w14:paraId="00D1BE6F"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Morioka, S.N., Bolis, I., Monteiro de Carvalho, M., 2018. From an ideal dream towards reality analysis: Proposing Sustainable Value Exchange Matrix (SVEM) from systematic literature review on sustainable business models and face validation. J. Clean. Prod. 178, 76–88. https://doi.org/10.1016/j.jclepro.2017.12.078</w:t>
      </w:r>
    </w:p>
    <w:p w14:paraId="098353B6"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Morioka, S.N., Geissdoerfer, M., Evans, S., 2016. A combined discussion on sustainable development and circular economy business models, in: EurOMA 2016 - 23rd European Operations Management Association Conference. Trondheim, pp. 1–10.</w:t>
      </w:r>
    </w:p>
    <w:p w14:paraId="0E2F271E"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Morlat, C., Pinto-Silva, K., 2014. Dynamic modelling of cost systems applied to energy efficiency, in: IAEE 2014 - 14th European Energy Conference - Sustainable Energy Policy and Strategies for Europe. Rome, Italy, pp. 1–2.</w:t>
      </w:r>
    </w:p>
    <w:p w14:paraId="41FC592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lastRenderedPageBreak/>
        <w:t>Mosquera-Losada, R., Amador-García, A., Muñóz-Ferreiro, N., Santiago-Freijanes, J.J., Ferreiro-Domínguez, N., Romero-Franco, R., Rigueiro-Rodríguez, A., 2017. Sustainable use of sewage sludge in acid soils within a circular economy perspective. Catena 149, 341–348. https://doi.org/10.1016/j.catena.2016.10.007</w:t>
      </w:r>
    </w:p>
    <w:p w14:paraId="08F494DC"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Mugge, R., Jockin, B., Bocken, N.M.P., 2017. How to sell refurbished smartphones? An investigation of different customer groups and appropriate incentives. J. Clean. Prod. 147, 284–296. https://doi.org/10.1016/j.jclepro.2017.01.111</w:t>
      </w:r>
    </w:p>
    <w:p w14:paraId="29FF5E6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Murray, A., Skene, K., Haynes, K., 2017. The Circular Economy: An Interdisciplinary Exploration of the Concept and Application in a Global Context. J. Bus. Ethics 140, 369–380. https://doi.org/10.1007/s10551-015-2693-2</w:t>
      </w:r>
    </w:p>
    <w:p w14:paraId="44D4EB1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Nasiri, M., Tura, N., Ojanen, V., 2017. Developing disruptive innovations for sustainability: A review on Impact of Internet of Things (IOT), in: PICMET ’17 - Portland International Conference on Management of Engineering and Technology. pp. 1–10. https://doi.org/10.23919/PICMET.2017.8125369</w:t>
      </w:r>
    </w:p>
    <w:p w14:paraId="374B6CC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Nerurkar, O., 2017. A framework of sustainable business models. Indian J. Econ. Dev. 5, 1–6.</w:t>
      </w:r>
    </w:p>
    <w:p w14:paraId="6398FA9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Nußholz, J.L.K., 2017a. Circular Business Model Framework : Mapping value creation architectures along the product lifecycle, in: PLATE 2017 - Product Lifetimes And The Environment Conference. TU Delft, Delft, pp. 1–8.</w:t>
      </w:r>
    </w:p>
    <w:p w14:paraId="7ED1523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Nußholz, J.L.K., 2017b. Circular business models: Defining a concept and framing an emerging research field. Sustain. 9, 1–16. https://doi.org/10.3390/su9101810</w:t>
      </w:r>
    </w:p>
    <w:p w14:paraId="3F4BAAAC"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Nystrom, T., Svengren Holm, L., Van Loon, P., 2017. Future-Adaptability for energy and resource efficient vehicles, in: ICED’17- 21th International Conference on Engineering Design. University of British Columbia, Vancouver, pp. 269–277.</w:t>
      </w:r>
    </w:p>
    <w:p w14:paraId="54DF663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O’Connor, M.P., Zimmerman, J.B., Anastas, P.T., Plata, D.L., 2016. A strategy for material supply chain sustainability: Enabling a circular economy in the electronics industry through green engineering. ACS Sustain. Chem. Eng. 4, 5879–5888. https://doi.org/10.1021/acssuschemeng.6b01954</w:t>
      </w:r>
    </w:p>
    <w:p w14:paraId="1961551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OECD, 2017. New Business Models for the Circular Economy - Opportunities and Challenges from a Policy Perspective.</w:t>
      </w:r>
    </w:p>
    <w:p w14:paraId="460A895B"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Osterwalder, A., Pigneur, Y., 2010. Business Model Generation. John Wiley &amp; Sons, Inc., Hoboken, New Jersey, USA. https://doi.org/10.1017/CBO9781107415324.004</w:t>
      </w:r>
    </w:p>
    <w:p w14:paraId="1D4449C4"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Pagoropoulos, A., Pigosso, D.C.A., McAloone, T.C., 2017. The Emergent Role of Digital Technologies in the Circular Economy: A Review. </w:t>
      </w:r>
      <w:r w:rsidRPr="00522FD5">
        <w:rPr>
          <w:noProof/>
          <w:sz w:val="22"/>
        </w:rPr>
        <w:t>Procedia CIRP 64, 19–24. https://doi.org/10.1016/j.procir.2017.02.047</w:t>
      </w:r>
    </w:p>
    <w:p w14:paraId="5FCEB8A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Pal, R., Gander, J., 2018. </w:t>
      </w:r>
      <w:r w:rsidRPr="00EE64F6">
        <w:rPr>
          <w:noProof/>
          <w:sz w:val="22"/>
          <w:lang w:val="en-GB"/>
        </w:rPr>
        <w:t>Modelling environmental value: an examination of sustainable business models within the fashion industry. J. Clean. Prod. 184, 251–263. https://doi.org/10.1016/j.jclepro.2018.02.001</w:t>
      </w:r>
    </w:p>
    <w:p w14:paraId="188E86FB"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Pan, S.-Y., Du, M.A., Huang, I.-T., Liu, I.-H., Chang, E.-E., Chiang, P.-C., 2015. Strategies on implementation of waste-to-energy (WTE) supply chain for circular economy system: A review. J. Clean. Prod. 108, 409–421. https://doi.org/10.1016/j.jclepro.2015.06.124</w:t>
      </w:r>
    </w:p>
    <w:p w14:paraId="2EDD1A62"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Panarotto, M., Wall, J., Larsson, T.C., 2017. Simulation-driven Design for Assessing Strategic Decisions in the Conceptual Design of Circular PSS Business Models. Procedia CIRP 64, 25–30. https://doi.org/10.1016/j.procir.2017.03.026</w:t>
      </w:r>
    </w:p>
    <w:p w14:paraId="7349FB37"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lastRenderedPageBreak/>
        <w:t>Pardo, R., 2018. How the Circular Economy can benefit from the Digital Revolution.</w:t>
      </w:r>
    </w:p>
    <w:p w14:paraId="7837501C"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Pearce, D.W., Turner, R.., 1991. Economics of natural resources and the environment. Agric. Syst. 37, 100–101. https://doi.org/10.1016/0308-521X(91)90051-B</w:t>
      </w:r>
    </w:p>
    <w:p w14:paraId="7D0927FF"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Piciu, G.C., 2016. Business Models of Circular Economy. </w:t>
      </w:r>
      <w:r w:rsidRPr="00522FD5">
        <w:rPr>
          <w:noProof/>
          <w:sz w:val="22"/>
        </w:rPr>
        <w:t>J. Contemp. Econ. 1, 85–117.</w:t>
      </w:r>
    </w:p>
    <w:p w14:paraId="63505C2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Piscicelli, L., Ludden, G.D.S., Cooper, T., 2018. </w:t>
      </w:r>
      <w:r w:rsidRPr="00EE64F6">
        <w:rPr>
          <w:noProof/>
          <w:sz w:val="22"/>
          <w:lang w:val="en-GB"/>
        </w:rPr>
        <w:t>What makes a sustainable business model successful? An empirical comparison of two peer-to-peer goods-sharing platforms. J. Clean. Prod. 172, 4580–4591. https://doi.org/10.1016/j.jclepro.2017.08.170</w:t>
      </w:r>
    </w:p>
    <w:p w14:paraId="1CEBD0AF"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Planing, P., 2017. Will digital boost circular ? Evaluating the impact of the digital transformation on the shift towards a circular economy. Int. J. Manag. Cases 22–31.</w:t>
      </w:r>
    </w:p>
    <w:p w14:paraId="1DB189D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Popa, V., Popa, L., 2017. Applying circular economy innovation theory in business process modeling and analysis. IOP Conf. Ser. Mater. Sci. Eng. 227, 1–9. https://doi.org/10.1088/1757-899X/227/1/012098</w:t>
      </w:r>
    </w:p>
    <w:p w14:paraId="3F02B74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Prendeville, S., Bocken, N.M.P., 2016. Sustainable Business Models through Service Design, in: GCSM 2016 - 14th Global Conference on Sustainable Manufacturing. Elsevier, Stellenbosch, South Africa, pp. 292–299. https://doi.org/10.1016/j.promfg.2017.02.037</w:t>
      </w:r>
    </w:p>
    <w:p w14:paraId="663E1062"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Prendeville, S., Cherim, E., Bocken, N.M.P., 2018. Circular Cities: Mapping Six Cities in Transition. Environ. Innov. Soc. Transitions 26, 171–194. https://doi.org/10.1016/j.eist.2017.03.002</w:t>
      </w:r>
    </w:p>
    <w:p w14:paraId="76076786"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Prendeville, S., Hartung, G., Brass, C., Purvis, E., Hall, A., 2017. Circular Makerspaces: the founder’s view. Int. J. Sustain. Eng. 10, 272–288. https://doi.org/10.1080/19397038.2017.1317876</w:t>
      </w:r>
    </w:p>
    <w:p w14:paraId="151B7D6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Rashid, A., Asif, F.M.A., Krajnik, P., Nicolescu, C.M., 2013. Resource conservative manufacturing: An essential change in business and technology paradigm for sustainable manufacturing. J. Clean. Prod. 57, 166–177. https://doi.org/10.1016/j.jclepro.2013.06.012</w:t>
      </w:r>
    </w:p>
    <w:p w14:paraId="5AA6F731"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Rattalino, F., 2017. Circular advantage anyone? Sustainability-driven innovation and circularity at Patagonia, Inc. Thunderbird Int. Bus. Rev. 1–9. https://doi.org/10.1002/tie.21917</w:t>
      </w:r>
    </w:p>
    <w:p w14:paraId="5265E8AB"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Regenfelder, M., Slowak, A.P., Santacreu, A., 2016. Closed-Loop Innovation for Mobile Electronics – the Business Model Innovation Approach of the sustainablySMART Project, in: EGG 2016 - Electronics Goes Green 2016+. </w:t>
      </w:r>
      <w:r w:rsidRPr="00522FD5">
        <w:rPr>
          <w:noProof/>
          <w:sz w:val="22"/>
        </w:rPr>
        <w:t>Berlin, Germany, pp. 1–6. https://doi.org/10.1109/EGG.2016.7829847</w:t>
      </w:r>
    </w:p>
    <w:p w14:paraId="2A9BC81B"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Reigado Rodrigues, C., da Costa Fernandes, S., Barrera Saavedra, Y.M., Ometto, A.R., Hornos da Costa, J.M., 2017. </w:t>
      </w:r>
      <w:r w:rsidRPr="00EE64F6">
        <w:rPr>
          <w:noProof/>
          <w:sz w:val="22"/>
          <w:lang w:val="en-GB"/>
        </w:rPr>
        <w:t>A Circular Economy Toolkit as an Alternative to Improve the Application of PSS Methodologies. Procedia CIRP 64, 37–42. https://doi.org/10.1016/j.procir.2017.03.034</w:t>
      </w:r>
    </w:p>
    <w:p w14:paraId="3558816F"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Reuter, M.A., Hudson, C., van Schaik, A., Heiskanen, K., Meskers, C., Hagelüken, C., 2013. Metal Recycling: Opportunities, Limits, Infrastructure, A report of the Working Group on the Global Metal Flows to the International Resource Panel. </w:t>
      </w:r>
      <w:r w:rsidRPr="00522FD5">
        <w:rPr>
          <w:noProof/>
          <w:sz w:val="22"/>
        </w:rPr>
        <w:t>UNEP.</w:t>
      </w:r>
    </w:p>
    <w:p w14:paraId="1F6A600F"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Ribeiro de Oliveira, F., Braga França, S.L., Duncan Rangel, L.A., 2018. </w:t>
      </w:r>
      <w:r w:rsidRPr="00EE64F6">
        <w:rPr>
          <w:noProof/>
          <w:sz w:val="22"/>
          <w:lang w:val="en-GB"/>
        </w:rPr>
        <w:t>Challenges and opportunities in a circular economy for a local productive arrangement of furniture in Brazil. Resour. Conserv. Recycl. 135, 202–209. https://doi.org/10.1016/j.resconrec.2017.10.031</w:t>
      </w:r>
    </w:p>
    <w:p w14:paraId="4EF3E60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Ripanti, E.F., Tjahjono, B., Fan, I., 2016. Circular economy in reverse logistics : formulation and potential design in product refurbish, in: Production and Operations Management Society 27th Annual Conference. Orlando FL, USA, pp. 1–11.</w:t>
      </w:r>
    </w:p>
    <w:p w14:paraId="7DCC9EC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 xml:space="preserve">Rizos, V., Behrens, A., Kafyeke, T., Hirschnitz-Garbers, M., Ioannou, A., 2015. The Circular Economy: </w:t>
      </w:r>
      <w:r w:rsidRPr="00EE64F6">
        <w:rPr>
          <w:noProof/>
          <w:sz w:val="22"/>
          <w:lang w:val="en-GB"/>
        </w:rPr>
        <w:lastRenderedPageBreak/>
        <w:t>Barriers and Opportunities for SMEs.</w:t>
      </w:r>
    </w:p>
    <w:p w14:paraId="2DF49C1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Rizos, V., Behrens, A., van der Gaast, W., Hofman, E., Ioannou, A., Kafyeke, T., Flamos, A., Rinaldi, R., Papadelis, S., Hirschnitz-Garbers, M., Topi, C., 2016. Implementation of circular economy business models by small and medium-sized enterprises (SMEs): Barriers and enablers. Sustain. 8, 1–18. https://doi.org/10.3390/su8111212</w:t>
      </w:r>
    </w:p>
    <w:p w14:paraId="1C1465F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Romero, D., Molina, A., 2012. Green Virtual Enterprise Breeding Environments: A Sustainable Industrial Development Model for a Circular Economy, in: Camarinha-Matos, L.M., Xu, L., Afsarmanesh, H. (Eds.), Collaborative Networks in the Internet of Services - 13th IFIP WG 3.5 Working Conference on Virtual Enterprises, PRO-VE 2012. IFIP International Federation for Information Processing 2012, Bournemouth, UK, pp. 427–436. https://doi.org/10.1007/978-3-642-16327-2</w:t>
      </w:r>
    </w:p>
    <w:p w14:paraId="55976447"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Romero, D., Rossi, M., 2017. Towards Circular Lean Product-Service Systems. Procedia CIRP 64, 13–18. https://doi.org/10.1016/j.procir.2017.03.133</w:t>
      </w:r>
    </w:p>
    <w:p w14:paraId="2BEEEB8F"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Roos, G., 2014. Business Model Innovation to Create and Capture Resource Value in Future Circular Material Chains. </w:t>
      </w:r>
      <w:r w:rsidRPr="00522FD5">
        <w:rPr>
          <w:noProof/>
          <w:sz w:val="22"/>
        </w:rPr>
        <w:t>Resources 3, 248–274. https://doi.org/10.3390/resources3010248</w:t>
      </w:r>
    </w:p>
    <w:p w14:paraId="07CF98C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Rosa, P., Sassanelli, C., Terzi, S., 2019. </w:t>
      </w:r>
      <w:r w:rsidRPr="00EE64F6">
        <w:rPr>
          <w:noProof/>
          <w:sz w:val="22"/>
          <w:lang w:val="en-GB"/>
        </w:rPr>
        <w:t>Circular Business Models versus Circular Benefits: An Assessment in the Waste from Electrical and Electronic Equipments Sector. J. Clean. Prod. https://doi.org/10.1016/j.jclepro.2019.05.310</w:t>
      </w:r>
    </w:p>
    <w:p w14:paraId="4224DD3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Sahu, B.B., Barik, N.K., Paikaray, A., Agnibesh, A., Mohapatra, S., Jayasankar, P., 2016. Fish Waste Bio-Refinery Products : Its application in Organic Farming. Int. J. Environ. Agric. Biotechnol. 1, 837–843.</w:t>
      </w:r>
    </w:p>
    <w:p w14:paraId="1B4849E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Sannö, A., Wallin, P., Fundin, A., 2014. Developing a research framework for environmental sustainability within a global automotive business, in: EurOMA 2014 - 21st International Sustainable Operations and Supply Chains Forum. Groningen, Netherlands, pp. 1–11.</w:t>
      </w:r>
    </w:p>
    <w:p w14:paraId="3F48B7A1"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Sarasini, S., Linder, M., Langeland, O., Julsrud, T.-E., 2016. Integrating a business model perspective into sustainability transitions: A research agenda based on servitised mobility, in: IST Conference 2016. pp. 1–28.</w:t>
      </w:r>
    </w:p>
    <w:p w14:paraId="63B96D9C"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Sarkis, J., Helms, M.M., Hervani, A.A., 2010. Reverse logistics and social sustainability. </w:t>
      </w:r>
      <w:r w:rsidRPr="00522FD5">
        <w:rPr>
          <w:noProof/>
          <w:sz w:val="22"/>
        </w:rPr>
        <w:t>Corp. Soc. Responsib. Environ. Manag. 17, 337–354. https://doi.org/10.1002/csr.220</w:t>
      </w:r>
    </w:p>
    <w:p w14:paraId="5BAED682"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Sassanelli, C., Rosa, P., Rocca, R., Terzi, S., 2019. </w:t>
      </w:r>
      <w:r w:rsidRPr="00EE64F6">
        <w:rPr>
          <w:noProof/>
          <w:sz w:val="22"/>
          <w:lang w:val="en-GB"/>
        </w:rPr>
        <w:t>Circular Economy performance assessment methods: a systematic literature review. J. Clean. Prod. 229, 440–453. https://doi.org/10.1016/j.jclepro.2019.05.019</w:t>
      </w:r>
    </w:p>
    <w:p w14:paraId="5D681516"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Sauerwein, M., Doubrovski, E.L., 2018. Local and recyclable materials for additive manufacturing: 3D printing with mussel shells. Mater. Today Commun. 15, 214–217. https://doi.org/10.1016/j.mtcomm.2018.02.028</w:t>
      </w:r>
    </w:p>
    <w:p w14:paraId="7CFDE15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Scheel, C., 2016. Beyond sustainability. Transforming industrial zero-valued residues into increasing economic returns. J. Clean. Prod. 131, 376–386. https://doi.org/10.1016/j.jclepro.2016.05.018</w:t>
      </w:r>
    </w:p>
    <w:p w14:paraId="32BB3D4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Scheepens, A.E., Vogtländer, J.G., Brezet, J.C., 2016. Two life cycle assessment (LCA) based methods to analyse and design complex (regional) circular economy systems. Case: Making water tourism more sustainable. J. Clean. Prod. 114, 257–268. https://doi.org/10.1016/j.jclepro.2015.05.075</w:t>
      </w:r>
    </w:p>
    <w:p w14:paraId="542A5868"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Schroeder, P., Anggraeni, K., Weber, U., 2018. The Relevance of Circular Economy Practices to the Sustainable Development Goals. </w:t>
      </w:r>
      <w:r w:rsidRPr="00522FD5">
        <w:rPr>
          <w:noProof/>
          <w:sz w:val="22"/>
        </w:rPr>
        <w:t>J. Ind. Ecol. 23, 77–95. https://doi.org/10.1111/jiec.12732</w:t>
      </w:r>
    </w:p>
    <w:p w14:paraId="778E6D89"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lastRenderedPageBreak/>
        <w:t xml:space="preserve">Sheldon, R.A., 2016. </w:t>
      </w:r>
      <w:r w:rsidRPr="00EE64F6">
        <w:rPr>
          <w:noProof/>
          <w:sz w:val="22"/>
          <w:lang w:val="en-GB"/>
        </w:rPr>
        <w:t>Green chemistry and resource efficiency: towards a green economy. Green Chem. 18, 3180–3183. https://doi.org/10.1039/C6GC90040B</w:t>
      </w:r>
    </w:p>
    <w:p w14:paraId="2E0D263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Smart, P., Hemel, S., Lettice, F., Adams, R., Evans, S., 2017. Pre-paradigmatic status of industrial sustainability: a systematic review. Int. J. Oper. Prod. Manag. 37, 1425–1450.</w:t>
      </w:r>
    </w:p>
    <w:p w14:paraId="497FF927"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Smith-Gillespie, A., 2017. Defining the Concept of Circular Economy Business Model.</w:t>
      </w:r>
    </w:p>
    <w:p w14:paraId="4D86199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Smol, M., Kulczycka, J., Henclik, A., Gorazda, K., Wzorek, Z., 2015. The possible use of sewage sludge ash (SSA) in the construction industry as a way towards a circular economy. J. Clean. Prod. 95, 45–54. https://doi.org/10.1016/j.jclepro.2015.02.051</w:t>
      </w:r>
    </w:p>
    <w:p w14:paraId="2C90C08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Sousa-Zomer, T.T., Magalhães, L., Zancul, E., Cauchick-Miguel, P.A., 2018. Exploring the challenges for circular business implementation in manufacturing companies: An empirical investigation of a pay-per-use service provider. Resour. Conserv. Recycl. 135, 3–13. https://doi.org/10.1016/j.resconrec.2017.10.033</w:t>
      </w:r>
    </w:p>
    <w:p w14:paraId="48379D04"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Sousa-Zomer, T.T., Magalhães, L., Zancul, E., Cauchick-Miguel, P.A., 2017. Lifecycle Management of Product-service Systems: A Preliminary Investigation of a White Goods Manufacturer. </w:t>
      </w:r>
      <w:r w:rsidRPr="00522FD5">
        <w:rPr>
          <w:noProof/>
          <w:sz w:val="22"/>
        </w:rPr>
        <w:t>Procedia CIRP 64, 31–36. https://doi.org/10.1016/j.procir.2017.03.041</w:t>
      </w:r>
    </w:p>
    <w:p w14:paraId="188F7A59"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Spring, M., Araujo, L., 2017. </w:t>
      </w:r>
      <w:r w:rsidRPr="00EE64F6">
        <w:rPr>
          <w:noProof/>
          <w:sz w:val="22"/>
          <w:lang w:val="en-GB"/>
        </w:rPr>
        <w:t>Product biographies in servitization and the circular economy. Ind. Mark. Manag. 60, 126–137. https://doi.org/10.1016/j.indmarman.2016.07.001</w:t>
      </w:r>
    </w:p>
    <w:p w14:paraId="53555E4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Stahel, W.R., Reday-Mulvey, G. eve, 1981. Jobs for tomorrow : the potential for substituting manpower for energy, 1st ed. Vantage Press, New York.</w:t>
      </w:r>
    </w:p>
    <w:p w14:paraId="0D0EC19B"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Stål, H.I., Corvellec, H., 2018. A decoupling perspective on circular business model implementation: Illustrations from Swedish apparel. J. Clean. Prod. 171, 630–643. https://doi.org/10.1016/j.jclepro.2017.09.249</w:t>
      </w:r>
    </w:p>
    <w:p w14:paraId="0A261BCC"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Stratan, D., 2017. Success Factors of Sustainable Social Enterprises Through Circular Economy Perspective. Visegr. J. Bioeconomy Sustain. Dev. 6, 17–23. https://doi.org/10.1515/vjbsd-2017-0003</w:t>
      </w:r>
    </w:p>
    <w:p w14:paraId="7305155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Su, B., Heshmati, A., Geng, Y., Yu, X., 2013. A review of the circular economy in China: Moving from rhetoric to implementation. J. Clean. Prod. 42, 215–227. https://doi.org/10.1016/j.jclepro.2012.11.020</w:t>
      </w:r>
    </w:p>
    <w:p w14:paraId="25104EDF"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Svatikova, K., Artola, I., Slingerland, S., Fischer, S., 2015. Selling Solar Services as a Contribution to a Circular Economy.</w:t>
      </w:r>
    </w:p>
    <w:p w14:paraId="7DAE978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Testa, M., Malandrino, O., Sessa, M.R., Supino, S., Sica, D., 2017. </w:t>
      </w:r>
      <w:r w:rsidRPr="00EE64F6">
        <w:rPr>
          <w:noProof/>
          <w:sz w:val="22"/>
          <w:lang w:val="en-GB"/>
        </w:rPr>
        <w:t>Long-term sustainability from the perspective of cullet recycling in the container glass industry: Evidence from Italy. Sustain. 9, 1–19. https://doi.org/10.3390/su9101752</w:t>
      </w:r>
    </w:p>
    <w:p w14:paraId="2DF8F48F"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The Ellen MacArthur Foundation, 2015. Towards a Circular Economy: Business Rationale for an Accelerated Transition. https://doi.org/2012-04-03</w:t>
      </w:r>
    </w:p>
    <w:p w14:paraId="42CAE10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Tolio, T., Bernard, A., Colledani, M., Kara, S., Seliger, G., Duflou, J.R., Battaia, O., Takata, S., 2017. </w:t>
      </w:r>
      <w:r w:rsidRPr="00EE64F6">
        <w:rPr>
          <w:noProof/>
          <w:sz w:val="22"/>
          <w:lang w:val="en-GB"/>
        </w:rPr>
        <w:t>Design, management and control of demanufacturing and remanufacturing systems. CIRP Ann. - Manuf. Technol. 66, 585–609. https://doi.org/10.1016/j.cirp.2017.05.001</w:t>
      </w:r>
    </w:p>
    <w:p w14:paraId="7C2688A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Tukker, A., 2015. Product services for a resource-efficient and circular economy - A review. J. Clean. Prod. 97, 76–91. https://doi.org/10.1016/j.jclepro.2013.11.049</w:t>
      </w:r>
    </w:p>
    <w:p w14:paraId="6D56403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 xml:space="preserve">Tukker, A., 2004. Eight types of product-service system: Eight ways to sustainability? Experiences from </w:t>
      </w:r>
      <w:r w:rsidRPr="00EE64F6">
        <w:rPr>
          <w:noProof/>
          <w:sz w:val="22"/>
          <w:lang w:val="en-GB"/>
        </w:rPr>
        <w:lastRenderedPageBreak/>
        <w:t>suspronet. Bus. Strateg. Environ. 13, 246–260. https://doi.org/10.1002/bse.414</w:t>
      </w:r>
    </w:p>
    <w:p w14:paraId="20EA896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Tukker, A., Tischner, U., 2006. Product-services as a research field: past, present and future. Reflections from a decade of research. J. Clean. Prod. 14, 1552–1556. https://doi.org/10.1016/j.jclepro.2006.01.022</w:t>
      </w:r>
    </w:p>
    <w:p w14:paraId="60A6CF6C"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Tyl, B., Allais, R., Gobert, J., Bocken, N.M.P., Prendeville, S., Pichler, P.-P., Lüdeke-Freund, F., Alvarès, D.L., Len, M., Fernani, V., Gheorghica, A., Masson, G., Kubbinga, B., Baldacchino, C., Hamwi, M., Brass, C., Berlingen, F., Kruk, K., Whalen, K.A., 2006. Towards synergies between local repairers, citizens, designers, and public actors: the REVALUE project.</w:t>
      </w:r>
    </w:p>
    <w:p w14:paraId="7A703E3E"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Unruh, G., 2018. Circular Economy, 3D Printing, and the Biosphere Rules. </w:t>
      </w:r>
      <w:r w:rsidRPr="00522FD5">
        <w:rPr>
          <w:noProof/>
          <w:sz w:val="22"/>
        </w:rPr>
        <w:t>Calif. Manage. Rev. 60, 95–111. https://doi.org/10.1177/0008125618759684</w:t>
      </w:r>
    </w:p>
    <w:p w14:paraId="3F10D2D3"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Urbinati, A., Chiaroni, D., Chiesa, V., 2017. </w:t>
      </w:r>
      <w:r w:rsidRPr="00EE64F6">
        <w:rPr>
          <w:noProof/>
          <w:sz w:val="22"/>
          <w:lang w:val="en-GB"/>
        </w:rPr>
        <w:t>Towards a new taxonomy of circular economy business models. J. Clean. Prod. 168, 487–498. https://doi.org/10.1016/j.jclepro.2017.09.047</w:t>
      </w:r>
    </w:p>
    <w:p w14:paraId="0374BDB3"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van Loon, P., Delagarde, C., Van Wassenhove, L.N., 2017. The role of second-hand markets in circular business: a simple model for leasing versus selling consumer products. Int. J. Prod. Res. 7543, 1–14. https://doi.org/10.1080/00207543.2017.1398429</w:t>
      </w:r>
    </w:p>
    <w:p w14:paraId="309E35B9"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van Loon, P., Van Wassenhove, L.N., 2017. Assessing the economic and environmental impact of remanufacturing: a decision support tool for OEM suppliers. Int. J. Prod. Res. 7543, 1–13. https://doi.org/10.1080/00207543.2017.1367107</w:t>
      </w:r>
    </w:p>
    <w:p w14:paraId="407FCECD"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Venselaar, J., van de Kelft, D., 2014. A practice based approach to further high level reuse in equipment manufacturing offering business opportunities in a circular economy, in: TII 2014 - Technology, Innovation, International Annual Conference. Utrecht, pp. 1–4.</w:t>
      </w:r>
    </w:p>
    <w:p w14:paraId="022D6B17"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Virtanen, M., Manskinen, K., Eerola, S., 2017. Circular Material Library. An Innovative Tool to Design Circular Economy. Des. J. 20, S1611–S1619. https://doi.org/10.1080/14606925.2017.1352685</w:t>
      </w:r>
    </w:p>
    <w:p w14:paraId="2371F1F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Vogtländer, J.G., Scheepens, A.E., Bocken, N.M.P., Peck, D., 2017. Combined analyses of costs, market value and eco-costs in circular business models: eco-efficient value creation in remanufacturing. J. Remanufacturing 7, 1–17. https://doi.org/10.1007/s13243-017-0031-9</w:t>
      </w:r>
    </w:p>
    <w:p w14:paraId="655BD1A4"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WCED, 1987. Our Common Future: Report of the World Commission on Environment and Development.</w:t>
      </w:r>
    </w:p>
    <w:p w14:paraId="0E8673AC"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Wen, Z., Meng, X., 2015. Quantitative assessment of industrial symbiosis for the promotion of circular economy: A case study of the printed circuit boards industry in China’s Suzhou New District. J. Clean. Prod. 90, 211–219. https://doi.org/10.1016/j.jclepro.2014.03.041</w:t>
      </w:r>
    </w:p>
    <w:p w14:paraId="571040F6"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Whalen, K.A., Milios, L., Nußholz, J.L.K., 2017. Bridging the gap: Barriers and potential for scaling reuse practices in the Swedish ICT sector. Resour. Conserv. Recycl. 135, 123–131. https://doi.org/10.1016/j.resconrec.2017.07.029</w:t>
      </w:r>
    </w:p>
    <w:p w14:paraId="2598EF0A"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Witjes, S., Lozano, R., 2016. Towards a more Circular Economy: Proposing a framework linking sustainable public procurement and sustainable business models. Resour. Conserv. Recycl. 112, 37–44. https://doi.org/10.1016/j.resconrec.2016.04.015</w:t>
      </w:r>
    </w:p>
    <w:p w14:paraId="77172C0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Wong, M., 2004. Implementation of innovative product service-systems in the consumer goods industry.</w:t>
      </w:r>
    </w:p>
    <w:p w14:paraId="4F00B067"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Wünderlich, N. V., Heinonen, K., Ostrom, A.L., Patricio, L., Sousa, R., Voss, C., Lemmink, J.G.A.M., 2015. “Futurizing” smart service: implications for service researchers and managers. </w:t>
      </w:r>
      <w:r w:rsidRPr="00522FD5">
        <w:rPr>
          <w:noProof/>
          <w:sz w:val="22"/>
        </w:rPr>
        <w:t>J. Serv. Mark. 29, 442–447. https://doi.org/10.1108/JSM-01-2015-0040</w:t>
      </w:r>
    </w:p>
    <w:p w14:paraId="687C5188"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lastRenderedPageBreak/>
        <w:t xml:space="preserve">Xu, J., Li, X., Wu, D.D., 2009. </w:t>
      </w:r>
      <w:r w:rsidRPr="00EE64F6">
        <w:rPr>
          <w:noProof/>
          <w:sz w:val="22"/>
          <w:lang w:val="en-GB"/>
        </w:rPr>
        <w:t>Optimizing circular economy planning and risk analysis using system dynamics. Hum. Ecol. Risk Assess. An Int. J. 15, 316–331. https://doi.org/10.1080/10807030902761361</w:t>
      </w:r>
    </w:p>
    <w:p w14:paraId="0450C0C0"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522FD5">
        <w:rPr>
          <w:noProof/>
          <w:sz w:val="22"/>
        </w:rPr>
        <w:t xml:space="preserve">Yazan, D.M., Cafagna, D., Mes, M., Fraccascia, L., Pontrandolfo, P., Zijm, H., 2015. </w:t>
      </w:r>
      <w:r w:rsidRPr="00EE64F6">
        <w:rPr>
          <w:noProof/>
          <w:sz w:val="22"/>
          <w:lang w:val="en-GB"/>
        </w:rPr>
        <w:t>Economic sustainability of biogas production from animal manure: A regional circular economy model, in: 4th GIN Conference 2015. pp. 1–24.</w:t>
      </w:r>
    </w:p>
    <w:p w14:paraId="28FF404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Zeng, H., Chen, X., Xiao, X., Zhou, Z., 2017. Institutional pressures, sustainable supply chain management, and circular economy capability: Empirical evidence from Chinese eco-industrial park firms. J. Clean. Prod. 155, 54–65. https://doi.org/10.1016/j.jclepro.2016.10.093</w:t>
      </w:r>
    </w:p>
    <w:p w14:paraId="63516B95"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Zhao, Haoran, Zhao, Huiru, Guo, S., 2017. Evaluating the comprehensive benefit of eco-industrial parks by employing multi-criteria decision making approach for circular economy. J. Clean. Prod. 142, 2262–2276. https://doi.org/10.1016/j.jclepro.2016.11.041</w:t>
      </w:r>
    </w:p>
    <w:p w14:paraId="45992F23" w14:textId="77777777" w:rsidR="00522FD5" w:rsidRPr="00EE64F6" w:rsidRDefault="00522FD5" w:rsidP="00522FD5">
      <w:pPr>
        <w:widowControl w:val="0"/>
        <w:autoSpaceDE w:val="0"/>
        <w:autoSpaceDN w:val="0"/>
        <w:adjustRightInd w:val="0"/>
        <w:spacing w:after="240"/>
        <w:ind w:left="480" w:hanging="480"/>
        <w:rPr>
          <w:noProof/>
          <w:sz w:val="22"/>
          <w:lang w:val="en-GB"/>
        </w:rPr>
      </w:pPr>
      <w:r w:rsidRPr="00EE64F6">
        <w:rPr>
          <w:noProof/>
          <w:sz w:val="22"/>
          <w:lang w:val="en-GB"/>
        </w:rPr>
        <w:t>Zuidema, R.H., 2015. Open Building as the basis for Circular Economy Buildings, in: Future of Open Building Conference. Zurich (SWI), pp. 1–12.</w:t>
      </w:r>
    </w:p>
    <w:p w14:paraId="20B21CCC" w14:textId="77777777" w:rsidR="00522FD5" w:rsidRPr="00522FD5" w:rsidRDefault="00522FD5" w:rsidP="00522FD5">
      <w:pPr>
        <w:widowControl w:val="0"/>
        <w:autoSpaceDE w:val="0"/>
        <w:autoSpaceDN w:val="0"/>
        <w:adjustRightInd w:val="0"/>
        <w:spacing w:after="240"/>
        <w:ind w:left="480" w:hanging="480"/>
        <w:rPr>
          <w:noProof/>
          <w:sz w:val="22"/>
        </w:rPr>
      </w:pPr>
      <w:r w:rsidRPr="00EE64F6">
        <w:rPr>
          <w:noProof/>
          <w:sz w:val="22"/>
          <w:lang w:val="en-GB"/>
        </w:rPr>
        <w:t xml:space="preserve">Zvarych, I., 2017. Circular Economy and Globalized Waste Management. </w:t>
      </w:r>
      <w:r w:rsidRPr="00522FD5">
        <w:rPr>
          <w:noProof/>
          <w:sz w:val="22"/>
        </w:rPr>
        <w:t>J. Eur. Econ. 16, 38–53.</w:t>
      </w:r>
    </w:p>
    <w:p w14:paraId="193998AF" w14:textId="640E55F5" w:rsidR="00913805" w:rsidRPr="00402AEC" w:rsidRDefault="00DE1215" w:rsidP="00B90A26">
      <w:pPr>
        <w:spacing w:after="240"/>
        <w:ind w:left="142" w:hanging="142"/>
        <w:jc w:val="both"/>
        <w:rPr>
          <w:color w:val="FF0000"/>
          <w:sz w:val="22"/>
          <w:lang w:val="en-GB"/>
        </w:rPr>
      </w:pPr>
      <w:r w:rsidRPr="009601F2">
        <w:rPr>
          <w:color w:val="FF0000"/>
          <w:sz w:val="22"/>
          <w:lang w:val="en-GB"/>
        </w:rPr>
        <w:fldChar w:fldCharType="end"/>
      </w:r>
    </w:p>
    <w:sectPr w:rsidR="00913805" w:rsidRPr="00402AEC" w:rsidSect="00BB5D89">
      <w:headerReference w:type="default" r:id="rId15"/>
      <w:footerReference w:type="even" r:id="rId16"/>
      <w:footerReference w:type="default" r:id="rId17"/>
      <w:pgSz w:w="11900" w:h="16840"/>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6025F2" w14:textId="77777777" w:rsidR="005854B1" w:rsidRDefault="005854B1" w:rsidP="0026678C">
      <w:r>
        <w:separator/>
      </w:r>
    </w:p>
  </w:endnote>
  <w:endnote w:type="continuationSeparator" w:id="0">
    <w:p w14:paraId="40450F72" w14:textId="77777777" w:rsidR="005854B1" w:rsidRDefault="005854B1" w:rsidP="002667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Hebrew">
    <w:altName w:val="Arial"/>
    <w:charset w:val="B1"/>
    <w:family w:val="auto"/>
    <w:pitch w:val="variable"/>
    <w:sig w:usb0="80000843" w:usb1="40002002" w:usb2="00000000" w:usb3="00000000" w:csb0="00000021" w:csb1="00000000"/>
  </w:font>
  <w:font w:name="Helvetica">
    <w:panose1 w:val="020B0604020202020204"/>
    <w:charset w:val="00"/>
    <w:family w:val="swiss"/>
    <w:pitch w:val="variable"/>
    <w:sig w:usb0="20002A87" w:usb1="00000000" w:usb2="00000000"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E3292A" w14:textId="77777777" w:rsidR="00021BC6" w:rsidRDefault="00021BC6" w:rsidP="00D32DBB">
    <w:pPr>
      <w:pStyle w:val="Pidipagina"/>
      <w:framePr w:wrap="none"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0EDD374F" w14:textId="258F84B7" w:rsidR="00021BC6" w:rsidRDefault="00021BC6" w:rsidP="0026678C">
    <w:pPr>
      <w:pStyle w:val="Pidipagina"/>
      <w:rPr>
        <w:rStyle w:val="Numeropagina"/>
      </w:rPr>
    </w:pPr>
  </w:p>
  <w:p w14:paraId="4465C256" w14:textId="77777777" w:rsidR="00021BC6" w:rsidRDefault="00021BC6" w:rsidP="0026678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7D284B" w14:textId="5E2201C5" w:rsidR="00021BC6" w:rsidRDefault="00021BC6" w:rsidP="00D32DBB">
    <w:pPr>
      <w:pStyle w:val="Pidipagina"/>
      <w:framePr w:wrap="none"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8247B3">
      <w:rPr>
        <w:rStyle w:val="Numeropagina"/>
        <w:noProof/>
      </w:rPr>
      <w:t>3</w:t>
    </w:r>
    <w:r>
      <w:rPr>
        <w:rStyle w:val="Numeropagina"/>
      </w:rPr>
      <w:fldChar w:fldCharType="end"/>
    </w:r>
  </w:p>
  <w:p w14:paraId="1BB5CACB" w14:textId="77777777" w:rsidR="00021BC6" w:rsidRPr="00462F8E" w:rsidRDefault="00021BC6">
    <w:pPr>
      <w:pStyle w:val="Pidipagina"/>
      <w:jc w:val="center"/>
      <w:rPr>
        <w:caps/>
        <w:color w:val="5B9BD5"/>
      </w:rPr>
    </w:pPr>
  </w:p>
  <w:p w14:paraId="1FAD8B09" w14:textId="77777777" w:rsidR="00021BC6" w:rsidRDefault="00021BC6" w:rsidP="0026678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0826F4" w14:textId="77777777" w:rsidR="005854B1" w:rsidRDefault="005854B1" w:rsidP="0026678C">
      <w:r>
        <w:separator/>
      </w:r>
    </w:p>
  </w:footnote>
  <w:footnote w:type="continuationSeparator" w:id="0">
    <w:p w14:paraId="6578DEE0" w14:textId="77777777" w:rsidR="005854B1" w:rsidRDefault="005854B1" w:rsidP="002667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57D7F8" w14:textId="1BDCEA00" w:rsidR="00021BC6" w:rsidRPr="008E7DEE" w:rsidRDefault="00021BC6" w:rsidP="0026678C">
    <w:pPr>
      <w:pStyle w:val="Intestazione"/>
    </w:pP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77169"/>
    <w:multiLevelType w:val="hybridMultilevel"/>
    <w:tmpl w:val="2884BA96"/>
    <w:lvl w:ilvl="0" w:tplc="7E6A3D38">
      <w:start w:val="1"/>
      <w:numFmt w:val="decimal"/>
      <w:lvlText w:val="%1.1"/>
      <w:lvlJc w:val="left"/>
      <w:pPr>
        <w:ind w:left="1080" w:hanging="360"/>
      </w:pPr>
      <w:rPr>
        <w:rFonts w:hint="default"/>
      </w:rPr>
    </w:lvl>
    <w:lvl w:ilvl="1" w:tplc="04100019" w:tentative="1">
      <w:start w:val="1"/>
      <w:numFmt w:val="lowerLetter"/>
      <w:lvlText w:val="%2."/>
      <w:lvlJc w:val="left"/>
      <w:pPr>
        <w:ind w:left="1800" w:hanging="360"/>
      </w:pPr>
    </w:lvl>
    <w:lvl w:ilvl="2" w:tplc="0410001B">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 w15:restartNumberingAfterBreak="0">
    <w:nsid w:val="04D935DA"/>
    <w:multiLevelType w:val="hybridMultilevel"/>
    <w:tmpl w:val="774614EC"/>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A8B2667"/>
    <w:multiLevelType w:val="hybridMultilevel"/>
    <w:tmpl w:val="E04C6998"/>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 w15:restartNumberingAfterBreak="0">
    <w:nsid w:val="0E410EBB"/>
    <w:multiLevelType w:val="hybridMultilevel"/>
    <w:tmpl w:val="AF46A272"/>
    <w:lvl w:ilvl="0" w:tplc="04100001">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4" w15:restartNumberingAfterBreak="0">
    <w:nsid w:val="0EA7623D"/>
    <w:multiLevelType w:val="hybridMultilevel"/>
    <w:tmpl w:val="6690041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ED36A53"/>
    <w:multiLevelType w:val="hybridMultilevel"/>
    <w:tmpl w:val="C5D407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63B19D3"/>
    <w:multiLevelType w:val="hybridMultilevel"/>
    <w:tmpl w:val="BFA0F3D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8762A5B"/>
    <w:multiLevelType w:val="hybridMultilevel"/>
    <w:tmpl w:val="5FB88C1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89E0E1C"/>
    <w:multiLevelType w:val="hybridMultilevel"/>
    <w:tmpl w:val="E32474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C702CAA"/>
    <w:multiLevelType w:val="multilevel"/>
    <w:tmpl w:val="549C7864"/>
    <w:lvl w:ilvl="0">
      <w:start w:val="1"/>
      <w:numFmt w:val="bullet"/>
      <w:lvlText w:val=""/>
      <w:lvlJc w:val="left"/>
      <w:pPr>
        <w:ind w:left="360" w:hanging="360"/>
      </w:pPr>
      <w:rPr>
        <w:rFonts w:ascii="Symbol" w:hAnsi="Symbol"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1E11251B"/>
    <w:multiLevelType w:val="hybridMultilevel"/>
    <w:tmpl w:val="2F3216E4"/>
    <w:lvl w:ilvl="0" w:tplc="6D409BC6">
      <w:start w:val="1"/>
      <w:numFmt w:val="decimal"/>
      <w:lvlText w:val="%1)"/>
      <w:lvlJc w:val="left"/>
      <w:pPr>
        <w:ind w:left="720" w:hanging="360"/>
      </w:pPr>
      <w:rPr>
        <w:rFonts w:ascii="Times" w:eastAsiaTheme="minorEastAsia" w:hAnsi="Times" w:cs="Times"/>
        <w:i w:val="0"/>
        <w:noProof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1FD43648"/>
    <w:multiLevelType w:val="hybridMultilevel"/>
    <w:tmpl w:val="514A10DE"/>
    <w:lvl w:ilvl="0" w:tplc="04100011">
      <w:start w:val="1"/>
      <w:numFmt w:val="decimal"/>
      <w:lvlText w:val="%1)"/>
      <w:lvlJc w:val="left"/>
      <w:pPr>
        <w:ind w:left="36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3C02E2A"/>
    <w:multiLevelType w:val="hybridMultilevel"/>
    <w:tmpl w:val="5E5C7A16"/>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4E925D0"/>
    <w:multiLevelType w:val="hybridMultilevel"/>
    <w:tmpl w:val="BBEAA746"/>
    <w:lvl w:ilvl="0" w:tplc="B7920E78">
      <w:numFmt w:val="bullet"/>
      <w:lvlText w:val="-"/>
      <w:lvlJc w:val="left"/>
      <w:pPr>
        <w:ind w:left="1146" w:hanging="360"/>
      </w:pPr>
      <w:rPr>
        <w:rFonts w:ascii="Times New Roman" w:eastAsia="SimSun" w:hAnsi="Times New Roman" w:cs="Times New Roman"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4" w15:restartNumberingAfterBreak="0">
    <w:nsid w:val="2D817640"/>
    <w:multiLevelType w:val="hybridMultilevel"/>
    <w:tmpl w:val="6E3A3A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E8E3D8C"/>
    <w:multiLevelType w:val="multilevel"/>
    <w:tmpl w:val="8C1471C8"/>
    <w:lvl w:ilvl="0">
      <w:start w:val="1"/>
      <w:numFmt w:val="decimal"/>
      <w:lvlText w:val="%1."/>
      <w:lvlJc w:val="left"/>
      <w:pPr>
        <w:ind w:left="1146" w:hanging="360"/>
      </w:pPr>
    </w:lvl>
    <w:lvl w:ilvl="1">
      <w:start w:val="1"/>
      <w:numFmt w:val="decimal"/>
      <w:isLgl/>
      <w:lvlText w:val="%1.%2"/>
      <w:lvlJc w:val="left"/>
      <w:pPr>
        <w:ind w:left="1146" w:hanging="360"/>
      </w:pPr>
      <w:rPr>
        <w:rFonts w:hint="default"/>
      </w:rPr>
    </w:lvl>
    <w:lvl w:ilvl="2">
      <w:start w:val="1"/>
      <w:numFmt w:val="decimal"/>
      <w:isLgl/>
      <w:lvlText w:val="%1.%2.%3"/>
      <w:lvlJc w:val="left"/>
      <w:pPr>
        <w:ind w:left="1506" w:hanging="720"/>
      </w:pPr>
      <w:rPr>
        <w:rFonts w:hint="default"/>
      </w:rPr>
    </w:lvl>
    <w:lvl w:ilvl="3">
      <w:start w:val="1"/>
      <w:numFmt w:val="decimal"/>
      <w:isLgl/>
      <w:lvlText w:val="%1.%2.%3.%4"/>
      <w:lvlJc w:val="left"/>
      <w:pPr>
        <w:ind w:left="1506"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1866" w:hanging="1080"/>
      </w:pPr>
      <w:rPr>
        <w:rFonts w:hint="default"/>
      </w:rPr>
    </w:lvl>
    <w:lvl w:ilvl="6">
      <w:start w:val="1"/>
      <w:numFmt w:val="decimal"/>
      <w:isLgl/>
      <w:lvlText w:val="%1.%2.%3.%4.%5.%6.%7"/>
      <w:lvlJc w:val="left"/>
      <w:pPr>
        <w:ind w:left="2226"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86" w:hanging="1800"/>
      </w:pPr>
      <w:rPr>
        <w:rFonts w:hint="default"/>
      </w:rPr>
    </w:lvl>
  </w:abstractNum>
  <w:abstractNum w:abstractNumId="16" w15:restartNumberingAfterBreak="0">
    <w:nsid w:val="3B5A32E3"/>
    <w:multiLevelType w:val="hybridMultilevel"/>
    <w:tmpl w:val="BDC0109E"/>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BFB5302"/>
    <w:multiLevelType w:val="hybridMultilevel"/>
    <w:tmpl w:val="8EC8F9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E864A46"/>
    <w:multiLevelType w:val="hybridMultilevel"/>
    <w:tmpl w:val="4282ED38"/>
    <w:lvl w:ilvl="0" w:tplc="F508E9C2">
      <w:start w:val="1"/>
      <w:numFmt w:val="decimal"/>
      <w:lvlText w:val="%1.1.1"/>
      <w:lvlJc w:val="right"/>
      <w:pPr>
        <w:ind w:left="3060" w:hanging="360"/>
      </w:pPr>
      <w:rPr>
        <w:rFonts w:hint="default"/>
      </w:rPr>
    </w:lvl>
    <w:lvl w:ilvl="1" w:tplc="04100019" w:tentative="1">
      <w:start w:val="1"/>
      <w:numFmt w:val="lowerLetter"/>
      <w:lvlText w:val="%2."/>
      <w:lvlJc w:val="left"/>
      <w:pPr>
        <w:ind w:left="3780" w:hanging="360"/>
      </w:pPr>
    </w:lvl>
    <w:lvl w:ilvl="2" w:tplc="0410001B" w:tentative="1">
      <w:start w:val="1"/>
      <w:numFmt w:val="lowerRoman"/>
      <w:lvlText w:val="%3."/>
      <w:lvlJc w:val="right"/>
      <w:pPr>
        <w:ind w:left="4500" w:hanging="180"/>
      </w:pPr>
    </w:lvl>
    <w:lvl w:ilvl="3" w:tplc="0410000F" w:tentative="1">
      <w:start w:val="1"/>
      <w:numFmt w:val="decimal"/>
      <w:lvlText w:val="%4."/>
      <w:lvlJc w:val="left"/>
      <w:pPr>
        <w:ind w:left="5220" w:hanging="360"/>
      </w:pPr>
    </w:lvl>
    <w:lvl w:ilvl="4" w:tplc="04100019" w:tentative="1">
      <w:start w:val="1"/>
      <w:numFmt w:val="lowerLetter"/>
      <w:lvlText w:val="%5."/>
      <w:lvlJc w:val="left"/>
      <w:pPr>
        <w:ind w:left="5940" w:hanging="360"/>
      </w:pPr>
    </w:lvl>
    <w:lvl w:ilvl="5" w:tplc="0410001B" w:tentative="1">
      <w:start w:val="1"/>
      <w:numFmt w:val="lowerRoman"/>
      <w:lvlText w:val="%6."/>
      <w:lvlJc w:val="right"/>
      <w:pPr>
        <w:ind w:left="6660" w:hanging="180"/>
      </w:pPr>
    </w:lvl>
    <w:lvl w:ilvl="6" w:tplc="0410000F" w:tentative="1">
      <w:start w:val="1"/>
      <w:numFmt w:val="decimal"/>
      <w:lvlText w:val="%7."/>
      <w:lvlJc w:val="left"/>
      <w:pPr>
        <w:ind w:left="7380" w:hanging="360"/>
      </w:pPr>
    </w:lvl>
    <w:lvl w:ilvl="7" w:tplc="04100019" w:tentative="1">
      <w:start w:val="1"/>
      <w:numFmt w:val="lowerLetter"/>
      <w:lvlText w:val="%8."/>
      <w:lvlJc w:val="left"/>
      <w:pPr>
        <w:ind w:left="8100" w:hanging="360"/>
      </w:pPr>
    </w:lvl>
    <w:lvl w:ilvl="8" w:tplc="0410001B" w:tentative="1">
      <w:start w:val="1"/>
      <w:numFmt w:val="lowerRoman"/>
      <w:lvlText w:val="%9."/>
      <w:lvlJc w:val="right"/>
      <w:pPr>
        <w:ind w:left="8820" w:hanging="180"/>
      </w:pPr>
    </w:lvl>
  </w:abstractNum>
  <w:abstractNum w:abstractNumId="19" w15:restartNumberingAfterBreak="0">
    <w:nsid w:val="41202BBC"/>
    <w:multiLevelType w:val="hybridMultilevel"/>
    <w:tmpl w:val="000885DA"/>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0" w15:restartNumberingAfterBreak="0">
    <w:nsid w:val="476236C4"/>
    <w:multiLevelType w:val="hybridMultilevel"/>
    <w:tmpl w:val="87207848"/>
    <w:lvl w:ilvl="0" w:tplc="B8A4DC00">
      <w:start w:val="3"/>
      <w:numFmt w:val="decimal"/>
      <w:lvlText w:val="%1."/>
      <w:lvlJc w:val="left"/>
      <w:pPr>
        <w:ind w:left="720" w:hanging="360"/>
      </w:pPr>
      <w:rPr>
        <w:rFonts w:hint="default"/>
      </w:rPr>
    </w:lvl>
    <w:lvl w:ilvl="1" w:tplc="04100019" w:tentative="1">
      <w:start w:val="1"/>
      <w:numFmt w:val="lowerLetter"/>
      <w:lvlText w:val="%2."/>
      <w:lvlJc w:val="left"/>
      <w:pPr>
        <w:ind w:left="720" w:hanging="360"/>
      </w:pPr>
    </w:lvl>
    <w:lvl w:ilvl="2" w:tplc="0410001B" w:tentative="1">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21" w15:restartNumberingAfterBreak="0">
    <w:nsid w:val="4F802DC9"/>
    <w:multiLevelType w:val="hybridMultilevel"/>
    <w:tmpl w:val="FB5450F4"/>
    <w:lvl w:ilvl="0" w:tplc="04100019">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05E66AA"/>
    <w:multiLevelType w:val="hybridMultilevel"/>
    <w:tmpl w:val="7A9C14D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0D06F8A"/>
    <w:multiLevelType w:val="hybridMultilevel"/>
    <w:tmpl w:val="C77683A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248692B"/>
    <w:multiLevelType w:val="hybridMultilevel"/>
    <w:tmpl w:val="2B886A54"/>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5" w15:restartNumberingAfterBreak="0">
    <w:nsid w:val="55DD498B"/>
    <w:multiLevelType w:val="hybridMultilevel"/>
    <w:tmpl w:val="354047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BE82EAE"/>
    <w:multiLevelType w:val="multilevel"/>
    <w:tmpl w:val="F5C40B3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DB958DC"/>
    <w:multiLevelType w:val="multilevel"/>
    <w:tmpl w:val="D73E16CA"/>
    <w:lvl w:ilvl="0">
      <w:start w:val="1"/>
      <w:numFmt w:val="decimal"/>
      <w:lvlText w:val="%1."/>
      <w:lvlJc w:val="left"/>
      <w:pPr>
        <w:ind w:left="786" w:hanging="360"/>
      </w:pPr>
      <w:rPr>
        <w:rFonts w:ascii="Arial" w:hAnsi="Arial" w:cs="Arial" w:hint="default"/>
        <w:color w:val="5B9BD5" w:themeColor="accent5"/>
        <w:u w:val="none"/>
      </w:rPr>
    </w:lvl>
    <w:lvl w:ilvl="1">
      <w:start w:val="1"/>
      <w:numFmt w:val="decimal"/>
      <w:isLgl/>
      <w:lvlText w:val="%1.%2."/>
      <w:lvlJc w:val="left"/>
      <w:pPr>
        <w:ind w:left="1080"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1665A7F"/>
    <w:multiLevelType w:val="multilevel"/>
    <w:tmpl w:val="24402828"/>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624E1BCE"/>
    <w:multiLevelType w:val="multilevel"/>
    <w:tmpl w:val="B1EE746C"/>
    <w:lvl w:ilvl="0">
      <w:start w:val="2"/>
      <w:numFmt w:val="decimal"/>
      <w:lvlText w:val="%1"/>
      <w:lvlJc w:val="left"/>
      <w:pPr>
        <w:ind w:left="360" w:hanging="360"/>
      </w:pPr>
      <w:rPr>
        <w:rFonts w:asciiTheme="majorHAnsi" w:hAnsiTheme="majorHAnsi" w:cstheme="majorBidi" w:hint="default"/>
        <w:color w:val="2F5496" w:themeColor="accent1" w:themeShade="BF"/>
      </w:rPr>
    </w:lvl>
    <w:lvl w:ilvl="1">
      <w:start w:val="1"/>
      <w:numFmt w:val="decimal"/>
      <w:lvlText w:val="%1.%2"/>
      <w:lvlJc w:val="left"/>
      <w:pPr>
        <w:ind w:left="1080" w:hanging="360"/>
      </w:pPr>
      <w:rPr>
        <w:rFonts w:asciiTheme="majorHAnsi" w:hAnsiTheme="majorHAnsi" w:cstheme="majorBidi" w:hint="default"/>
        <w:color w:val="2F5496" w:themeColor="accent1" w:themeShade="BF"/>
      </w:rPr>
    </w:lvl>
    <w:lvl w:ilvl="2">
      <w:start w:val="1"/>
      <w:numFmt w:val="decimal"/>
      <w:lvlText w:val="%1.%2.%3"/>
      <w:lvlJc w:val="left"/>
      <w:pPr>
        <w:ind w:left="2160" w:hanging="720"/>
      </w:pPr>
      <w:rPr>
        <w:rFonts w:asciiTheme="majorHAnsi" w:hAnsiTheme="majorHAnsi" w:cstheme="majorBidi" w:hint="default"/>
        <w:color w:val="2F5496" w:themeColor="accent1" w:themeShade="BF"/>
      </w:rPr>
    </w:lvl>
    <w:lvl w:ilvl="3">
      <w:start w:val="1"/>
      <w:numFmt w:val="decimal"/>
      <w:lvlText w:val="%1.%2.%3.%4"/>
      <w:lvlJc w:val="left"/>
      <w:pPr>
        <w:ind w:left="2880" w:hanging="720"/>
      </w:pPr>
      <w:rPr>
        <w:rFonts w:asciiTheme="majorHAnsi" w:hAnsiTheme="majorHAnsi" w:cstheme="majorBidi" w:hint="default"/>
        <w:color w:val="2F5496" w:themeColor="accent1" w:themeShade="BF"/>
      </w:rPr>
    </w:lvl>
    <w:lvl w:ilvl="4">
      <w:start w:val="1"/>
      <w:numFmt w:val="decimal"/>
      <w:lvlText w:val="%1.%2.%3.%4.%5"/>
      <w:lvlJc w:val="left"/>
      <w:pPr>
        <w:ind w:left="3960" w:hanging="1080"/>
      </w:pPr>
      <w:rPr>
        <w:rFonts w:asciiTheme="majorHAnsi" w:hAnsiTheme="majorHAnsi" w:cstheme="majorBidi" w:hint="default"/>
        <w:color w:val="2F5496" w:themeColor="accent1" w:themeShade="BF"/>
      </w:rPr>
    </w:lvl>
    <w:lvl w:ilvl="5">
      <w:start w:val="1"/>
      <w:numFmt w:val="decimal"/>
      <w:lvlText w:val="%1.%2.%3.%4.%5.%6"/>
      <w:lvlJc w:val="left"/>
      <w:pPr>
        <w:ind w:left="4680" w:hanging="1080"/>
      </w:pPr>
      <w:rPr>
        <w:rFonts w:asciiTheme="majorHAnsi" w:hAnsiTheme="majorHAnsi" w:cstheme="majorBidi" w:hint="default"/>
        <w:color w:val="2F5496" w:themeColor="accent1" w:themeShade="BF"/>
      </w:rPr>
    </w:lvl>
    <w:lvl w:ilvl="6">
      <w:start w:val="1"/>
      <w:numFmt w:val="decimal"/>
      <w:lvlText w:val="%1.%2.%3.%4.%5.%6.%7"/>
      <w:lvlJc w:val="left"/>
      <w:pPr>
        <w:ind w:left="5760" w:hanging="1440"/>
      </w:pPr>
      <w:rPr>
        <w:rFonts w:asciiTheme="majorHAnsi" w:hAnsiTheme="majorHAnsi" w:cstheme="majorBidi" w:hint="default"/>
        <w:color w:val="2F5496" w:themeColor="accent1" w:themeShade="BF"/>
      </w:rPr>
    </w:lvl>
    <w:lvl w:ilvl="7">
      <w:start w:val="1"/>
      <w:numFmt w:val="decimal"/>
      <w:lvlText w:val="%1.%2.%3.%4.%5.%6.%7.%8"/>
      <w:lvlJc w:val="left"/>
      <w:pPr>
        <w:ind w:left="6480" w:hanging="1440"/>
      </w:pPr>
      <w:rPr>
        <w:rFonts w:asciiTheme="majorHAnsi" w:hAnsiTheme="majorHAnsi" w:cstheme="majorBidi" w:hint="default"/>
        <w:color w:val="2F5496" w:themeColor="accent1" w:themeShade="BF"/>
      </w:rPr>
    </w:lvl>
    <w:lvl w:ilvl="8">
      <w:start w:val="1"/>
      <w:numFmt w:val="decimal"/>
      <w:lvlText w:val="%1.%2.%3.%4.%5.%6.%7.%8.%9"/>
      <w:lvlJc w:val="left"/>
      <w:pPr>
        <w:ind w:left="7560" w:hanging="1800"/>
      </w:pPr>
      <w:rPr>
        <w:rFonts w:asciiTheme="majorHAnsi" w:hAnsiTheme="majorHAnsi" w:cstheme="majorBidi" w:hint="default"/>
        <w:color w:val="2F5496" w:themeColor="accent1" w:themeShade="BF"/>
      </w:rPr>
    </w:lvl>
  </w:abstractNum>
  <w:abstractNum w:abstractNumId="30" w15:restartNumberingAfterBreak="0">
    <w:nsid w:val="641D65A3"/>
    <w:multiLevelType w:val="hybridMultilevel"/>
    <w:tmpl w:val="6E3696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65762081"/>
    <w:multiLevelType w:val="multilevel"/>
    <w:tmpl w:val="7D0E29AA"/>
    <w:lvl w:ilvl="0">
      <w:start w:val="3"/>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32" w15:restartNumberingAfterBreak="0">
    <w:nsid w:val="6BE63102"/>
    <w:multiLevelType w:val="hybridMultilevel"/>
    <w:tmpl w:val="8CDC520E"/>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rPr>
        <w:rFont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06111C9"/>
    <w:multiLevelType w:val="hybridMultilevel"/>
    <w:tmpl w:val="7958ACF6"/>
    <w:lvl w:ilvl="0" w:tplc="DFC88DD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73C5222A"/>
    <w:multiLevelType w:val="hybridMultilevel"/>
    <w:tmpl w:val="87C0301A"/>
    <w:lvl w:ilvl="0" w:tplc="0410000F">
      <w:start w:val="1"/>
      <w:numFmt w:val="decimal"/>
      <w:lvlText w:val="%1."/>
      <w:lvlJc w:val="left"/>
      <w:pPr>
        <w:ind w:left="768" w:hanging="360"/>
      </w:pPr>
    </w:lvl>
    <w:lvl w:ilvl="1" w:tplc="04100019" w:tentative="1">
      <w:start w:val="1"/>
      <w:numFmt w:val="lowerLetter"/>
      <w:lvlText w:val="%2."/>
      <w:lvlJc w:val="left"/>
      <w:pPr>
        <w:ind w:left="1488" w:hanging="360"/>
      </w:pPr>
    </w:lvl>
    <w:lvl w:ilvl="2" w:tplc="0410001B" w:tentative="1">
      <w:start w:val="1"/>
      <w:numFmt w:val="lowerRoman"/>
      <w:lvlText w:val="%3."/>
      <w:lvlJc w:val="right"/>
      <w:pPr>
        <w:ind w:left="2208" w:hanging="180"/>
      </w:pPr>
    </w:lvl>
    <w:lvl w:ilvl="3" w:tplc="0410000F" w:tentative="1">
      <w:start w:val="1"/>
      <w:numFmt w:val="decimal"/>
      <w:lvlText w:val="%4."/>
      <w:lvlJc w:val="left"/>
      <w:pPr>
        <w:ind w:left="2928" w:hanging="360"/>
      </w:pPr>
    </w:lvl>
    <w:lvl w:ilvl="4" w:tplc="04100019" w:tentative="1">
      <w:start w:val="1"/>
      <w:numFmt w:val="lowerLetter"/>
      <w:lvlText w:val="%5."/>
      <w:lvlJc w:val="left"/>
      <w:pPr>
        <w:ind w:left="3648" w:hanging="360"/>
      </w:pPr>
    </w:lvl>
    <w:lvl w:ilvl="5" w:tplc="0410001B" w:tentative="1">
      <w:start w:val="1"/>
      <w:numFmt w:val="lowerRoman"/>
      <w:lvlText w:val="%6."/>
      <w:lvlJc w:val="right"/>
      <w:pPr>
        <w:ind w:left="4368" w:hanging="180"/>
      </w:pPr>
    </w:lvl>
    <w:lvl w:ilvl="6" w:tplc="0410000F" w:tentative="1">
      <w:start w:val="1"/>
      <w:numFmt w:val="decimal"/>
      <w:lvlText w:val="%7."/>
      <w:lvlJc w:val="left"/>
      <w:pPr>
        <w:ind w:left="5088" w:hanging="360"/>
      </w:pPr>
    </w:lvl>
    <w:lvl w:ilvl="7" w:tplc="04100019" w:tentative="1">
      <w:start w:val="1"/>
      <w:numFmt w:val="lowerLetter"/>
      <w:lvlText w:val="%8."/>
      <w:lvlJc w:val="left"/>
      <w:pPr>
        <w:ind w:left="5808" w:hanging="360"/>
      </w:pPr>
    </w:lvl>
    <w:lvl w:ilvl="8" w:tplc="0410001B" w:tentative="1">
      <w:start w:val="1"/>
      <w:numFmt w:val="lowerRoman"/>
      <w:lvlText w:val="%9."/>
      <w:lvlJc w:val="right"/>
      <w:pPr>
        <w:ind w:left="6528" w:hanging="180"/>
      </w:pPr>
    </w:lvl>
  </w:abstractNum>
  <w:abstractNum w:abstractNumId="35" w15:restartNumberingAfterBreak="0">
    <w:nsid w:val="74262F31"/>
    <w:multiLevelType w:val="hybridMultilevel"/>
    <w:tmpl w:val="456C9398"/>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749E2AC6"/>
    <w:multiLevelType w:val="hybridMultilevel"/>
    <w:tmpl w:val="3828CFA0"/>
    <w:lvl w:ilvl="0" w:tplc="C068EA60">
      <w:start w:val="1"/>
      <w:numFmt w:val="bullet"/>
      <w:lvlText w:val="•"/>
      <w:lvlJc w:val="left"/>
      <w:pPr>
        <w:tabs>
          <w:tab w:val="num" w:pos="720"/>
        </w:tabs>
        <w:ind w:left="720" w:hanging="360"/>
      </w:pPr>
      <w:rPr>
        <w:rFonts w:ascii="Arial" w:hAnsi="Arial" w:hint="default"/>
      </w:rPr>
    </w:lvl>
    <w:lvl w:ilvl="1" w:tplc="2460D212" w:tentative="1">
      <w:start w:val="1"/>
      <w:numFmt w:val="bullet"/>
      <w:lvlText w:val="•"/>
      <w:lvlJc w:val="left"/>
      <w:pPr>
        <w:tabs>
          <w:tab w:val="num" w:pos="1440"/>
        </w:tabs>
        <w:ind w:left="1440" w:hanging="360"/>
      </w:pPr>
      <w:rPr>
        <w:rFonts w:ascii="Arial" w:hAnsi="Arial" w:hint="default"/>
      </w:rPr>
    </w:lvl>
    <w:lvl w:ilvl="2" w:tplc="B4FA6988" w:tentative="1">
      <w:start w:val="1"/>
      <w:numFmt w:val="bullet"/>
      <w:lvlText w:val="•"/>
      <w:lvlJc w:val="left"/>
      <w:pPr>
        <w:tabs>
          <w:tab w:val="num" w:pos="2160"/>
        </w:tabs>
        <w:ind w:left="2160" w:hanging="360"/>
      </w:pPr>
      <w:rPr>
        <w:rFonts w:ascii="Arial" w:hAnsi="Arial" w:hint="default"/>
      </w:rPr>
    </w:lvl>
    <w:lvl w:ilvl="3" w:tplc="068228EC" w:tentative="1">
      <w:start w:val="1"/>
      <w:numFmt w:val="bullet"/>
      <w:lvlText w:val="•"/>
      <w:lvlJc w:val="left"/>
      <w:pPr>
        <w:tabs>
          <w:tab w:val="num" w:pos="2880"/>
        </w:tabs>
        <w:ind w:left="2880" w:hanging="360"/>
      </w:pPr>
      <w:rPr>
        <w:rFonts w:ascii="Arial" w:hAnsi="Arial" w:hint="default"/>
      </w:rPr>
    </w:lvl>
    <w:lvl w:ilvl="4" w:tplc="2B8AA0AA" w:tentative="1">
      <w:start w:val="1"/>
      <w:numFmt w:val="bullet"/>
      <w:lvlText w:val="•"/>
      <w:lvlJc w:val="left"/>
      <w:pPr>
        <w:tabs>
          <w:tab w:val="num" w:pos="3600"/>
        </w:tabs>
        <w:ind w:left="3600" w:hanging="360"/>
      </w:pPr>
      <w:rPr>
        <w:rFonts w:ascii="Arial" w:hAnsi="Arial" w:hint="default"/>
      </w:rPr>
    </w:lvl>
    <w:lvl w:ilvl="5" w:tplc="3C6A1BF6" w:tentative="1">
      <w:start w:val="1"/>
      <w:numFmt w:val="bullet"/>
      <w:lvlText w:val="•"/>
      <w:lvlJc w:val="left"/>
      <w:pPr>
        <w:tabs>
          <w:tab w:val="num" w:pos="4320"/>
        </w:tabs>
        <w:ind w:left="4320" w:hanging="360"/>
      </w:pPr>
      <w:rPr>
        <w:rFonts w:ascii="Arial" w:hAnsi="Arial" w:hint="default"/>
      </w:rPr>
    </w:lvl>
    <w:lvl w:ilvl="6" w:tplc="EEF27896" w:tentative="1">
      <w:start w:val="1"/>
      <w:numFmt w:val="bullet"/>
      <w:lvlText w:val="•"/>
      <w:lvlJc w:val="left"/>
      <w:pPr>
        <w:tabs>
          <w:tab w:val="num" w:pos="5040"/>
        </w:tabs>
        <w:ind w:left="5040" w:hanging="360"/>
      </w:pPr>
      <w:rPr>
        <w:rFonts w:ascii="Arial" w:hAnsi="Arial" w:hint="default"/>
      </w:rPr>
    </w:lvl>
    <w:lvl w:ilvl="7" w:tplc="B2282A82" w:tentative="1">
      <w:start w:val="1"/>
      <w:numFmt w:val="bullet"/>
      <w:lvlText w:val="•"/>
      <w:lvlJc w:val="left"/>
      <w:pPr>
        <w:tabs>
          <w:tab w:val="num" w:pos="5760"/>
        </w:tabs>
        <w:ind w:left="5760" w:hanging="360"/>
      </w:pPr>
      <w:rPr>
        <w:rFonts w:ascii="Arial" w:hAnsi="Arial" w:hint="default"/>
      </w:rPr>
    </w:lvl>
    <w:lvl w:ilvl="8" w:tplc="07106E0E"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77B23926"/>
    <w:multiLevelType w:val="hybridMultilevel"/>
    <w:tmpl w:val="355087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7B9B40E8"/>
    <w:multiLevelType w:val="hybridMultilevel"/>
    <w:tmpl w:val="7B526DE4"/>
    <w:lvl w:ilvl="0" w:tplc="906E5832">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7BC44EE8"/>
    <w:multiLevelType w:val="hybridMultilevel"/>
    <w:tmpl w:val="108E8484"/>
    <w:lvl w:ilvl="0" w:tplc="72F0F3BC">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15:restartNumberingAfterBreak="0">
    <w:nsid w:val="7C3E22BB"/>
    <w:multiLevelType w:val="hybridMultilevel"/>
    <w:tmpl w:val="55E6B7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CF04F8E"/>
    <w:multiLevelType w:val="hybridMultilevel"/>
    <w:tmpl w:val="71623D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3"/>
  </w:num>
  <w:num w:numId="2">
    <w:abstractNumId w:val="35"/>
  </w:num>
  <w:num w:numId="3">
    <w:abstractNumId w:val="10"/>
  </w:num>
  <w:num w:numId="4">
    <w:abstractNumId w:val="34"/>
  </w:num>
  <w:num w:numId="5">
    <w:abstractNumId w:val="7"/>
  </w:num>
  <w:num w:numId="6">
    <w:abstractNumId w:val="11"/>
  </w:num>
  <w:num w:numId="7">
    <w:abstractNumId w:val="16"/>
  </w:num>
  <w:num w:numId="8">
    <w:abstractNumId w:val="22"/>
  </w:num>
  <w:num w:numId="9">
    <w:abstractNumId w:val="4"/>
  </w:num>
  <w:num w:numId="10">
    <w:abstractNumId w:val="37"/>
  </w:num>
  <w:num w:numId="11">
    <w:abstractNumId w:val="12"/>
  </w:num>
  <w:num w:numId="12">
    <w:abstractNumId w:val="30"/>
  </w:num>
  <w:num w:numId="13">
    <w:abstractNumId w:val="15"/>
  </w:num>
  <w:num w:numId="14">
    <w:abstractNumId w:val="29"/>
  </w:num>
  <w:num w:numId="15">
    <w:abstractNumId w:val="26"/>
  </w:num>
  <w:num w:numId="16">
    <w:abstractNumId w:val="27"/>
  </w:num>
  <w:num w:numId="17">
    <w:abstractNumId w:val="41"/>
  </w:num>
  <w:num w:numId="18">
    <w:abstractNumId w:val="40"/>
  </w:num>
  <w:num w:numId="19">
    <w:abstractNumId w:val="5"/>
  </w:num>
  <w:num w:numId="20">
    <w:abstractNumId w:val="14"/>
  </w:num>
  <w:num w:numId="21">
    <w:abstractNumId w:val="19"/>
  </w:num>
  <w:num w:numId="22">
    <w:abstractNumId w:val="21"/>
  </w:num>
  <w:num w:numId="23">
    <w:abstractNumId w:val="38"/>
  </w:num>
  <w:num w:numId="24">
    <w:abstractNumId w:val="20"/>
  </w:num>
  <w:num w:numId="25">
    <w:abstractNumId w:val="32"/>
  </w:num>
  <w:num w:numId="26">
    <w:abstractNumId w:val="2"/>
  </w:num>
  <w:num w:numId="27">
    <w:abstractNumId w:val="17"/>
  </w:num>
  <w:num w:numId="28">
    <w:abstractNumId w:val="25"/>
  </w:num>
  <w:num w:numId="29">
    <w:abstractNumId w:val="6"/>
  </w:num>
  <w:num w:numId="30">
    <w:abstractNumId w:val="31"/>
  </w:num>
  <w:num w:numId="31">
    <w:abstractNumId w:val="24"/>
  </w:num>
  <w:num w:numId="32">
    <w:abstractNumId w:val="0"/>
  </w:num>
  <w:num w:numId="33">
    <w:abstractNumId w:val="28"/>
  </w:num>
  <w:num w:numId="34">
    <w:abstractNumId w:val="18"/>
  </w:num>
  <w:num w:numId="35">
    <w:abstractNumId w:val="3"/>
  </w:num>
  <w:num w:numId="36">
    <w:abstractNumId w:val="13"/>
  </w:num>
  <w:num w:numId="37">
    <w:abstractNumId w:val="9"/>
  </w:num>
  <w:num w:numId="38">
    <w:abstractNumId w:val="36"/>
  </w:num>
  <w:num w:numId="39">
    <w:abstractNumId w:val="8"/>
  </w:num>
  <w:num w:numId="40">
    <w:abstractNumId w:val="1"/>
  </w:num>
  <w:num w:numId="41">
    <w:abstractNumId w:val="23"/>
  </w:num>
  <w:num w:numId="42">
    <w:abstractNumId w:val="3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it-IT" w:vendorID="64" w:dllVersion="0" w:nlCheck="1" w:checkStyle="0"/>
  <w:activeWritingStyle w:appName="MSWord" w:lang="en-US" w:vendorID="64" w:dllVersion="0" w:nlCheck="1" w:checkStyle="0"/>
  <w:defaultTabStop w:val="708"/>
  <w:hyphenationZone w:val="283"/>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F74"/>
    <w:rsid w:val="0000072A"/>
    <w:rsid w:val="0000172A"/>
    <w:rsid w:val="000018A2"/>
    <w:rsid w:val="00001A44"/>
    <w:rsid w:val="00001AE1"/>
    <w:rsid w:val="000025BF"/>
    <w:rsid w:val="0000290C"/>
    <w:rsid w:val="00002CA5"/>
    <w:rsid w:val="00003635"/>
    <w:rsid w:val="00003B65"/>
    <w:rsid w:val="00003CBD"/>
    <w:rsid w:val="0000469E"/>
    <w:rsid w:val="000047AE"/>
    <w:rsid w:val="00004A94"/>
    <w:rsid w:val="00004F5E"/>
    <w:rsid w:val="00005211"/>
    <w:rsid w:val="000055A1"/>
    <w:rsid w:val="00005956"/>
    <w:rsid w:val="00005E7C"/>
    <w:rsid w:val="00005EF9"/>
    <w:rsid w:val="000070F5"/>
    <w:rsid w:val="00007462"/>
    <w:rsid w:val="000077A8"/>
    <w:rsid w:val="00007E5F"/>
    <w:rsid w:val="000103AA"/>
    <w:rsid w:val="0001070D"/>
    <w:rsid w:val="00011090"/>
    <w:rsid w:val="000115AD"/>
    <w:rsid w:val="00011A6E"/>
    <w:rsid w:val="00011BBC"/>
    <w:rsid w:val="00011F8D"/>
    <w:rsid w:val="00011FC7"/>
    <w:rsid w:val="00012CEA"/>
    <w:rsid w:val="00012DB8"/>
    <w:rsid w:val="00013476"/>
    <w:rsid w:val="0001417D"/>
    <w:rsid w:val="0001427A"/>
    <w:rsid w:val="0001494D"/>
    <w:rsid w:val="00014D17"/>
    <w:rsid w:val="00014ED5"/>
    <w:rsid w:val="00015A52"/>
    <w:rsid w:val="00015DF2"/>
    <w:rsid w:val="00015E78"/>
    <w:rsid w:val="0001779B"/>
    <w:rsid w:val="00017916"/>
    <w:rsid w:val="00017D5A"/>
    <w:rsid w:val="00017E51"/>
    <w:rsid w:val="0002075A"/>
    <w:rsid w:val="000209F3"/>
    <w:rsid w:val="00020BA5"/>
    <w:rsid w:val="00021BC6"/>
    <w:rsid w:val="00021E2F"/>
    <w:rsid w:val="00021F93"/>
    <w:rsid w:val="00023175"/>
    <w:rsid w:val="0002345E"/>
    <w:rsid w:val="00023B9F"/>
    <w:rsid w:val="00024373"/>
    <w:rsid w:val="00024A09"/>
    <w:rsid w:val="00026C52"/>
    <w:rsid w:val="00026D10"/>
    <w:rsid w:val="00027776"/>
    <w:rsid w:val="00027800"/>
    <w:rsid w:val="00027C68"/>
    <w:rsid w:val="00030E85"/>
    <w:rsid w:val="000314A9"/>
    <w:rsid w:val="00031744"/>
    <w:rsid w:val="00031B8D"/>
    <w:rsid w:val="00031BCC"/>
    <w:rsid w:val="0003210A"/>
    <w:rsid w:val="000328D5"/>
    <w:rsid w:val="00032E25"/>
    <w:rsid w:val="00033D14"/>
    <w:rsid w:val="000351B3"/>
    <w:rsid w:val="000354C1"/>
    <w:rsid w:val="000355B3"/>
    <w:rsid w:val="00035B23"/>
    <w:rsid w:val="00036474"/>
    <w:rsid w:val="00036482"/>
    <w:rsid w:val="00036A9A"/>
    <w:rsid w:val="000371AD"/>
    <w:rsid w:val="00037725"/>
    <w:rsid w:val="00037A25"/>
    <w:rsid w:val="00040AB1"/>
    <w:rsid w:val="00040B0E"/>
    <w:rsid w:val="00040E2A"/>
    <w:rsid w:val="00041797"/>
    <w:rsid w:val="00042F74"/>
    <w:rsid w:val="00043B2B"/>
    <w:rsid w:val="00044216"/>
    <w:rsid w:val="00044AB8"/>
    <w:rsid w:val="00044FD2"/>
    <w:rsid w:val="000466CE"/>
    <w:rsid w:val="00046F0D"/>
    <w:rsid w:val="0004758A"/>
    <w:rsid w:val="000476AB"/>
    <w:rsid w:val="0004776B"/>
    <w:rsid w:val="00047C1F"/>
    <w:rsid w:val="000513A2"/>
    <w:rsid w:val="000519FB"/>
    <w:rsid w:val="00051DED"/>
    <w:rsid w:val="000528BE"/>
    <w:rsid w:val="000538E6"/>
    <w:rsid w:val="00054A67"/>
    <w:rsid w:val="00055647"/>
    <w:rsid w:val="000560F6"/>
    <w:rsid w:val="000572A1"/>
    <w:rsid w:val="00057652"/>
    <w:rsid w:val="00057B15"/>
    <w:rsid w:val="00057C1A"/>
    <w:rsid w:val="00061AA6"/>
    <w:rsid w:val="00061F40"/>
    <w:rsid w:val="00062609"/>
    <w:rsid w:val="00062CA5"/>
    <w:rsid w:val="00062DEC"/>
    <w:rsid w:val="00063998"/>
    <w:rsid w:val="00063EEC"/>
    <w:rsid w:val="00063F8A"/>
    <w:rsid w:val="0006562F"/>
    <w:rsid w:val="0006583D"/>
    <w:rsid w:val="00065949"/>
    <w:rsid w:val="00065DE6"/>
    <w:rsid w:val="0006683C"/>
    <w:rsid w:val="00067231"/>
    <w:rsid w:val="0006738C"/>
    <w:rsid w:val="000677C8"/>
    <w:rsid w:val="00067AA7"/>
    <w:rsid w:val="00070425"/>
    <w:rsid w:val="0007069B"/>
    <w:rsid w:val="00070F59"/>
    <w:rsid w:val="000712CE"/>
    <w:rsid w:val="00071638"/>
    <w:rsid w:val="0007195B"/>
    <w:rsid w:val="000719C0"/>
    <w:rsid w:val="00071E1D"/>
    <w:rsid w:val="000728C6"/>
    <w:rsid w:val="000728EC"/>
    <w:rsid w:val="0007314D"/>
    <w:rsid w:val="00073F51"/>
    <w:rsid w:val="00074A7B"/>
    <w:rsid w:val="000755CF"/>
    <w:rsid w:val="00075921"/>
    <w:rsid w:val="00075A17"/>
    <w:rsid w:val="00075CE4"/>
    <w:rsid w:val="00076348"/>
    <w:rsid w:val="00077143"/>
    <w:rsid w:val="0007774C"/>
    <w:rsid w:val="00077B51"/>
    <w:rsid w:val="00077F74"/>
    <w:rsid w:val="00080A82"/>
    <w:rsid w:val="00080F32"/>
    <w:rsid w:val="00081440"/>
    <w:rsid w:val="000815B8"/>
    <w:rsid w:val="0008178C"/>
    <w:rsid w:val="0008278F"/>
    <w:rsid w:val="00082FCA"/>
    <w:rsid w:val="00084A61"/>
    <w:rsid w:val="00086B68"/>
    <w:rsid w:val="000872EF"/>
    <w:rsid w:val="00087D0F"/>
    <w:rsid w:val="0009020F"/>
    <w:rsid w:val="00090676"/>
    <w:rsid w:val="00090EBC"/>
    <w:rsid w:val="0009128D"/>
    <w:rsid w:val="00092784"/>
    <w:rsid w:val="00092BE3"/>
    <w:rsid w:val="00092D8E"/>
    <w:rsid w:val="00092F65"/>
    <w:rsid w:val="00093405"/>
    <w:rsid w:val="0009341C"/>
    <w:rsid w:val="00093472"/>
    <w:rsid w:val="00093520"/>
    <w:rsid w:val="00093F47"/>
    <w:rsid w:val="0009407D"/>
    <w:rsid w:val="000944E9"/>
    <w:rsid w:val="0009573B"/>
    <w:rsid w:val="00095977"/>
    <w:rsid w:val="00095C78"/>
    <w:rsid w:val="000960A2"/>
    <w:rsid w:val="00096485"/>
    <w:rsid w:val="0009657D"/>
    <w:rsid w:val="00096918"/>
    <w:rsid w:val="00096BC3"/>
    <w:rsid w:val="00096DC6"/>
    <w:rsid w:val="0009703C"/>
    <w:rsid w:val="000974C7"/>
    <w:rsid w:val="00097825"/>
    <w:rsid w:val="00097AE3"/>
    <w:rsid w:val="00097E09"/>
    <w:rsid w:val="00097FAD"/>
    <w:rsid w:val="000A0208"/>
    <w:rsid w:val="000A03B8"/>
    <w:rsid w:val="000A0439"/>
    <w:rsid w:val="000A0994"/>
    <w:rsid w:val="000A0B42"/>
    <w:rsid w:val="000A0D6C"/>
    <w:rsid w:val="000A1448"/>
    <w:rsid w:val="000A23FB"/>
    <w:rsid w:val="000A24FD"/>
    <w:rsid w:val="000A25B1"/>
    <w:rsid w:val="000A276B"/>
    <w:rsid w:val="000A2DE2"/>
    <w:rsid w:val="000A2EBE"/>
    <w:rsid w:val="000A3258"/>
    <w:rsid w:val="000A3E8B"/>
    <w:rsid w:val="000A4173"/>
    <w:rsid w:val="000A6340"/>
    <w:rsid w:val="000A65DE"/>
    <w:rsid w:val="000A69D0"/>
    <w:rsid w:val="000A6CF7"/>
    <w:rsid w:val="000A6E91"/>
    <w:rsid w:val="000A71E7"/>
    <w:rsid w:val="000A7389"/>
    <w:rsid w:val="000B0434"/>
    <w:rsid w:val="000B15C9"/>
    <w:rsid w:val="000B1693"/>
    <w:rsid w:val="000B2643"/>
    <w:rsid w:val="000B2AF4"/>
    <w:rsid w:val="000B2D6F"/>
    <w:rsid w:val="000B2DAD"/>
    <w:rsid w:val="000B3273"/>
    <w:rsid w:val="000B35E9"/>
    <w:rsid w:val="000B4258"/>
    <w:rsid w:val="000B483D"/>
    <w:rsid w:val="000B4FD9"/>
    <w:rsid w:val="000B5B92"/>
    <w:rsid w:val="000B5C30"/>
    <w:rsid w:val="000B5D45"/>
    <w:rsid w:val="000B6475"/>
    <w:rsid w:val="000B693D"/>
    <w:rsid w:val="000B6B3D"/>
    <w:rsid w:val="000B77C8"/>
    <w:rsid w:val="000B7865"/>
    <w:rsid w:val="000B79D9"/>
    <w:rsid w:val="000C0FB3"/>
    <w:rsid w:val="000C1877"/>
    <w:rsid w:val="000C2662"/>
    <w:rsid w:val="000C2664"/>
    <w:rsid w:val="000C2694"/>
    <w:rsid w:val="000C2B2F"/>
    <w:rsid w:val="000C2C42"/>
    <w:rsid w:val="000C3485"/>
    <w:rsid w:val="000C3D4E"/>
    <w:rsid w:val="000C3D75"/>
    <w:rsid w:val="000C4428"/>
    <w:rsid w:val="000C5198"/>
    <w:rsid w:val="000C5987"/>
    <w:rsid w:val="000C5DB5"/>
    <w:rsid w:val="000C690E"/>
    <w:rsid w:val="000C6A31"/>
    <w:rsid w:val="000C6B2D"/>
    <w:rsid w:val="000C6B48"/>
    <w:rsid w:val="000C6C76"/>
    <w:rsid w:val="000C70B4"/>
    <w:rsid w:val="000C73B3"/>
    <w:rsid w:val="000C7923"/>
    <w:rsid w:val="000C7F41"/>
    <w:rsid w:val="000D02CC"/>
    <w:rsid w:val="000D0AEA"/>
    <w:rsid w:val="000D1A6D"/>
    <w:rsid w:val="000D1D78"/>
    <w:rsid w:val="000D1D84"/>
    <w:rsid w:val="000D1FED"/>
    <w:rsid w:val="000D231F"/>
    <w:rsid w:val="000D352B"/>
    <w:rsid w:val="000D35F1"/>
    <w:rsid w:val="000D3707"/>
    <w:rsid w:val="000D3CEB"/>
    <w:rsid w:val="000D43FA"/>
    <w:rsid w:val="000D47FA"/>
    <w:rsid w:val="000D4DFA"/>
    <w:rsid w:val="000D54BD"/>
    <w:rsid w:val="000D5CDD"/>
    <w:rsid w:val="000D5D4A"/>
    <w:rsid w:val="000D61D3"/>
    <w:rsid w:val="000D746D"/>
    <w:rsid w:val="000D7743"/>
    <w:rsid w:val="000D7772"/>
    <w:rsid w:val="000D7784"/>
    <w:rsid w:val="000D784B"/>
    <w:rsid w:val="000D7B53"/>
    <w:rsid w:val="000E0165"/>
    <w:rsid w:val="000E04B6"/>
    <w:rsid w:val="000E077A"/>
    <w:rsid w:val="000E0979"/>
    <w:rsid w:val="000E0FE8"/>
    <w:rsid w:val="000E105B"/>
    <w:rsid w:val="000E1858"/>
    <w:rsid w:val="000E1875"/>
    <w:rsid w:val="000E1C61"/>
    <w:rsid w:val="000E1F0F"/>
    <w:rsid w:val="000E23B5"/>
    <w:rsid w:val="000E3895"/>
    <w:rsid w:val="000E44B5"/>
    <w:rsid w:val="000E4B14"/>
    <w:rsid w:val="000E4DBF"/>
    <w:rsid w:val="000E5B95"/>
    <w:rsid w:val="000E5DBC"/>
    <w:rsid w:val="000E6638"/>
    <w:rsid w:val="000E7458"/>
    <w:rsid w:val="000F0479"/>
    <w:rsid w:val="000F048D"/>
    <w:rsid w:val="000F10F9"/>
    <w:rsid w:val="000F1507"/>
    <w:rsid w:val="000F15FB"/>
    <w:rsid w:val="000F2179"/>
    <w:rsid w:val="000F2317"/>
    <w:rsid w:val="000F2432"/>
    <w:rsid w:val="000F28BD"/>
    <w:rsid w:val="000F327E"/>
    <w:rsid w:val="000F32F3"/>
    <w:rsid w:val="000F3471"/>
    <w:rsid w:val="000F451F"/>
    <w:rsid w:val="000F452A"/>
    <w:rsid w:val="000F4C9B"/>
    <w:rsid w:val="000F612A"/>
    <w:rsid w:val="000F685F"/>
    <w:rsid w:val="00101196"/>
    <w:rsid w:val="001018BA"/>
    <w:rsid w:val="00102C63"/>
    <w:rsid w:val="0010408A"/>
    <w:rsid w:val="00104335"/>
    <w:rsid w:val="00105228"/>
    <w:rsid w:val="001053E6"/>
    <w:rsid w:val="001054B6"/>
    <w:rsid w:val="001057B5"/>
    <w:rsid w:val="0010595F"/>
    <w:rsid w:val="001059D4"/>
    <w:rsid w:val="00105A44"/>
    <w:rsid w:val="001060F7"/>
    <w:rsid w:val="001063E3"/>
    <w:rsid w:val="001067B3"/>
    <w:rsid w:val="00106C29"/>
    <w:rsid w:val="00106D22"/>
    <w:rsid w:val="00106E8B"/>
    <w:rsid w:val="0010779C"/>
    <w:rsid w:val="00107875"/>
    <w:rsid w:val="00110012"/>
    <w:rsid w:val="001100F8"/>
    <w:rsid w:val="00112077"/>
    <w:rsid w:val="001120E1"/>
    <w:rsid w:val="00112B5E"/>
    <w:rsid w:val="00112C2B"/>
    <w:rsid w:val="001133E6"/>
    <w:rsid w:val="00113563"/>
    <w:rsid w:val="0011416B"/>
    <w:rsid w:val="00114A39"/>
    <w:rsid w:val="00114D32"/>
    <w:rsid w:val="001155CB"/>
    <w:rsid w:val="00115E2E"/>
    <w:rsid w:val="00116963"/>
    <w:rsid w:val="00116E54"/>
    <w:rsid w:val="001203A2"/>
    <w:rsid w:val="00120411"/>
    <w:rsid w:val="001212B5"/>
    <w:rsid w:val="0012164D"/>
    <w:rsid w:val="00121803"/>
    <w:rsid w:val="00121C9D"/>
    <w:rsid w:val="001227AE"/>
    <w:rsid w:val="00122A89"/>
    <w:rsid w:val="00124ACB"/>
    <w:rsid w:val="00124FC3"/>
    <w:rsid w:val="00125B38"/>
    <w:rsid w:val="00125FD7"/>
    <w:rsid w:val="0012627D"/>
    <w:rsid w:val="00126282"/>
    <w:rsid w:val="00127082"/>
    <w:rsid w:val="00127153"/>
    <w:rsid w:val="00127615"/>
    <w:rsid w:val="001312C8"/>
    <w:rsid w:val="001314A7"/>
    <w:rsid w:val="001326A6"/>
    <w:rsid w:val="00132E45"/>
    <w:rsid w:val="00132EF8"/>
    <w:rsid w:val="00132FEA"/>
    <w:rsid w:val="0013436F"/>
    <w:rsid w:val="00134618"/>
    <w:rsid w:val="00134AD7"/>
    <w:rsid w:val="0013549B"/>
    <w:rsid w:val="00135626"/>
    <w:rsid w:val="00137E68"/>
    <w:rsid w:val="00137EF1"/>
    <w:rsid w:val="00141841"/>
    <w:rsid w:val="0014196D"/>
    <w:rsid w:val="001428FE"/>
    <w:rsid w:val="001431F5"/>
    <w:rsid w:val="001433F5"/>
    <w:rsid w:val="00143738"/>
    <w:rsid w:val="001438F6"/>
    <w:rsid w:val="00143FA9"/>
    <w:rsid w:val="00144114"/>
    <w:rsid w:val="0014495C"/>
    <w:rsid w:val="001455D1"/>
    <w:rsid w:val="00145A26"/>
    <w:rsid w:val="00145BEB"/>
    <w:rsid w:val="001463E1"/>
    <w:rsid w:val="0014685D"/>
    <w:rsid w:val="001468C0"/>
    <w:rsid w:val="001469FB"/>
    <w:rsid w:val="001471B4"/>
    <w:rsid w:val="001473A9"/>
    <w:rsid w:val="0015037B"/>
    <w:rsid w:val="00150658"/>
    <w:rsid w:val="00150D7F"/>
    <w:rsid w:val="001511D4"/>
    <w:rsid w:val="00151B7D"/>
    <w:rsid w:val="001521D2"/>
    <w:rsid w:val="00152401"/>
    <w:rsid w:val="00152EDB"/>
    <w:rsid w:val="001533FF"/>
    <w:rsid w:val="001538AE"/>
    <w:rsid w:val="00154904"/>
    <w:rsid w:val="00154AF9"/>
    <w:rsid w:val="001554F9"/>
    <w:rsid w:val="00156030"/>
    <w:rsid w:val="0015694E"/>
    <w:rsid w:val="00157379"/>
    <w:rsid w:val="00162BE6"/>
    <w:rsid w:val="00162D90"/>
    <w:rsid w:val="00162EC3"/>
    <w:rsid w:val="00162FD1"/>
    <w:rsid w:val="00163215"/>
    <w:rsid w:val="00164A71"/>
    <w:rsid w:val="001660B6"/>
    <w:rsid w:val="00166D04"/>
    <w:rsid w:val="00167612"/>
    <w:rsid w:val="00167987"/>
    <w:rsid w:val="001701E5"/>
    <w:rsid w:val="001715DE"/>
    <w:rsid w:val="00171709"/>
    <w:rsid w:val="00171758"/>
    <w:rsid w:val="001718DF"/>
    <w:rsid w:val="00171DEC"/>
    <w:rsid w:val="0017290B"/>
    <w:rsid w:val="001733FF"/>
    <w:rsid w:val="00174018"/>
    <w:rsid w:val="00174B58"/>
    <w:rsid w:val="00174CFF"/>
    <w:rsid w:val="00174D1C"/>
    <w:rsid w:val="001759F9"/>
    <w:rsid w:val="00175E7A"/>
    <w:rsid w:val="00176D1A"/>
    <w:rsid w:val="00176E0A"/>
    <w:rsid w:val="001774B8"/>
    <w:rsid w:val="001776A5"/>
    <w:rsid w:val="0017797B"/>
    <w:rsid w:val="00180DDC"/>
    <w:rsid w:val="001816A6"/>
    <w:rsid w:val="001818E1"/>
    <w:rsid w:val="00181CEB"/>
    <w:rsid w:val="00182764"/>
    <w:rsid w:val="00182951"/>
    <w:rsid w:val="00182BA8"/>
    <w:rsid w:val="00182C70"/>
    <w:rsid w:val="00182D5F"/>
    <w:rsid w:val="00182ED3"/>
    <w:rsid w:val="0018324E"/>
    <w:rsid w:val="001847CC"/>
    <w:rsid w:val="0018480A"/>
    <w:rsid w:val="001862B3"/>
    <w:rsid w:val="00186386"/>
    <w:rsid w:val="0019062B"/>
    <w:rsid w:val="001906D8"/>
    <w:rsid w:val="00190B39"/>
    <w:rsid w:val="00190DC9"/>
    <w:rsid w:val="00191284"/>
    <w:rsid w:val="001916C4"/>
    <w:rsid w:val="00192168"/>
    <w:rsid w:val="0019257F"/>
    <w:rsid w:val="001927E3"/>
    <w:rsid w:val="00192F27"/>
    <w:rsid w:val="00193D14"/>
    <w:rsid w:val="001946BB"/>
    <w:rsid w:val="0019524D"/>
    <w:rsid w:val="001960FB"/>
    <w:rsid w:val="0019630C"/>
    <w:rsid w:val="001A02F5"/>
    <w:rsid w:val="001A0668"/>
    <w:rsid w:val="001A0869"/>
    <w:rsid w:val="001A0AC2"/>
    <w:rsid w:val="001A18AB"/>
    <w:rsid w:val="001A217B"/>
    <w:rsid w:val="001A2C64"/>
    <w:rsid w:val="001A2DA8"/>
    <w:rsid w:val="001A314B"/>
    <w:rsid w:val="001A399A"/>
    <w:rsid w:val="001A433F"/>
    <w:rsid w:val="001A4AB4"/>
    <w:rsid w:val="001A4CFA"/>
    <w:rsid w:val="001A4D92"/>
    <w:rsid w:val="001A58E3"/>
    <w:rsid w:val="001A6163"/>
    <w:rsid w:val="001A6A5D"/>
    <w:rsid w:val="001A7161"/>
    <w:rsid w:val="001A753F"/>
    <w:rsid w:val="001B008E"/>
    <w:rsid w:val="001B130A"/>
    <w:rsid w:val="001B134B"/>
    <w:rsid w:val="001B23CC"/>
    <w:rsid w:val="001B2526"/>
    <w:rsid w:val="001B2C98"/>
    <w:rsid w:val="001B3E14"/>
    <w:rsid w:val="001B3E39"/>
    <w:rsid w:val="001B4347"/>
    <w:rsid w:val="001B4A51"/>
    <w:rsid w:val="001B4B2A"/>
    <w:rsid w:val="001B5EAD"/>
    <w:rsid w:val="001B6333"/>
    <w:rsid w:val="001B68EB"/>
    <w:rsid w:val="001B7777"/>
    <w:rsid w:val="001B7BC5"/>
    <w:rsid w:val="001B7D82"/>
    <w:rsid w:val="001C023C"/>
    <w:rsid w:val="001C107A"/>
    <w:rsid w:val="001C1299"/>
    <w:rsid w:val="001C13F1"/>
    <w:rsid w:val="001C1DDC"/>
    <w:rsid w:val="001C21B2"/>
    <w:rsid w:val="001C2219"/>
    <w:rsid w:val="001C2F81"/>
    <w:rsid w:val="001C2FB6"/>
    <w:rsid w:val="001C36F2"/>
    <w:rsid w:val="001C3C02"/>
    <w:rsid w:val="001C3D05"/>
    <w:rsid w:val="001C5213"/>
    <w:rsid w:val="001C693C"/>
    <w:rsid w:val="001C71B5"/>
    <w:rsid w:val="001C7B3B"/>
    <w:rsid w:val="001C7BA3"/>
    <w:rsid w:val="001C7D11"/>
    <w:rsid w:val="001D00E1"/>
    <w:rsid w:val="001D1C54"/>
    <w:rsid w:val="001D1F5A"/>
    <w:rsid w:val="001D24BB"/>
    <w:rsid w:val="001D2CB8"/>
    <w:rsid w:val="001D33E4"/>
    <w:rsid w:val="001D3F94"/>
    <w:rsid w:val="001D4A1B"/>
    <w:rsid w:val="001D4B33"/>
    <w:rsid w:val="001D4B90"/>
    <w:rsid w:val="001D5F62"/>
    <w:rsid w:val="001D5F94"/>
    <w:rsid w:val="001D65E8"/>
    <w:rsid w:val="001D6661"/>
    <w:rsid w:val="001D72D0"/>
    <w:rsid w:val="001D79A1"/>
    <w:rsid w:val="001D7C40"/>
    <w:rsid w:val="001D7E3A"/>
    <w:rsid w:val="001D7FD3"/>
    <w:rsid w:val="001E02D8"/>
    <w:rsid w:val="001E06E6"/>
    <w:rsid w:val="001E0ADA"/>
    <w:rsid w:val="001E15D1"/>
    <w:rsid w:val="001E20D7"/>
    <w:rsid w:val="001E2468"/>
    <w:rsid w:val="001E2522"/>
    <w:rsid w:val="001E260D"/>
    <w:rsid w:val="001E2B5D"/>
    <w:rsid w:val="001E34BD"/>
    <w:rsid w:val="001E35A8"/>
    <w:rsid w:val="001E4D9D"/>
    <w:rsid w:val="001E4FC3"/>
    <w:rsid w:val="001E50DE"/>
    <w:rsid w:val="001E5335"/>
    <w:rsid w:val="001E6352"/>
    <w:rsid w:val="001E6871"/>
    <w:rsid w:val="001E76BE"/>
    <w:rsid w:val="001E77FE"/>
    <w:rsid w:val="001F0256"/>
    <w:rsid w:val="001F0C79"/>
    <w:rsid w:val="001F121B"/>
    <w:rsid w:val="001F1695"/>
    <w:rsid w:val="001F1958"/>
    <w:rsid w:val="001F2051"/>
    <w:rsid w:val="001F30F7"/>
    <w:rsid w:val="001F3331"/>
    <w:rsid w:val="001F3377"/>
    <w:rsid w:val="001F340E"/>
    <w:rsid w:val="001F3CD1"/>
    <w:rsid w:val="001F4CD6"/>
    <w:rsid w:val="001F5A47"/>
    <w:rsid w:val="001F5E65"/>
    <w:rsid w:val="001F6B76"/>
    <w:rsid w:val="001F6EFE"/>
    <w:rsid w:val="001F725A"/>
    <w:rsid w:val="002003F7"/>
    <w:rsid w:val="00200A50"/>
    <w:rsid w:val="00200FA1"/>
    <w:rsid w:val="002014BC"/>
    <w:rsid w:val="0020245F"/>
    <w:rsid w:val="002032EE"/>
    <w:rsid w:val="00203660"/>
    <w:rsid w:val="00204549"/>
    <w:rsid w:val="00204722"/>
    <w:rsid w:val="002052B7"/>
    <w:rsid w:val="002067EB"/>
    <w:rsid w:val="00206871"/>
    <w:rsid w:val="0020710C"/>
    <w:rsid w:val="00207385"/>
    <w:rsid w:val="00207C9E"/>
    <w:rsid w:val="00210431"/>
    <w:rsid w:val="0021067D"/>
    <w:rsid w:val="00211DD3"/>
    <w:rsid w:val="002130AB"/>
    <w:rsid w:val="0021327E"/>
    <w:rsid w:val="00213BC3"/>
    <w:rsid w:val="00214CBA"/>
    <w:rsid w:val="00215C1F"/>
    <w:rsid w:val="00215C72"/>
    <w:rsid w:val="00216241"/>
    <w:rsid w:val="0021710A"/>
    <w:rsid w:val="0021749A"/>
    <w:rsid w:val="00217763"/>
    <w:rsid w:val="0022057C"/>
    <w:rsid w:val="002207B1"/>
    <w:rsid w:val="00220D80"/>
    <w:rsid w:val="00220D97"/>
    <w:rsid w:val="002215BF"/>
    <w:rsid w:val="00222153"/>
    <w:rsid w:val="002224BE"/>
    <w:rsid w:val="00222BC9"/>
    <w:rsid w:val="002247B7"/>
    <w:rsid w:val="00224BBF"/>
    <w:rsid w:val="00224E5A"/>
    <w:rsid w:val="00225464"/>
    <w:rsid w:val="002258C3"/>
    <w:rsid w:val="00225912"/>
    <w:rsid w:val="00225EAA"/>
    <w:rsid w:val="0022608A"/>
    <w:rsid w:val="00227718"/>
    <w:rsid w:val="002302A6"/>
    <w:rsid w:val="002305A1"/>
    <w:rsid w:val="00230DC3"/>
    <w:rsid w:val="0023161B"/>
    <w:rsid w:val="00231BF2"/>
    <w:rsid w:val="002320A2"/>
    <w:rsid w:val="00232383"/>
    <w:rsid w:val="002329D3"/>
    <w:rsid w:val="002330B3"/>
    <w:rsid w:val="00233CCF"/>
    <w:rsid w:val="002340AF"/>
    <w:rsid w:val="00234387"/>
    <w:rsid w:val="00236599"/>
    <w:rsid w:val="00236839"/>
    <w:rsid w:val="0023743A"/>
    <w:rsid w:val="00240366"/>
    <w:rsid w:val="002405B9"/>
    <w:rsid w:val="00240E49"/>
    <w:rsid w:val="002410FC"/>
    <w:rsid w:val="00241848"/>
    <w:rsid w:val="00241E4B"/>
    <w:rsid w:val="00242250"/>
    <w:rsid w:val="0024255B"/>
    <w:rsid w:val="0024274A"/>
    <w:rsid w:val="00242768"/>
    <w:rsid w:val="0024288F"/>
    <w:rsid w:val="00242939"/>
    <w:rsid w:val="00242C14"/>
    <w:rsid w:val="00242D8B"/>
    <w:rsid w:val="002432C7"/>
    <w:rsid w:val="00243554"/>
    <w:rsid w:val="002442B1"/>
    <w:rsid w:val="00244709"/>
    <w:rsid w:val="00244DD4"/>
    <w:rsid w:val="0024501C"/>
    <w:rsid w:val="00245225"/>
    <w:rsid w:val="00245322"/>
    <w:rsid w:val="00245B75"/>
    <w:rsid w:val="0024627D"/>
    <w:rsid w:val="0024702B"/>
    <w:rsid w:val="002471D4"/>
    <w:rsid w:val="00247E96"/>
    <w:rsid w:val="002507BF"/>
    <w:rsid w:val="002516E5"/>
    <w:rsid w:val="00251BEC"/>
    <w:rsid w:val="00251D00"/>
    <w:rsid w:val="00252040"/>
    <w:rsid w:val="002525E7"/>
    <w:rsid w:val="00252814"/>
    <w:rsid w:val="00252DF0"/>
    <w:rsid w:val="00252EDA"/>
    <w:rsid w:val="00253369"/>
    <w:rsid w:val="0025357D"/>
    <w:rsid w:val="00253761"/>
    <w:rsid w:val="002544FA"/>
    <w:rsid w:val="00254822"/>
    <w:rsid w:val="0025523A"/>
    <w:rsid w:val="002557DA"/>
    <w:rsid w:val="00256500"/>
    <w:rsid w:val="00257232"/>
    <w:rsid w:val="002575A6"/>
    <w:rsid w:val="00260940"/>
    <w:rsid w:val="00260A2A"/>
    <w:rsid w:val="00260C57"/>
    <w:rsid w:val="00261E36"/>
    <w:rsid w:val="0026239D"/>
    <w:rsid w:val="00262E4B"/>
    <w:rsid w:val="00263778"/>
    <w:rsid w:val="0026533F"/>
    <w:rsid w:val="002656CD"/>
    <w:rsid w:val="00265760"/>
    <w:rsid w:val="002657A7"/>
    <w:rsid w:val="00266098"/>
    <w:rsid w:val="0026678C"/>
    <w:rsid w:val="002667F3"/>
    <w:rsid w:val="00266E72"/>
    <w:rsid w:val="00270774"/>
    <w:rsid w:val="00272A1F"/>
    <w:rsid w:val="002742CA"/>
    <w:rsid w:val="002746B9"/>
    <w:rsid w:val="0027471E"/>
    <w:rsid w:val="00274C0C"/>
    <w:rsid w:val="00274D8B"/>
    <w:rsid w:val="00274E9B"/>
    <w:rsid w:val="00274F0D"/>
    <w:rsid w:val="00275587"/>
    <w:rsid w:val="002764DF"/>
    <w:rsid w:val="00276BE5"/>
    <w:rsid w:val="00276CB5"/>
    <w:rsid w:val="00277B88"/>
    <w:rsid w:val="002811C8"/>
    <w:rsid w:val="002813FE"/>
    <w:rsid w:val="002817CB"/>
    <w:rsid w:val="002818B8"/>
    <w:rsid w:val="00281F79"/>
    <w:rsid w:val="002825D0"/>
    <w:rsid w:val="00282F55"/>
    <w:rsid w:val="0028317D"/>
    <w:rsid w:val="0028352C"/>
    <w:rsid w:val="002836A1"/>
    <w:rsid w:val="0028493A"/>
    <w:rsid w:val="0028622F"/>
    <w:rsid w:val="00286419"/>
    <w:rsid w:val="00286CAD"/>
    <w:rsid w:val="00286DEC"/>
    <w:rsid w:val="00287615"/>
    <w:rsid w:val="002908D8"/>
    <w:rsid w:val="00290A5C"/>
    <w:rsid w:val="00290FF9"/>
    <w:rsid w:val="00291668"/>
    <w:rsid w:val="00291BE9"/>
    <w:rsid w:val="00292328"/>
    <w:rsid w:val="0029241D"/>
    <w:rsid w:val="00292970"/>
    <w:rsid w:val="00292A9A"/>
    <w:rsid w:val="00293AF0"/>
    <w:rsid w:val="00293B51"/>
    <w:rsid w:val="002943B5"/>
    <w:rsid w:val="00295A70"/>
    <w:rsid w:val="0029682A"/>
    <w:rsid w:val="00297286"/>
    <w:rsid w:val="00297855"/>
    <w:rsid w:val="002A0354"/>
    <w:rsid w:val="002A0960"/>
    <w:rsid w:val="002A09F2"/>
    <w:rsid w:val="002A0E72"/>
    <w:rsid w:val="002A1366"/>
    <w:rsid w:val="002A14EF"/>
    <w:rsid w:val="002A15C8"/>
    <w:rsid w:val="002A2753"/>
    <w:rsid w:val="002A3627"/>
    <w:rsid w:val="002A4551"/>
    <w:rsid w:val="002A455A"/>
    <w:rsid w:val="002A4BD7"/>
    <w:rsid w:val="002A51B7"/>
    <w:rsid w:val="002A6ED6"/>
    <w:rsid w:val="002A7233"/>
    <w:rsid w:val="002A7359"/>
    <w:rsid w:val="002A7A5F"/>
    <w:rsid w:val="002B06EA"/>
    <w:rsid w:val="002B1623"/>
    <w:rsid w:val="002B1ABD"/>
    <w:rsid w:val="002B1B72"/>
    <w:rsid w:val="002B1CFA"/>
    <w:rsid w:val="002B2292"/>
    <w:rsid w:val="002B2F86"/>
    <w:rsid w:val="002B3732"/>
    <w:rsid w:val="002B38A8"/>
    <w:rsid w:val="002B4FA2"/>
    <w:rsid w:val="002B575D"/>
    <w:rsid w:val="002B5E01"/>
    <w:rsid w:val="002B633E"/>
    <w:rsid w:val="002B64C0"/>
    <w:rsid w:val="002B6E17"/>
    <w:rsid w:val="002B705B"/>
    <w:rsid w:val="002B7403"/>
    <w:rsid w:val="002B79CE"/>
    <w:rsid w:val="002B7ABD"/>
    <w:rsid w:val="002C08EE"/>
    <w:rsid w:val="002C2399"/>
    <w:rsid w:val="002C256B"/>
    <w:rsid w:val="002C36FD"/>
    <w:rsid w:val="002C3FB4"/>
    <w:rsid w:val="002C43D9"/>
    <w:rsid w:val="002C4505"/>
    <w:rsid w:val="002C4583"/>
    <w:rsid w:val="002C4AEE"/>
    <w:rsid w:val="002C4C19"/>
    <w:rsid w:val="002C633E"/>
    <w:rsid w:val="002C66F7"/>
    <w:rsid w:val="002C67D3"/>
    <w:rsid w:val="002D0374"/>
    <w:rsid w:val="002D0A56"/>
    <w:rsid w:val="002D0DA9"/>
    <w:rsid w:val="002D1D10"/>
    <w:rsid w:val="002D1F3A"/>
    <w:rsid w:val="002D2B3C"/>
    <w:rsid w:val="002D2E82"/>
    <w:rsid w:val="002D41F5"/>
    <w:rsid w:val="002D45F9"/>
    <w:rsid w:val="002D4824"/>
    <w:rsid w:val="002D5108"/>
    <w:rsid w:val="002D6470"/>
    <w:rsid w:val="002D65BD"/>
    <w:rsid w:val="002D6F56"/>
    <w:rsid w:val="002D7DD1"/>
    <w:rsid w:val="002E234A"/>
    <w:rsid w:val="002E2B89"/>
    <w:rsid w:val="002E30FA"/>
    <w:rsid w:val="002E3499"/>
    <w:rsid w:val="002E3E7F"/>
    <w:rsid w:val="002E6B07"/>
    <w:rsid w:val="002E71C6"/>
    <w:rsid w:val="002E741F"/>
    <w:rsid w:val="002F0175"/>
    <w:rsid w:val="002F0B0E"/>
    <w:rsid w:val="002F0E7C"/>
    <w:rsid w:val="002F10CF"/>
    <w:rsid w:val="002F17C6"/>
    <w:rsid w:val="002F2233"/>
    <w:rsid w:val="002F2CC5"/>
    <w:rsid w:val="002F2E55"/>
    <w:rsid w:val="002F2FDB"/>
    <w:rsid w:val="002F32FA"/>
    <w:rsid w:val="002F3652"/>
    <w:rsid w:val="002F38BA"/>
    <w:rsid w:val="002F3925"/>
    <w:rsid w:val="002F3C24"/>
    <w:rsid w:val="002F3E50"/>
    <w:rsid w:val="002F4450"/>
    <w:rsid w:val="002F4978"/>
    <w:rsid w:val="002F525B"/>
    <w:rsid w:val="002F5416"/>
    <w:rsid w:val="002F5DBA"/>
    <w:rsid w:val="002F6473"/>
    <w:rsid w:val="002F6D79"/>
    <w:rsid w:val="002F74E4"/>
    <w:rsid w:val="002F777A"/>
    <w:rsid w:val="002F7E7D"/>
    <w:rsid w:val="00300C91"/>
    <w:rsid w:val="003010E5"/>
    <w:rsid w:val="00301BCE"/>
    <w:rsid w:val="00301DDB"/>
    <w:rsid w:val="00301F99"/>
    <w:rsid w:val="003027D4"/>
    <w:rsid w:val="00302839"/>
    <w:rsid w:val="00302E7E"/>
    <w:rsid w:val="003036AD"/>
    <w:rsid w:val="00303B35"/>
    <w:rsid w:val="00304121"/>
    <w:rsid w:val="00304684"/>
    <w:rsid w:val="00304C26"/>
    <w:rsid w:val="00304FEA"/>
    <w:rsid w:val="0030514B"/>
    <w:rsid w:val="003055EF"/>
    <w:rsid w:val="003058FB"/>
    <w:rsid w:val="003071D2"/>
    <w:rsid w:val="00307BAD"/>
    <w:rsid w:val="0031045E"/>
    <w:rsid w:val="00310591"/>
    <w:rsid w:val="003107C6"/>
    <w:rsid w:val="00311284"/>
    <w:rsid w:val="00311799"/>
    <w:rsid w:val="00311B6E"/>
    <w:rsid w:val="00311C4C"/>
    <w:rsid w:val="003132BE"/>
    <w:rsid w:val="00313DD0"/>
    <w:rsid w:val="003145E8"/>
    <w:rsid w:val="00316901"/>
    <w:rsid w:val="00317C36"/>
    <w:rsid w:val="00317D04"/>
    <w:rsid w:val="003201D6"/>
    <w:rsid w:val="0032037C"/>
    <w:rsid w:val="00320923"/>
    <w:rsid w:val="003211E6"/>
    <w:rsid w:val="0032172A"/>
    <w:rsid w:val="00321B1C"/>
    <w:rsid w:val="00321FE1"/>
    <w:rsid w:val="00323013"/>
    <w:rsid w:val="00323586"/>
    <w:rsid w:val="003242CF"/>
    <w:rsid w:val="003252C8"/>
    <w:rsid w:val="0032565F"/>
    <w:rsid w:val="00325AE3"/>
    <w:rsid w:val="003262E1"/>
    <w:rsid w:val="00326FD8"/>
    <w:rsid w:val="0032748E"/>
    <w:rsid w:val="00327ACB"/>
    <w:rsid w:val="00327C3D"/>
    <w:rsid w:val="00327C4A"/>
    <w:rsid w:val="00327ED5"/>
    <w:rsid w:val="0033007E"/>
    <w:rsid w:val="0033010D"/>
    <w:rsid w:val="003301C3"/>
    <w:rsid w:val="0033048F"/>
    <w:rsid w:val="00330496"/>
    <w:rsid w:val="0033093B"/>
    <w:rsid w:val="00330CA5"/>
    <w:rsid w:val="00332410"/>
    <w:rsid w:val="00332FA7"/>
    <w:rsid w:val="003330F5"/>
    <w:rsid w:val="00333CD7"/>
    <w:rsid w:val="0033460C"/>
    <w:rsid w:val="00334837"/>
    <w:rsid w:val="00334C9C"/>
    <w:rsid w:val="00335B12"/>
    <w:rsid w:val="003360DC"/>
    <w:rsid w:val="003364BB"/>
    <w:rsid w:val="003365D0"/>
    <w:rsid w:val="00336804"/>
    <w:rsid w:val="00336AA7"/>
    <w:rsid w:val="003374C9"/>
    <w:rsid w:val="00337F69"/>
    <w:rsid w:val="00340725"/>
    <w:rsid w:val="003408EB"/>
    <w:rsid w:val="00340BC0"/>
    <w:rsid w:val="003416FC"/>
    <w:rsid w:val="00341E07"/>
    <w:rsid w:val="003431D7"/>
    <w:rsid w:val="003433B0"/>
    <w:rsid w:val="003434C3"/>
    <w:rsid w:val="00343C04"/>
    <w:rsid w:val="00343D85"/>
    <w:rsid w:val="003445CC"/>
    <w:rsid w:val="00345E0A"/>
    <w:rsid w:val="00345E79"/>
    <w:rsid w:val="003469ED"/>
    <w:rsid w:val="00346FD9"/>
    <w:rsid w:val="0034785F"/>
    <w:rsid w:val="003500AB"/>
    <w:rsid w:val="003501CE"/>
    <w:rsid w:val="00350435"/>
    <w:rsid w:val="00350B58"/>
    <w:rsid w:val="00352982"/>
    <w:rsid w:val="00352A7A"/>
    <w:rsid w:val="00352C0B"/>
    <w:rsid w:val="00353949"/>
    <w:rsid w:val="003547D8"/>
    <w:rsid w:val="0035558B"/>
    <w:rsid w:val="003555FE"/>
    <w:rsid w:val="003557A3"/>
    <w:rsid w:val="00355EB6"/>
    <w:rsid w:val="003565FE"/>
    <w:rsid w:val="00356868"/>
    <w:rsid w:val="003568A1"/>
    <w:rsid w:val="003568FF"/>
    <w:rsid w:val="00357405"/>
    <w:rsid w:val="0036027D"/>
    <w:rsid w:val="00361E31"/>
    <w:rsid w:val="00362062"/>
    <w:rsid w:val="003622A9"/>
    <w:rsid w:val="00362CA7"/>
    <w:rsid w:val="003632B6"/>
    <w:rsid w:val="0036335B"/>
    <w:rsid w:val="00363930"/>
    <w:rsid w:val="00363A86"/>
    <w:rsid w:val="0036425D"/>
    <w:rsid w:val="00364406"/>
    <w:rsid w:val="003645AB"/>
    <w:rsid w:val="003646E4"/>
    <w:rsid w:val="003651C1"/>
    <w:rsid w:val="0036572B"/>
    <w:rsid w:val="00366DD1"/>
    <w:rsid w:val="00366EA6"/>
    <w:rsid w:val="00370127"/>
    <w:rsid w:val="00370466"/>
    <w:rsid w:val="00370FBD"/>
    <w:rsid w:val="00371B36"/>
    <w:rsid w:val="00371BF0"/>
    <w:rsid w:val="00372012"/>
    <w:rsid w:val="0037221C"/>
    <w:rsid w:val="00372255"/>
    <w:rsid w:val="00372535"/>
    <w:rsid w:val="0037287B"/>
    <w:rsid w:val="0037468F"/>
    <w:rsid w:val="00374AB9"/>
    <w:rsid w:val="0037505A"/>
    <w:rsid w:val="00375747"/>
    <w:rsid w:val="00375A95"/>
    <w:rsid w:val="00375CB3"/>
    <w:rsid w:val="00376E60"/>
    <w:rsid w:val="0037718C"/>
    <w:rsid w:val="003771D7"/>
    <w:rsid w:val="00377A50"/>
    <w:rsid w:val="00377C01"/>
    <w:rsid w:val="00377DD5"/>
    <w:rsid w:val="003805BA"/>
    <w:rsid w:val="00380635"/>
    <w:rsid w:val="0038098C"/>
    <w:rsid w:val="003813ED"/>
    <w:rsid w:val="00381B36"/>
    <w:rsid w:val="003824CF"/>
    <w:rsid w:val="00382E78"/>
    <w:rsid w:val="00383C19"/>
    <w:rsid w:val="00383E29"/>
    <w:rsid w:val="003844C1"/>
    <w:rsid w:val="003844DB"/>
    <w:rsid w:val="0038455E"/>
    <w:rsid w:val="00384ACD"/>
    <w:rsid w:val="00385087"/>
    <w:rsid w:val="00385CD9"/>
    <w:rsid w:val="00385F1E"/>
    <w:rsid w:val="00386959"/>
    <w:rsid w:val="00387187"/>
    <w:rsid w:val="00387311"/>
    <w:rsid w:val="0038763B"/>
    <w:rsid w:val="003908BB"/>
    <w:rsid w:val="00390B73"/>
    <w:rsid w:val="00390DAE"/>
    <w:rsid w:val="00392074"/>
    <w:rsid w:val="003923A5"/>
    <w:rsid w:val="003923B9"/>
    <w:rsid w:val="00392EC1"/>
    <w:rsid w:val="00392F6C"/>
    <w:rsid w:val="00393108"/>
    <w:rsid w:val="003933F5"/>
    <w:rsid w:val="00393FA1"/>
    <w:rsid w:val="003940B4"/>
    <w:rsid w:val="00394329"/>
    <w:rsid w:val="00394AC0"/>
    <w:rsid w:val="00394FF8"/>
    <w:rsid w:val="00396796"/>
    <w:rsid w:val="0039766D"/>
    <w:rsid w:val="00397D4D"/>
    <w:rsid w:val="003A0C5B"/>
    <w:rsid w:val="003A0D69"/>
    <w:rsid w:val="003A0FC9"/>
    <w:rsid w:val="003A1944"/>
    <w:rsid w:val="003A1F72"/>
    <w:rsid w:val="003A209E"/>
    <w:rsid w:val="003A229B"/>
    <w:rsid w:val="003A29D3"/>
    <w:rsid w:val="003A2E4C"/>
    <w:rsid w:val="003A354F"/>
    <w:rsid w:val="003A376A"/>
    <w:rsid w:val="003A3F6C"/>
    <w:rsid w:val="003A430D"/>
    <w:rsid w:val="003A64D1"/>
    <w:rsid w:val="003A6EC2"/>
    <w:rsid w:val="003A7398"/>
    <w:rsid w:val="003A7817"/>
    <w:rsid w:val="003A7A50"/>
    <w:rsid w:val="003B0117"/>
    <w:rsid w:val="003B037A"/>
    <w:rsid w:val="003B0A17"/>
    <w:rsid w:val="003B0F77"/>
    <w:rsid w:val="003B10A8"/>
    <w:rsid w:val="003B1D4A"/>
    <w:rsid w:val="003B248A"/>
    <w:rsid w:val="003B299A"/>
    <w:rsid w:val="003B363D"/>
    <w:rsid w:val="003B38B8"/>
    <w:rsid w:val="003B3C83"/>
    <w:rsid w:val="003B409A"/>
    <w:rsid w:val="003B477C"/>
    <w:rsid w:val="003B4818"/>
    <w:rsid w:val="003B528D"/>
    <w:rsid w:val="003B5854"/>
    <w:rsid w:val="003B5F16"/>
    <w:rsid w:val="003B61BB"/>
    <w:rsid w:val="003C03BF"/>
    <w:rsid w:val="003C0C49"/>
    <w:rsid w:val="003C0F43"/>
    <w:rsid w:val="003C347D"/>
    <w:rsid w:val="003C3E32"/>
    <w:rsid w:val="003C4456"/>
    <w:rsid w:val="003C4813"/>
    <w:rsid w:val="003C4984"/>
    <w:rsid w:val="003C5614"/>
    <w:rsid w:val="003C5ACB"/>
    <w:rsid w:val="003C5F1B"/>
    <w:rsid w:val="003C720E"/>
    <w:rsid w:val="003C7362"/>
    <w:rsid w:val="003C7FBD"/>
    <w:rsid w:val="003C7FD2"/>
    <w:rsid w:val="003D02EE"/>
    <w:rsid w:val="003D064D"/>
    <w:rsid w:val="003D0DAF"/>
    <w:rsid w:val="003D0F29"/>
    <w:rsid w:val="003D1147"/>
    <w:rsid w:val="003D185B"/>
    <w:rsid w:val="003D2F5E"/>
    <w:rsid w:val="003D44A1"/>
    <w:rsid w:val="003D464C"/>
    <w:rsid w:val="003D471A"/>
    <w:rsid w:val="003D490B"/>
    <w:rsid w:val="003D49A4"/>
    <w:rsid w:val="003D4C62"/>
    <w:rsid w:val="003D4E91"/>
    <w:rsid w:val="003D54A4"/>
    <w:rsid w:val="003D5730"/>
    <w:rsid w:val="003D688C"/>
    <w:rsid w:val="003D6AA5"/>
    <w:rsid w:val="003D7056"/>
    <w:rsid w:val="003D76CB"/>
    <w:rsid w:val="003D7E0C"/>
    <w:rsid w:val="003E022F"/>
    <w:rsid w:val="003E1180"/>
    <w:rsid w:val="003E186B"/>
    <w:rsid w:val="003E2AF4"/>
    <w:rsid w:val="003E2C44"/>
    <w:rsid w:val="003E33AA"/>
    <w:rsid w:val="003E39E3"/>
    <w:rsid w:val="003E408F"/>
    <w:rsid w:val="003E4320"/>
    <w:rsid w:val="003E46C6"/>
    <w:rsid w:val="003E46DC"/>
    <w:rsid w:val="003E4B8A"/>
    <w:rsid w:val="003E569C"/>
    <w:rsid w:val="003E5AAB"/>
    <w:rsid w:val="003E5BE9"/>
    <w:rsid w:val="003E5EB7"/>
    <w:rsid w:val="003E6743"/>
    <w:rsid w:val="003E6C08"/>
    <w:rsid w:val="003E70FB"/>
    <w:rsid w:val="003E79BA"/>
    <w:rsid w:val="003F02E2"/>
    <w:rsid w:val="003F15ED"/>
    <w:rsid w:val="003F2D88"/>
    <w:rsid w:val="003F2E12"/>
    <w:rsid w:val="003F3042"/>
    <w:rsid w:val="003F32AD"/>
    <w:rsid w:val="003F33E9"/>
    <w:rsid w:val="003F362D"/>
    <w:rsid w:val="003F3F6D"/>
    <w:rsid w:val="003F47C8"/>
    <w:rsid w:val="003F4AB5"/>
    <w:rsid w:val="003F4FF3"/>
    <w:rsid w:val="003F565D"/>
    <w:rsid w:val="003F62D4"/>
    <w:rsid w:val="003F633D"/>
    <w:rsid w:val="003F66FD"/>
    <w:rsid w:val="003F6D8A"/>
    <w:rsid w:val="003F73AC"/>
    <w:rsid w:val="00400110"/>
    <w:rsid w:val="00400240"/>
    <w:rsid w:val="00400B79"/>
    <w:rsid w:val="00401186"/>
    <w:rsid w:val="004015E0"/>
    <w:rsid w:val="00402AEC"/>
    <w:rsid w:val="00402B60"/>
    <w:rsid w:val="00403625"/>
    <w:rsid w:val="0040378C"/>
    <w:rsid w:val="00403A79"/>
    <w:rsid w:val="0040404D"/>
    <w:rsid w:val="004040B0"/>
    <w:rsid w:val="0040446F"/>
    <w:rsid w:val="00404898"/>
    <w:rsid w:val="00404926"/>
    <w:rsid w:val="004055AA"/>
    <w:rsid w:val="00406336"/>
    <w:rsid w:val="00406C2A"/>
    <w:rsid w:val="00407C22"/>
    <w:rsid w:val="004104D9"/>
    <w:rsid w:val="004110A5"/>
    <w:rsid w:val="00411610"/>
    <w:rsid w:val="004117C3"/>
    <w:rsid w:val="00412F73"/>
    <w:rsid w:val="00413080"/>
    <w:rsid w:val="00413096"/>
    <w:rsid w:val="00413446"/>
    <w:rsid w:val="00413AB0"/>
    <w:rsid w:val="0041408F"/>
    <w:rsid w:val="00414694"/>
    <w:rsid w:val="004152F3"/>
    <w:rsid w:val="00415399"/>
    <w:rsid w:val="004156F5"/>
    <w:rsid w:val="00416A81"/>
    <w:rsid w:val="00416BA6"/>
    <w:rsid w:val="00416C75"/>
    <w:rsid w:val="00416EC0"/>
    <w:rsid w:val="004175E4"/>
    <w:rsid w:val="0041780F"/>
    <w:rsid w:val="0041788F"/>
    <w:rsid w:val="00417C89"/>
    <w:rsid w:val="00420270"/>
    <w:rsid w:val="0042044F"/>
    <w:rsid w:val="0042057C"/>
    <w:rsid w:val="00420584"/>
    <w:rsid w:val="00420600"/>
    <w:rsid w:val="004208F6"/>
    <w:rsid w:val="004213FD"/>
    <w:rsid w:val="00421FD5"/>
    <w:rsid w:val="00422788"/>
    <w:rsid w:val="004228B4"/>
    <w:rsid w:val="00422AB5"/>
    <w:rsid w:val="004240B1"/>
    <w:rsid w:val="004241DB"/>
    <w:rsid w:val="004241F9"/>
    <w:rsid w:val="0042434F"/>
    <w:rsid w:val="00427259"/>
    <w:rsid w:val="00430CD8"/>
    <w:rsid w:val="0043125F"/>
    <w:rsid w:val="00431986"/>
    <w:rsid w:val="00432BD3"/>
    <w:rsid w:val="004331E0"/>
    <w:rsid w:val="0043327A"/>
    <w:rsid w:val="00433808"/>
    <w:rsid w:val="00433819"/>
    <w:rsid w:val="00433C2D"/>
    <w:rsid w:val="00435C57"/>
    <w:rsid w:val="00435C9F"/>
    <w:rsid w:val="0043635F"/>
    <w:rsid w:val="004363CC"/>
    <w:rsid w:val="00436744"/>
    <w:rsid w:val="004371C6"/>
    <w:rsid w:val="00437311"/>
    <w:rsid w:val="0043759D"/>
    <w:rsid w:val="00437C9D"/>
    <w:rsid w:val="00437ED7"/>
    <w:rsid w:val="004404BC"/>
    <w:rsid w:val="00440B31"/>
    <w:rsid w:val="00440D4C"/>
    <w:rsid w:val="0044100A"/>
    <w:rsid w:val="00441275"/>
    <w:rsid w:val="00442140"/>
    <w:rsid w:val="004429DA"/>
    <w:rsid w:val="004432E4"/>
    <w:rsid w:val="004437BB"/>
    <w:rsid w:val="0044447A"/>
    <w:rsid w:val="004444E0"/>
    <w:rsid w:val="00444F52"/>
    <w:rsid w:val="00445294"/>
    <w:rsid w:val="0044567F"/>
    <w:rsid w:val="00445AA8"/>
    <w:rsid w:val="00445AEF"/>
    <w:rsid w:val="00446CD3"/>
    <w:rsid w:val="00447014"/>
    <w:rsid w:val="004471F4"/>
    <w:rsid w:val="00447607"/>
    <w:rsid w:val="004479C8"/>
    <w:rsid w:val="004500CD"/>
    <w:rsid w:val="004518C2"/>
    <w:rsid w:val="00452A95"/>
    <w:rsid w:val="00452ADB"/>
    <w:rsid w:val="004531D5"/>
    <w:rsid w:val="00453886"/>
    <w:rsid w:val="0045414D"/>
    <w:rsid w:val="004545BB"/>
    <w:rsid w:val="004547ED"/>
    <w:rsid w:val="00455C83"/>
    <w:rsid w:val="00456456"/>
    <w:rsid w:val="00457EF3"/>
    <w:rsid w:val="004603BE"/>
    <w:rsid w:val="004604C4"/>
    <w:rsid w:val="00461DCC"/>
    <w:rsid w:val="00462184"/>
    <w:rsid w:val="00462A58"/>
    <w:rsid w:val="00462F8E"/>
    <w:rsid w:val="004633B0"/>
    <w:rsid w:val="00463485"/>
    <w:rsid w:val="00463877"/>
    <w:rsid w:val="00463A49"/>
    <w:rsid w:val="00463DCB"/>
    <w:rsid w:val="004640B9"/>
    <w:rsid w:val="004649E6"/>
    <w:rsid w:val="00464ACC"/>
    <w:rsid w:val="00465C7A"/>
    <w:rsid w:val="00465F53"/>
    <w:rsid w:val="004660E2"/>
    <w:rsid w:val="004660F9"/>
    <w:rsid w:val="00466B56"/>
    <w:rsid w:val="0047098E"/>
    <w:rsid w:val="00470FD0"/>
    <w:rsid w:val="00471B3E"/>
    <w:rsid w:val="00471C50"/>
    <w:rsid w:val="00471E8B"/>
    <w:rsid w:val="00472130"/>
    <w:rsid w:val="00472D3C"/>
    <w:rsid w:val="00473060"/>
    <w:rsid w:val="00473553"/>
    <w:rsid w:val="004742BB"/>
    <w:rsid w:val="00474F78"/>
    <w:rsid w:val="0047526F"/>
    <w:rsid w:val="004753FD"/>
    <w:rsid w:val="00476301"/>
    <w:rsid w:val="00476768"/>
    <w:rsid w:val="00476F28"/>
    <w:rsid w:val="00477C22"/>
    <w:rsid w:val="00480405"/>
    <w:rsid w:val="00480635"/>
    <w:rsid w:val="0048091C"/>
    <w:rsid w:val="00481E6B"/>
    <w:rsid w:val="00482D47"/>
    <w:rsid w:val="004841F7"/>
    <w:rsid w:val="00484A90"/>
    <w:rsid w:val="00485241"/>
    <w:rsid w:val="00485BB9"/>
    <w:rsid w:val="00486A77"/>
    <w:rsid w:val="0048796E"/>
    <w:rsid w:val="00487F17"/>
    <w:rsid w:val="004906BB"/>
    <w:rsid w:val="00490DD6"/>
    <w:rsid w:val="00491851"/>
    <w:rsid w:val="0049249F"/>
    <w:rsid w:val="00492929"/>
    <w:rsid w:val="004932DD"/>
    <w:rsid w:val="004933A9"/>
    <w:rsid w:val="00493414"/>
    <w:rsid w:val="00493D9D"/>
    <w:rsid w:val="00493E62"/>
    <w:rsid w:val="00494882"/>
    <w:rsid w:val="0049617A"/>
    <w:rsid w:val="004963AB"/>
    <w:rsid w:val="00496B61"/>
    <w:rsid w:val="00497921"/>
    <w:rsid w:val="004A00EA"/>
    <w:rsid w:val="004A0121"/>
    <w:rsid w:val="004A0BEE"/>
    <w:rsid w:val="004A0FF4"/>
    <w:rsid w:val="004A123A"/>
    <w:rsid w:val="004A1351"/>
    <w:rsid w:val="004A15C3"/>
    <w:rsid w:val="004A2865"/>
    <w:rsid w:val="004A2EAC"/>
    <w:rsid w:val="004A33FD"/>
    <w:rsid w:val="004A3708"/>
    <w:rsid w:val="004A37D2"/>
    <w:rsid w:val="004A40CF"/>
    <w:rsid w:val="004A4993"/>
    <w:rsid w:val="004A5843"/>
    <w:rsid w:val="004A5870"/>
    <w:rsid w:val="004A6447"/>
    <w:rsid w:val="004A6705"/>
    <w:rsid w:val="004A733F"/>
    <w:rsid w:val="004A764C"/>
    <w:rsid w:val="004A7E99"/>
    <w:rsid w:val="004B1548"/>
    <w:rsid w:val="004B214A"/>
    <w:rsid w:val="004B2311"/>
    <w:rsid w:val="004B28A5"/>
    <w:rsid w:val="004B2FA5"/>
    <w:rsid w:val="004B31A6"/>
    <w:rsid w:val="004B3315"/>
    <w:rsid w:val="004B3C9C"/>
    <w:rsid w:val="004B4591"/>
    <w:rsid w:val="004B4688"/>
    <w:rsid w:val="004B48F3"/>
    <w:rsid w:val="004B4BBA"/>
    <w:rsid w:val="004B56B2"/>
    <w:rsid w:val="004B571B"/>
    <w:rsid w:val="004B6513"/>
    <w:rsid w:val="004B67EC"/>
    <w:rsid w:val="004B6CA9"/>
    <w:rsid w:val="004B72A9"/>
    <w:rsid w:val="004B7C2C"/>
    <w:rsid w:val="004C0B6A"/>
    <w:rsid w:val="004C11BA"/>
    <w:rsid w:val="004C17B8"/>
    <w:rsid w:val="004C1B17"/>
    <w:rsid w:val="004C237E"/>
    <w:rsid w:val="004C29F9"/>
    <w:rsid w:val="004C30A8"/>
    <w:rsid w:val="004C34B9"/>
    <w:rsid w:val="004C3625"/>
    <w:rsid w:val="004C3812"/>
    <w:rsid w:val="004C3FB8"/>
    <w:rsid w:val="004C48C5"/>
    <w:rsid w:val="004C51F4"/>
    <w:rsid w:val="004C59B0"/>
    <w:rsid w:val="004C5B21"/>
    <w:rsid w:val="004C6571"/>
    <w:rsid w:val="004C68BB"/>
    <w:rsid w:val="004C77AF"/>
    <w:rsid w:val="004D03DB"/>
    <w:rsid w:val="004D2C96"/>
    <w:rsid w:val="004D329B"/>
    <w:rsid w:val="004D419D"/>
    <w:rsid w:val="004D428A"/>
    <w:rsid w:val="004D431A"/>
    <w:rsid w:val="004D500B"/>
    <w:rsid w:val="004D586E"/>
    <w:rsid w:val="004D6187"/>
    <w:rsid w:val="004D6A54"/>
    <w:rsid w:val="004D7337"/>
    <w:rsid w:val="004D7B01"/>
    <w:rsid w:val="004D7F9D"/>
    <w:rsid w:val="004D7FCE"/>
    <w:rsid w:val="004E040C"/>
    <w:rsid w:val="004E051C"/>
    <w:rsid w:val="004E1991"/>
    <w:rsid w:val="004E1C11"/>
    <w:rsid w:val="004E2928"/>
    <w:rsid w:val="004E2E83"/>
    <w:rsid w:val="004E30E8"/>
    <w:rsid w:val="004E373C"/>
    <w:rsid w:val="004E3E05"/>
    <w:rsid w:val="004E4A63"/>
    <w:rsid w:val="004E52E1"/>
    <w:rsid w:val="004E565C"/>
    <w:rsid w:val="004E6BE4"/>
    <w:rsid w:val="004E732D"/>
    <w:rsid w:val="004E7650"/>
    <w:rsid w:val="004E7685"/>
    <w:rsid w:val="004F020E"/>
    <w:rsid w:val="004F075D"/>
    <w:rsid w:val="004F0F7B"/>
    <w:rsid w:val="004F2065"/>
    <w:rsid w:val="004F2443"/>
    <w:rsid w:val="004F29C4"/>
    <w:rsid w:val="004F2A3A"/>
    <w:rsid w:val="004F2D8C"/>
    <w:rsid w:val="004F36E4"/>
    <w:rsid w:val="004F3965"/>
    <w:rsid w:val="004F4388"/>
    <w:rsid w:val="004F472E"/>
    <w:rsid w:val="004F55DB"/>
    <w:rsid w:val="004F6D02"/>
    <w:rsid w:val="004F6FF2"/>
    <w:rsid w:val="004F7411"/>
    <w:rsid w:val="004F781D"/>
    <w:rsid w:val="004F78A3"/>
    <w:rsid w:val="005002B5"/>
    <w:rsid w:val="005003CB"/>
    <w:rsid w:val="00500ACB"/>
    <w:rsid w:val="00500B51"/>
    <w:rsid w:val="005012EF"/>
    <w:rsid w:val="005016BA"/>
    <w:rsid w:val="00501810"/>
    <w:rsid w:val="0050212D"/>
    <w:rsid w:val="00502539"/>
    <w:rsid w:val="0050255F"/>
    <w:rsid w:val="005026C2"/>
    <w:rsid w:val="005027E5"/>
    <w:rsid w:val="00504601"/>
    <w:rsid w:val="00504705"/>
    <w:rsid w:val="00504A52"/>
    <w:rsid w:val="0050500B"/>
    <w:rsid w:val="0050542A"/>
    <w:rsid w:val="00505911"/>
    <w:rsid w:val="00507361"/>
    <w:rsid w:val="0051206E"/>
    <w:rsid w:val="0051223D"/>
    <w:rsid w:val="00512EEA"/>
    <w:rsid w:val="00512FB0"/>
    <w:rsid w:val="00513314"/>
    <w:rsid w:val="00514454"/>
    <w:rsid w:val="0051468E"/>
    <w:rsid w:val="0051532C"/>
    <w:rsid w:val="00515567"/>
    <w:rsid w:val="00515BC4"/>
    <w:rsid w:val="005161A5"/>
    <w:rsid w:val="005169E4"/>
    <w:rsid w:val="00516F7A"/>
    <w:rsid w:val="005179E6"/>
    <w:rsid w:val="00517A82"/>
    <w:rsid w:val="00517F5D"/>
    <w:rsid w:val="0052041C"/>
    <w:rsid w:val="0052124F"/>
    <w:rsid w:val="00521825"/>
    <w:rsid w:val="005224BE"/>
    <w:rsid w:val="00522D0C"/>
    <w:rsid w:val="00522FD5"/>
    <w:rsid w:val="005234B6"/>
    <w:rsid w:val="005238C9"/>
    <w:rsid w:val="005239DA"/>
    <w:rsid w:val="00523D45"/>
    <w:rsid w:val="00524006"/>
    <w:rsid w:val="00524183"/>
    <w:rsid w:val="00524FBF"/>
    <w:rsid w:val="00525280"/>
    <w:rsid w:val="005252AE"/>
    <w:rsid w:val="00525B1D"/>
    <w:rsid w:val="00525B49"/>
    <w:rsid w:val="00525BDC"/>
    <w:rsid w:val="005260EE"/>
    <w:rsid w:val="005271D1"/>
    <w:rsid w:val="00527943"/>
    <w:rsid w:val="005279D2"/>
    <w:rsid w:val="00530810"/>
    <w:rsid w:val="00530AFF"/>
    <w:rsid w:val="00530DB6"/>
    <w:rsid w:val="005318DA"/>
    <w:rsid w:val="00532B74"/>
    <w:rsid w:val="00532D24"/>
    <w:rsid w:val="00533081"/>
    <w:rsid w:val="005340CF"/>
    <w:rsid w:val="005343AC"/>
    <w:rsid w:val="00534D1F"/>
    <w:rsid w:val="00535D7E"/>
    <w:rsid w:val="00535D81"/>
    <w:rsid w:val="00535F48"/>
    <w:rsid w:val="00536C9F"/>
    <w:rsid w:val="00537088"/>
    <w:rsid w:val="005372C1"/>
    <w:rsid w:val="0053732B"/>
    <w:rsid w:val="00537738"/>
    <w:rsid w:val="0054065D"/>
    <w:rsid w:val="00540952"/>
    <w:rsid w:val="00542654"/>
    <w:rsid w:val="0054286B"/>
    <w:rsid w:val="00542C62"/>
    <w:rsid w:val="005434F9"/>
    <w:rsid w:val="00543C1C"/>
    <w:rsid w:val="00543F95"/>
    <w:rsid w:val="00543FBF"/>
    <w:rsid w:val="00544418"/>
    <w:rsid w:val="00544C80"/>
    <w:rsid w:val="00545355"/>
    <w:rsid w:val="005463D8"/>
    <w:rsid w:val="0054684C"/>
    <w:rsid w:val="0054684E"/>
    <w:rsid w:val="00546D1C"/>
    <w:rsid w:val="00546E33"/>
    <w:rsid w:val="00547ADC"/>
    <w:rsid w:val="00547CE0"/>
    <w:rsid w:val="00550A41"/>
    <w:rsid w:val="00550EB8"/>
    <w:rsid w:val="005511AD"/>
    <w:rsid w:val="005512DD"/>
    <w:rsid w:val="005515B2"/>
    <w:rsid w:val="00551A1E"/>
    <w:rsid w:val="00551A7A"/>
    <w:rsid w:val="005524D2"/>
    <w:rsid w:val="00552798"/>
    <w:rsid w:val="00552D67"/>
    <w:rsid w:val="005530FF"/>
    <w:rsid w:val="005544B4"/>
    <w:rsid w:val="005549B7"/>
    <w:rsid w:val="00555019"/>
    <w:rsid w:val="005562D5"/>
    <w:rsid w:val="005562D8"/>
    <w:rsid w:val="00556982"/>
    <w:rsid w:val="00557631"/>
    <w:rsid w:val="005578C1"/>
    <w:rsid w:val="005578EC"/>
    <w:rsid w:val="00560C36"/>
    <w:rsid w:val="00560FC4"/>
    <w:rsid w:val="00561A6F"/>
    <w:rsid w:val="00561B97"/>
    <w:rsid w:val="00561F59"/>
    <w:rsid w:val="0056259B"/>
    <w:rsid w:val="005627BD"/>
    <w:rsid w:val="00562CF6"/>
    <w:rsid w:val="005633E7"/>
    <w:rsid w:val="00563960"/>
    <w:rsid w:val="00564271"/>
    <w:rsid w:val="00564347"/>
    <w:rsid w:val="005646A4"/>
    <w:rsid w:val="005654A0"/>
    <w:rsid w:val="00565685"/>
    <w:rsid w:val="00566C22"/>
    <w:rsid w:val="0056742F"/>
    <w:rsid w:val="00567D08"/>
    <w:rsid w:val="00570B48"/>
    <w:rsid w:val="0057177C"/>
    <w:rsid w:val="00571D4D"/>
    <w:rsid w:val="00573CB7"/>
    <w:rsid w:val="0057515C"/>
    <w:rsid w:val="0057530E"/>
    <w:rsid w:val="00575F41"/>
    <w:rsid w:val="00576BC6"/>
    <w:rsid w:val="00577B45"/>
    <w:rsid w:val="005803E6"/>
    <w:rsid w:val="0058089F"/>
    <w:rsid w:val="00580C84"/>
    <w:rsid w:val="00581233"/>
    <w:rsid w:val="00581828"/>
    <w:rsid w:val="005818B2"/>
    <w:rsid w:val="005818DE"/>
    <w:rsid w:val="00581BFD"/>
    <w:rsid w:val="0058253B"/>
    <w:rsid w:val="00582600"/>
    <w:rsid w:val="00582701"/>
    <w:rsid w:val="00583116"/>
    <w:rsid w:val="005849D1"/>
    <w:rsid w:val="00584AF8"/>
    <w:rsid w:val="00584BD3"/>
    <w:rsid w:val="005853FA"/>
    <w:rsid w:val="005854B1"/>
    <w:rsid w:val="005857D0"/>
    <w:rsid w:val="00585A31"/>
    <w:rsid w:val="00585AF5"/>
    <w:rsid w:val="00586A13"/>
    <w:rsid w:val="00586E4E"/>
    <w:rsid w:val="00587117"/>
    <w:rsid w:val="00587846"/>
    <w:rsid w:val="005900CB"/>
    <w:rsid w:val="00590F1F"/>
    <w:rsid w:val="0059107E"/>
    <w:rsid w:val="00591BC7"/>
    <w:rsid w:val="00592D99"/>
    <w:rsid w:val="005932B0"/>
    <w:rsid w:val="005934FA"/>
    <w:rsid w:val="00593C7B"/>
    <w:rsid w:val="0059530D"/>
    <w:rsid w:val="005954F9"/>
    <w:rsid w:val="00595665"/>
    <w:rsid w:val="00597592"/>
    <w:rsid w:val="005A0226"/>
    <w:rsid w:val="005A04EC"/>
    <w:rsid w:val="005A0C8E"/>
    <w:rsid w:val="005A16D5"/>
    <w:rsid w:val="005A1B21"/>
    <w:rsid w:val="005A2219"/>
    <w:rsid w:val="005A26AD"/>
    <w:rsid w:val="005A2E40"/>
    <w:rsid w:val="005A2F5E"/>
    <w:rsid w:val="005A3D8B"/>
    <w:rsid w:val="005A3DAA"/>
    <w:rsid w:val="005A4226"/>
    <w:rsid w:val="005A4BA7"/>
    <w:rsid w:val="005A5589"/>
    <w:rsid w:val="005A5937"/>
    <w:rsid w:val="005A5D16"/>
    <w:rsid w:val="005A6943"/>
    <w:rsid w:val="005A7AC8"/>
    <w:rsid w:val="005A7BBD"/>
    <w:rsid w:val="005B0CF1"/>
    <w:rsid w:val="005B11D0"/>
    <w:rsid w:val="005B1AD8"/>
    <w:rsid w:val="005B296F"/>
    <w:rsid w:val="005B2F5E"/>
    <w:rsid w:val="005B3394"/>
    <w:rsid w:val="005B34AE"/>
    <w:rsid w:val="005B3A0E"/>
    <w:rsid w:val="005B3C06"/>
    <w:rsid w:val="005B3D56"/>
    <w:rsid w:val="005B5C8F"/>
    <w:rsid w:val="005B5EE9"/>
    <w:rsid w:val="005B6A59"/>
    <w:rsid w:val="005B6CB1"/>
    <w:rsid w:val="005B7793"/>
    <w:rsid w:val="005C220A"/>
    <w:rsid w:val="005C28C5"/>
    <w:rsid w:val="005C3303"/>
    <w:rsid w:val="005C3A60"/>
    <w:rsid w:val="005C42E7"/>
    <w:rsid w:val="005C4E8F"/>
    <w:rsid w:val="005C5211"/>
    <w:rsid w:val="005C5308"/>
    <w:rsid w:val="005C57D8"/>
    <w:rsid w:val="005C588C"/>
    <w:rsid w:val="005C6A44"/>
    <w:rsid w:val="005C7512"/>
    <w:rsid w:val="005C758E"/>
    <w:rsid w:val="005C78C8"/>
    <w:rsid w:val="005D06B5"/>
    <w:rsid w:val="005D0986"/>
    <w:rsid w:val="005D0CC7"/>
    <w:rsid w:val="005D1213"/>
    <w:rsid w:val="005D1AFD"/>
    <w:rsid w:val="005D2C07"/>
    <w:rsid w:val="005D2ECE"/>
    <w:rsid w:val="005D3606"/>
    <w:rsid w:val="005D5A80"/>
    <w:rsid w:val="005D6326"/>
    <w:rsid w:val="005D6E24"/>
    <w:rsid w:val="005D6E6D"/>
    <w:rsid w:val="005D6EA1"/>
    <w:rsid w:val="005E06C2"/>
    <w:rsid w:val="005E0E7F"/>
    <w:rsid w:val="005E0FF3"/>
    <w:rsid w:val="005E1430"/>
    <w:rsid w:val="005E1A89"/>
    <w:rsid w:val="005E25A0"/>
    <w:rsid w:val="005E2AF0"/>
    <w:rsid w:val="005E320F"/>
    <w:rsid w:val="005E4213"/>
    <w:rsid w:val="005E4BA2"/>
    <w:rsid w:val="005E529C"/>
    <w:rsid w:val="005E544B"/>
    <w:rsid w:val="005E5506"/>
    <w:rsid w:val="005E6051"/>
    <w:rsid w:val="005E60BB"/>
    <w:rsid w:val="005E6C79"/>
    <w:rsid w:val="005E71FD"/>
    <w:rsid w:val="005E732F"/>
    <w:rsid w:val="005F0326"/>
    <w:rsid w:val="005F11F5"/>
    <w:rsid w:val="005F1735"/>
    <w:rsid w:val="005F1FA4"/>
    <w:rsid w:val="005F2F17"/>
    <w:rsid w:val="005F3352"/>
    <w:rsid w:val="005F360B"/>
    <w:rsid w:val="005F3CF4"/>
    <w:rsid w:val="005F3FE7"/>
    <w:rsid w:val="005F47E0"/>
    <w:rsid w:val="005F4D6C"/>
    <w:rsid w:val="005F50D2"/>
    <w:rsid w:val="005F5263"/>
    <w:rsid w:val="005F55F0"/>
    <w:rsid w:val="005F606A"/>
    <w:rsid w:val="005F6232"/>
    <w:rsid w:val="005F652A"/>
    <w:rsid w:val="005F6A25"/>
    <w:rsid w:val="005F6B83"/>
    <w:rsid w:val="005F6BD5"/>
    <w:rsid w:val="005F708E"/>
    <w:rsid w:val="005F7309"/>
    <w:rsid w:val="005F7385"/>
    <w:rsid w:val="005F7A26"/>
    <w:rsid w:val="005F7EBE"/>
    <w:rsid w:val="00601159"/>
    <w:rsid w:val="00601289"/>
    <w:rsid w:val="00601385"/>
    <w:rsid w:val="00601635"/>
    <w:rsid w:val="00601673"/>
    <w:rsid w:val="00601DC3"/>
    <w:rsid w:val="00602B62"/>
    <w:rsid w:val="00602B88"/>
    <w:rsid w:val="00603579"/>
    <w:rsid w:val="00603A98"/>
    <w:rsid w:val="006041B5"/>
    <w:rsid w:val="006042E3"/>
    <w:rsid w:val="00604912"/>
    <w:rsid w:val="00605179"/>
    <w:rsid w:val="00605277"/>
    <w:rsid w:val="006059DA"/>
    <w:rsid w:val="00605EAB"/>
    <w:rsid w:val="006061E6"/>
    <w:rsid w:val="006063AC"/>
    <w:rsid w:val="006063F5"/>
    <w:rsid w:val="00606D6E"/>
    <w:rsid w:val="0060770C"/>
    <w:rsid w:val="00607EF3"/>
    <w:rsid w:val="0061009B"/>
    <w:rsid w:val="0061072C"/>
    <w:rsid w:val="00611624"/>
    <w:rsid w:val="0061193A"/>
    <w:rsid w:val="00611DEB"/>
    <w:rsid w:val="00611E26"/>
    <w:rsid w:val="00612276"/>
    <w:rsid w:val="00612B17"/>
    <w:rsid w:val="00613265"/>
    <w:rsid w:val="00613293"/>
    <w:rsid w:val="00613B20"/>
    <w:rsid w:val="00614285"/>
    <w:rsid w:val="006159E9"/>
    <w:rsid w:val="0061670D"/>
    <w:rsid w:val="00616DBD"/>
    <w:rsid w:val="00616F94"/>
    <w:rsid w:val="0061703A"/>
    <w:rsid w:val="00617C74"/>
    <w:rsid w:val="0062000D"/>
    <w:rsid w:val="0062110F"/>
    <w:rsid w:val="00621523"/>
    <w:rsid w:val="006216AD"/>
    <w:rsid w:val="006216C2"/>
    <w:rsid w:val="00622E48"/>
    <w:rsid w:val="00623748"/>
    <w:rsid w:val="006244EB"/>
    <w:rsid w:val="00624672"/>
    <w:rsid w:val="00624811"/>
    <w:rsid w:val="006248CB"/>
    <w:rsid w:val="00625A1B"/>
    <w:rsid w:val="00626328"/>
    <w:rsid w:val="00626344"/>
    <w:rsid w:val="0062652D"/>
    <w:rsid w:val="00626B98"/>
    <w:rsid w:val="0062777C"/>
    <w:rsid w:val="00630443"/>
    <w:rsid w:val="006308D7"/>
    <w:rsid w:val="006309DF"/>
    <w:rsid w:val="00630AEE"/>
    <w:rsid w:val="006313B5"/>
    <w:rsid w:val="00633243"/>
    <w:rsid w:val="00633756"/>
    <w:rsid w:val="006339CE"/>
    <w:rsid w:val="006343C2"/>
    <w:rsid w:val="0063444F"/>
    <w:rsid w:val="006347AC"/>
    <w:rsid w:val="00634DB1"/>
    <w:rsid w:val="00635556"/>
    <w:rsid w:val="00635E12"/>
    <w:rsid w:val="006361A2"/>
    <w:rsid w:val="00637194"/>
    <w:rsid w:val="00637287"/>
    <w:rsid w:val="006400D7"/>
    <w:rsid w:val="00640132"/>
    <w:rsid w:val="00640776"/>
    <w:rsid w:val="00640A55"/>
    <w:rsid w:val="00640BDD"/>
    <w:rsid w:val="00642F03"/>
    <w:rsid w:val="00643088"/>
    <w:rsid w:val="00643947"/>
    <w:rsid w:val="00643A4C"/>
    <w:rsid w:val="00643B40"/>
    <w:rsid w:val="00643D8B"/>
    <w:rsid w:val="00644B92"/>
    <w:rsid w:val="00644D9A"/>
    <w:rsid w:val="006453C8"/>
    <w:rsid w:val="00645D11"/>
    <w:rsid w:val="0064633B"/>
    <w:rsid w:val="006464C8"/>
    <w:rsid w:val="0064686B"/>
    <w:rsid w:val="00646F2A"/>
    <w:rsid w:val="00647804"/>
    <w:rsid w:val="006503F1"/>
    <w:rsid w:val="006508E6"/>
    <w:rsid w:val="00650C4F"/>
    <w:rsid w:val="00650CB2"/>
    <w:rsid w:val="00650D2B"/>
    <w:rsid w:val="00651A45"/>
    <w:rsid w:val="00651F74"/>
    <w:rsid w:val="00651FC0"/>
    <w:rsid w:val="00651FFB"/>
    <w:rsid w:val="00652569"/>
    <w:rsid w:val="00652D0B"/>
    <w:rsid w:val="00652E09"/>
    <w:rsid w:val="00653364"/>
    <w:rsid w:val="0065346A"/>
    <w:rsid w:val="00655DBB"/>
    <w:rsid w:val="00656053"/>
    <w:rsid w:val="0065665D"/>
    <w:rsid w:val="006570DC"/>
    <w:rsid w:val="006600E8"/>
    <w:rsid w:val="00660835"/>
    <w:rsid w:val="006608F0"/>
    <w:rsid w:val="00662066"/>
    <w:rsid w:val="00662B15"/>
    <w:rsid w:val="00663430"/>
    <w:rsid w:val="00663620"/>
    <w:rsid w:val="00663D04"/>
    <w:rsid w:val="00663F35"/>
    <w:rsid w:val="00663F3C"/>
    <w:rsid w:val="00664019"/>
    <w:rsid w:val="00664129"/>
    <w:rsid w:val="0066417B"/>
    <w:rsid w:val="006642BD"/>
    <w:rsid w:val="00664F0E"/>
    <w:rsid w:val="00665A51"/>
    <w:rsid w:val="00665CC3"/>
    <w:rsid w:val="00665D2D"/>
    <w:rsid w:val="00666451"/>
    <w:rsid w:val="0066651C"/>
    <w:rsid w:val="00666DB4"/>
    <w:rsid w:val="00667A17"/>
    <w:rsid w:val="00670708"/>
    <w:rsid w:val="00670976"/>
    <w:rsid w:val="00670A03"/>
    <w:rsid w:val="00670A83"/>
    <w:rsid w:val="00670AB5"/>
    <w:rsid w:val="00670DAF"/>
    <w:rsid w:val="00671967"/>
    <w:rsid w:val="00671A91"/>
    <w:rsid w:val="00671E99"/>
    <w:rsid w:val="006723CA"/>
    <w:rsid w:val="006724D2"/>
    <w:rsid w:val="00672685"/>
    <w:rsid w:val="00672FF4"/>
    <w:rsid w:val="006733F2"/>
    <w:rsid w:val="00673DB3"/>
    <w:rsid w:val="00673DFB"/>
    <w:rsid w:val="00674144"/>
    <w:rsid w:val="0067430B"/>
    <w:rsid w:val="00674743"/>
    <w:rsid w:val="006753B1"/>
    <w:rsid w:val="006754C9"/>
    <w:rsid w:val="00676A62"/>
    <w:rsid w:val="00676BCA"/>
    <w:rsid w:val="00676CEA"/>
    <w:rsid w:val="006776A5"/>
    <w:rsid w:val="006778FF"/>
    <w:rsid w:val="0068057B"/>
    <w:rsid w:val="006805B6"/>
    <w:rsid w:val="00680B73"/>
    <w:rsid w:val="006812A8"/>
    <w:rsid w:val="006814E4"/>
    <w:rsid w:val="00681AB9"/>
    <w:rsid w:val="00681F6B"/>
    <w:rsid w:val="006821FF"/>
    <w:rsid w:val="00682559"/>
    <w:rsid w:val="006829F7"/>
    <w:rsid w:val="00682DA3"/>
    <w:rsid w:val="0068327C"/>
    <w:rsid w:val="006834B5"/>
    <w:rsid w:val="00684155"/>
    <w:rsid w:val="0068428F"/>
    <w:rsid w:val="00684C90"/>
    <w:rsid w:val="0068518A"/>
    <w:rsid w:val="00685410"/>
    <w:rsid w:val="0068541B"/>
    <w:rsid w:val="006855FE"/>
    <w:rsid w:val="00685882"/>
    <w:rsid w:val="00685B07"/>
    <w:rsid w:val="006870E2"/>
    <w:rsid w:val="00687A03"/>
    <w:rsid w:val="00690001"/>
    <w:rsid w:val="00690812"/>
    <w:rsid w:val="00690DD1"/>
    <w:rsid w:val="00691817"/>
    <w:rsid w:val="006929FB"/>
    <w:rsid w:val="00692E3D"/>
    <w:rsid w:val="006934CA"/>
    <w:rsid w:val="006937E6"/>
    <w:rsid w:val="00693CA5"/>
    <w:rsid w:val="00693CF2"/>
    <w:rsid w:val="00694E64"/>
    <w:rsid w:val="00695EF3"/>
    <w:rsid w:val="00695FC7"/>
    <w:rsid w:val="0069664C"/>
    <w:rsid w:val="00697053"/>
    <w:rsid w:val="006971BC"/>
    <w:rsid w:val="006974D4"/>
    <w:rsid w:val="00697EE4"/>
    <w:rsid w:val="006A070E"/>
    <w:rsid w:val="006A1345"/>
    <w:rsid w:val="006A170D"/>
    <w:rsid w:val="006A176D"/>
    <w:rsid w:val="006A2455"/>
    <w:rsid w:val="006A30B9"/>
    <w:rsid w:val="006A3278"/>
    <w:rsid w:val="006A384D"/>
    <w:rsid w:val="006A3AC1"/>
    <w:rsid w:val="006A3AF5"/>
    <w:rsid w:val="006A3EDC"/>
    <w:rsid w:val="006A5445"/>
    <w:rsid w:val="006A54D5"/>
    <w:rsid w:val="006A57DF"/>
    <w:rsid w:val="006A65D5"/>
    <w:rsid w:val="006A65EE"/>
    <w:rsid w:val="006B0460"/>
    <w:rsid w:val="006B0785"/>
    <w:rsid w:val="006B1B20"/>
    <w:rsid w:val="006B2F70"/>
    <w:rsid w:val="006B391C"/>
    <w:rsid w:val="006B41F6"/>
    <w:rsid w:val="006B58F0"/>
    <w:rsid w:val="006B5F76"/>
    <w:rsid w:val="006B5FFC"/>
    <w:rsid w:val="006B603D"/>
    <w:rsid w:val="006B67CF"/>
    <w:rsid w:val="006B72F1"/>
    <w:rsid w:val="006C005E"/>
    <w:rsid w:val="006C0E18"/>
    <w:rsid w:val="006C13AC"/>
    <w:rsid w:val="006C1F0D"/>
    <w:rsid w:val="006C229A"/>
    <w:rsid w:val="006C23B8"/>
    <w:rsid w:val="006C2699"/>
    <w:rsid w:val="006C2F78"/>
    <w:rsid w:val="006C36CA"/>
    <w:rsid w:val="006C3930"/>
    <w:rsid w:val="006C3E43"/>
    <w:rsid w:val="006C4D5B"/>
    <w:rsid w:val="006C585D"/>
    <w:rsid w:val="006C5F80"/>
    <w:rsid w:val="006C6694"/>
    <w:rsid w:val="006C6E81"/>
    <w:rsid w:val="006C7545"/>
    <w:rsid w:val="006C764E"/>
    <w:rsid w:val="006C7A66"/>
    <w:rsid w:val="006D02EF"/>
    <w:rsid w:val="006D0A51"/>
    <w:rsid w:val="006D0DA0"/>
    <w:rsid w:val="006D0E5D"/>
    <w:rsid w:val="006D0F51"/>
    <w:rsid w:val="006D12A5"/>
    <w:rsid w:val="006D16CA"/>
    <w:rsid w:val="006D1E4F"/>
    <w:rsid w:val="006D20EC"/>
    <w:rsid w:val="006D2390"/>
    <w:rsid w:val="006D3D31"/>
    <w:rsid w:val="006D4236"/>
    <w:rsid w:val="006D515A"/>
    <w:rsid w:val="006D54C6"/>
    <w:rsid w:val="006D569E"/>
    <w:rsid w:val="006D570C"/>
    <w:rsid w:val="006D5811"/>
    <w:rsid w:val="006D5CE7"/>
    <w:rsid w:val="006D5D17"/>
    <w:rsid w:val="006D7CC9"/>
    <w:rsid w:val="006E1A99"/>
    <w:rsid w:val="006E1FF1"/>
    <w:rsid w:val="006E30D6"/>
    <w:rsid w:val="006E3663"/>
    <w:rsid w:val="006E3BBB"/>
    <w:rsid w:val="006E3C69"/>
    <w:rsid w:val="006E3D33"/>
    <w:rsid w:val="006E4207"/>
    <w:rsid w:val="006E4211"/>
    <w:rsid w:val="006E497D"/>
    <w:rsid w:val="006E56A5"/>
    <w:rsid w:val="006E5B7F"/>
    <w:rsid w:val="006E5F22"/>
    <w:rsid w:val="006E6B41"/>
    <w:rsid w:val="006E6DA8"/>
    <w:rsid w:val="006E771B"/>
    <w:rsid w:val="006F039A"/>
    <w:rsid w:val="006F0F1A"/>
    <w:rsid w:val="006F10A6"/>
    <w:rsid w:val="006F16DF"/>
    <w:rsid w:val="006F1D98"/>
    <w:rsid w:val="006F258A"/>
    <w:rsid w:val="006F2633"/>
    <w:rsid w:val="006F2ADC"/>
    <w:rsid w:val="006F31A9"/>
    <w:rsid w:val="006F3DA7"/>
    <w:rsid w:val="006F4AC5"/>
    <w:rsid w:val="006F4D56"/>
    <w:rsid w:val="006F4F30"/>
    <w:rsid w:val="006F540C"/>
    <w:rsid w:val="006F54DE"/>
    <w:rsid w:val="006F6026"/>
    <w:rsid w:val="006F6CC5"/>
    <w:rsid w:val="006F6EB3"/>
    <w:rsid w:val="006F7106"/>
    <w:rsid w:val="006F7830"/>
    <w:rsid w:val="006F7BA2"/>
    <w:rsid w:val="00700901"/>
    <w:rsid w:val="007013AF"/>
    <w:rsid w:val="007013D9"/>
    <w:rsid w:val="00702010"/>
    <w:rsid w:val="00702B97"/>
    <w:rsid w:val="00704203"/>
    <w:rsid w:val="00706310"/>
    <w:rsid w:val="00706F84"/>
    <w:rsid w:val="00707758"/>
    <w:rsid w:val="007103C5"/>
    <w:rsid w:val="007105D0"/>
    <w:rsid w:val="007106E0"/>
    <w:rsid w:val="00711309"/>
    <w:rsid w:val="007120E5"/>
    <w:rsid w:val="0071235D"/>
    <w:rsid w:val="0071263E"/>
    <w:rsid w:val="00712A7D"/>
    <w:rsid w:val="00713F56"/>
    <w:rsid w:val="00713F92"/>
    <w:rsid w:val="00714CAB"/>
    <w:rsid w:val="00715921"/>
    <w:rsid w:val="00716587"/>
    <w:rsid w:val="00716AC7"/>
    <w:rsid w:val="00717051"/>
    <w:rsid w:val="00717D47"/>
    <w:rsid w:val="0072056F"/>
    <w:rsid w:val="00721625"/>
    <w:rsid w:val="00721B89"/>
    <w:rsid w:val="00723262"/>
    <w:rsid w:val="0072405D"/>
    <w:rsid w:val="007246B7"/>
    <w:rsid w:val="007258BE"/>
    <w:rsid w:val="00726507"/>
    <w:rsid w:val="00726700"/>
    <w:rsid w:val="00726AFB"/>
    <w:rsid w:val="007276D6"/>
    <w:rsid w:val="00727A60"/>
    <w:rsid w:val="00727FAA"/>
    <w:rsid w:val="00730423"/>
    <w:rsid w:val="007304D3"/>
    <w:rsid w:val="00730C07"/>
    <w:rsid w:val="0073252A"/>
    <w:rsid w:val="00734407"/>
    <w:rsid w:val="00734C17"/>
    <w:rsid w:val="00735219"/>
    <w:rsid w:val="00735AF6"/>
    <w:rsid w:val="00735D37"/>
    <w:rsid w:val="00735DBB"/>
    <w:rsid w:val="00736D3B"/>
    <w:rsid w:val="00737092"/>
    <w:rsid w:val="00737CCB"/>
    <w:rsid w:val="007400E7"/>
    <w:rsid w:val="0074035E"/>
    <w:rsid w:val="007405D2"/>
    <w:rsid w:val="00740B61"/>
    <w:rsid w:val="00740BFD"/>
    <w:rsid w:val="00740D42"/>
    <w:rsid w:val="0074104C"/>
    <w:rsid w:val="0074157D"/>
    <w:rsid w:val="00741BB2"/>
    <w:rsid w:val="00741E8F"/>
    <w:rsid w:val="00742A58"/>
    <w:rsid w:val="00742AC0"/>
    <w:rsid w:val="007430CA"/>
    <w:rsid w:val="007431F5"/>
    <w:rsid w:val="0074321E"/>
    <w:rsid w:val="0074352D"/>
    <w:rsid w:val="0074354B"/>
    <w:rsid w:val="007435CE"/>
    <w:rsid w:val="0074416A"/>
    <w:rsid w:val="00744CFC"/>
    <w:rsid w:val="00744D91"/>
    <w:rsid w:val="007455B5"/>
    <w:rsid w:val="00745B4E"/>
    <w:rsid w:val="00745C66"/>
    <w:rsid w:val="00745F75"/>
    <w:rsid w:val="00746291"/>
    <w:rsid w:val="0074687A"/>
    <w:rsid w:val="00746DB3"/>
    <w:rsid w:val="007477F8"/>
    <w:rsid w:val="00747CAC"/>
    <w:rsid w:val="00747ECF"/>
    <w:rsid w:val="00752876"/>
    <w:rsid w:val="0075298D"/>
    <w:rsid w:val="00755405"/>
    <w:rsid w:val="00755827"/>
    <w:rsid w:val="007558B5"/>
    <w:rsid w:val="00755CC2"/>
    <w:rsid w:val="007564A7"/>
    <w:rsid w:val="00756CE8"/>
    <w:rsid w:val="007573C3"/>
    <w:rsid w:val="007600D8"/>
    <w:rsid w:val="00760505"/>
    <w:rsid w:val="0076071D"/>
    <w:rsid w:val="00761076"/>
    <w:rsid w:val="00761F45"/>
    <w:rsid w:val="007620AF"/>
    <w:rsid w:val="007621D1"/>
    <w:rsid w:val="00762DAF"/>
    <w:rsid w:val="0076314A"/>
    <w:rsid w:val="0076329F"/>
    <w:rsid w:val="00763A24"/>
    <w:rsid w:val="00763A9F"/>
    <w:rsid w:val="00763B75"/>
    <w:rsid w:val="0076418F"/>
    <w:rsid w:val="00764E4F"/>
    <w:rsid w:val="00765757"/>
    <w:rsid w:val="00766985"/>
    <w:rsid w:val="00767BA1"/>
    <w:rsid w:val="00767CBB"/>
    <w:rsid w:val="00770DDA"/>
    <w:rsid w:val="00771386"/>
    <w:rsid w:val="00771397"/>
    <w:rsid w:val="00772E59"/>
    <w:rsid w:val="007738E6"/>
    <w:rsid w:val="00773B0A"/>
    <w:rsid w:val="00773B91"/>
    <w:rsid w:val="00773BFD"/>
    <w:rsid w:val="00773F27"/>
    <w:rsid w:val="00774075"/>
    <w:rsid w:val="007745DD"/>
    <w:rsid w:val="007751C5"/>
    <w:rsid w:val="00775EE6"/>
    <w:rsid w:val="00775FDF"/>
    <w:rsid w:val="00776644"/>
    <w:rsid w:val="0077697C"/>
    <w:rsid w:val="007769B9"/>
    <w:rsid w:val="007770CD"/>
    <w:rsid w:val="0078061F"/>
    <w:rsid w:val="00780EAB"/>
    <w:rsid w:val="0078111B"/>
    <w:rsid w:val="00781658"/>
    <w:rsid w:val="00781B3F"/>
    <w:rsid w:val="00781B4D"/>
    <w:rsid w:val="00782883"/>
    <w:rsid w:val="00782BA8"/>
    <w:rsid w:val="007832AC"/>
    <w:rsid w:val="0078560E"/>
    <w:rsid w:val="00785788"/>
    <w:rsid w:val="00785F54"/>
    <w:rsid w:val="00786834"/>
    <w:rsid w:val="007869B4"/>
    <w:rsid w:val="00786CAD"/>
    <w:rsid w:val="00787087"/>
    <w:rsid w:val="00787480"/>
    <w:rsid w:val="007874B9"/>
    <w:rsid w:val="0079016D"/>
    <w:rsid w:val="007907FC"/>
    <w:rsid w:val="00790A06"/>
    <w:rsid w:val="007917D3"/>
    <w:rsid w:val="00793A57"/>
    <w:rsid w:val="00793C7B"/>
    <w:rsid w:val="00793E60"/>
    <w:rsid w:val="00794682"/>
    <w:rsid w:val="00794B43"/>
    <w:rsid w:val="00795486"/>
    <w:rsid w:val="00795A05"/>
    <w:rsid w:val="00795A82"/>
    <w:rsid w:val="007961D4"/>
    <w:rsid w:val="00796813"/>
    <w:rsid w:val="00797132"/>
    <w:rsid w:val="00797AC5"/>
    <w:rsid w:val="007A01CC"/>
    <w:rsid w:val="007A12CD"/>
    <w:rsid w:val="007A1305"/>
    <w:rsid w:val="007A180B"/>
    <w:rsid w:val="007A1E8D"/>
    <w:rsid w:val="007A2709"/>
    <w:rsid w:val="007A28DE"/>
    <w:rsid w:val="007A2B47"/>
    <w:rsid w:val="007A3216"/>
    <w:rsid w:val="007A3402"/>
    <w:rsid w:val="007A3A25"/>
    <w:rsid w:val="007A3CA4"/>
    <w:rsid w:val="007A3EA1"/>
    <w:rsid w:val="007A40B5"/>
    <w:rsid w:val="007A42AA"/>
    <w:rsid w:val="007A42E6"/>
    <w:rsid w:val="007A4363"/>
    <w:rsid w:val="007A4589"/>
    <w:rsid w:val="007A5352"/>
    <w:rsid w:val="007A535E"/>
    <w:rsid w:val="007A5723"/>
    <w:rsid w:val="007A5B61"/>
    <w:rsid w:val="007A6FBD"/>
    <w:rsid w:val="007B0BB8"/>
    <w:rsid w:val="007B0FBD"/>
    <w:rsid w:val="007B1129"/>
    <w:rsid w:val="007B17D3"/>
    <w:rsid w:val="007B1FF4"/>
    <w:rsid w:val="007B230D"/>
    <w:rsid w:val="007B30DA"/>
    <w:rsid w:val="007B3597"/>
    <w:rsid w:val="007B373A"/>
    <w:rsid w:val="007B42F2"/>
    <w:rsid w:val="007B438F"/>
    <w:rsid w:val="007B43F3"/>
    <w:rsid w:val="007B48D2"/>
    <w:rsid w:val="007B5083"/>
    <w:rsid w:val="007B56D5"/>
    <w:rsid w:val="007B596F"/>
    <w:rsid w:val="007B602C"/>
    <w:rsid w:val="007B60DB"/>
    <w:rsid w:val="007B66B9"/>
    <w:rsid w:val="007B73DF"/>
    <w:rsid w:val="007C0499"/>
    <w:rsid w:val="007C129A"/>
    <w:rsid w:val="007C1A67"/>
    <w:rsid w:val="007C1D86"/>
    <w:rsid w:val="007C263E"/>
    <w:rsid w:val="007C2A11"/>
    <w:rsid w:val="007C2DFE"/>
    <w:rsid w:val="007C366E"/>
    <w:rsid w:val="007C36F6"/>
    <w:rsid w:val="007C3C1E"/>
    <w:rsid w:val="007C45D0"/>
    <w:rsid w:val="007C4CD6"/>
    <w:rsid w:val="007C5045"/>
    <w:rsid w:val="007C6D7E"/>
    <w:rsid w:val="007C6FD8"/>
    <w:rsid w:val="007C7597"/>
    <w:rsid w:val="007C76C7"/>
    <w:rsid w:val="007C76C9"/>
    <w:rsid w:val="007C779A"/>
    <w:rsid w:val="007C7E39"/>
    <w:rsid w:val="007D04A2"/>
    <w:rsid w:val="007D0BD6"/>
    <w:rsid w:val="007D0BF5"/>
    <w:rsid w:val="007D1114"/>
    <w:rsid w:val="007D13F6"/>
    <w:rsid w:val="007D1900"/>
    <w:rsid w:val="007D1922"/>
    <w:rsid w:val="007D1B7A"/>
    <w:rsid w:val="007D2088"/>
    <w:rsid w:val="007D2B17"/>
    <w:rsid w:val="007D30DC"/>
    <w:rsid w:val="007D333D"/>
    <w:rsid w:val="007D3645"/>
    <w:rsid w:val="007D3809"/>
    <w:rsid w:val="007D3B7B"/>
    <w:rsid w:val="007D446F"/>
    <w:rsid w:val="007D44B4"/>
    <w:rsid w:val="007D44C6"/>
    <w:rsid w:val="007D4A33"/>
    <w:rsid w:val="007D4E25"/>
    <w:rsid w:val="007D5B34"/>
    <w:rsid w:val="007D6D1A"/>
    <w:rsid w:val="007D6F65"/>
    <w:rsid w:val="007D72B8"/>
    <w:rsid w:val="007D79B5"/>
    <w:rsid w:val="007D7D27"/>
    <w:rsid w:val="007E022E"/>
    <w:rsid w:val="007E0522"/>
    <w:rsid w:val="007E1765"/>
    <w:rsid w:val="007E2344"/>
    <w:rsid w:val="007E2AE8"/>
    <w:rsid w:val="007E2DCB"/>
    <w:rsid w:val="007E3677"/>
    <w:rsid w:val="007E411C"/>
    <w:rsid w:val="007E4140"/>
    <w:rsid w:val="007E41FD"/>
    <w:rsid w:val="007E4460"/>
    <w:rsid w:val="007E4603"/>
    <w:rsid w:val="007E4621"/>
    <w:rsid w:val="007E4973"/>
    <w:rsid w:val="007E5E99"/>
    <w:rsid w:val="007E66C1"/>
    <w:rsid w:val="007E6F6C"/>
    <w:rsid w:val="007E703E"/>
    <w:rsid w:val="007E7CB9"/>
    <w:rsid w:val="007E7F4C"/>
    <w:rsid w:val="007F0DA8"/>
    <w:rsid w:val="007F11DA"/>
    <w:rsid w:val="007F1884"/>
    <w:rsid w:val="007F205A"/>
    <w:rsid w:val="007F28F6"/>
    <w:rsid w:val="007F2AA4"/>
    <w:rsid w:val="007F2DD9"/>
    <w:rsid w:val="007F30C7"/>
    <w:rsid w:val="007F3177"/>
    <w:rsid w:val="007F3181"/>
    <w:rsid w:val="007F3D36"/>
    <w:rsid w:val="007F3F16"/>
    <w:rsid w:val="007F3F36"/>
    <w:rsid w:val="007F4365"/>
    <w:rsid w:val="007F47F8"/>
    <w:rsid w:val="007F4DB3"/>
    <w:rsid w:val="007F4E74"/>
    <w:rsid w:val="007F5236"/>
    <w:rsid w:val="007F6035"/>
    <w:rsid w:val="007F6BF0"/>
    <w:rsid w:val="007F789B"/>
    <w:rsid w:val="007F7C8D"/>
    <w:rsid w:val="0080056D"/>
    <w:rsid w:val="00800948"/>
    <w:rsid w:val="00800DD3"/>
    <w:rsid w:val="00801C7B"/>
    <w:rsid w:val="00802672"/>
    <w:rsid w:val="00802D42"/>
    <w:rsid w:val="00803671"/>
    <w:rsid w:val="00803970"/>
    <w:rsid w:val="00803DEF"/>
    <w:rsid w:val="008046DD"/>
    <w:rsid w:val="00804819"/>
    <w:rsid w:val="00804A9E"/>
    <w:rsid w:val="00805FF6"/>
    <w:rsid w:val="00806685"/>
    <w:rsid w:val="00807640"/>
    <w:rsid w:val="00807681"/>
    <w:rsid w:val="00807B72"/>
    <w:rsid w:val="00807F4E"/>
    <w:rsid w:val="008102F9"/>
    <w:rsid w:val="00810C73"/>
    <w:rsid w:val="00810DD8"/>
    <w:rsid w:val="00811883"/>
    <w:rsid w:val="008120C4"/>
    <w:rsid w:val="008124C4"/>
    <w:rsid w:val="008126BA"/>
    <w:rsid w:val="008126BC"/>
    <w:rsid w:val="00812A43"/>
    <w:rsid w:val="00813BAA"/>
    <w:rsid w:val="00814173"/>
    <w:rsid w:val="008157C6"/>
    <w:rsid w:val="00815E01"/>
    <w:rsid w:val="00816126"/>
    <w:rsid w:val="008162B6"/>
    <w:rsid w:val="008171B3"/>
    <w:rsid w:val="008179E2"/>
    <w:rsid w:val="00821307"/>
    <w:rsid w:val="00821AAF"/>
    <w:rsid w:val="008222B3"/>
    <w:rsid w:val="008225CD"/>
    <w:rsid w:val="008226FE"/>
    <w:rsid w:val="008230E4"/>
    <w:rsid w:val="00823681"/>
    <w:rsid w:val="00823B43"/>
    <w:rsid w:val="008247B3"/>
    <w:rsid w:val="00824AFC"/>
    <w:rsid w:val="00824C90"/>
    <w:rsid w:val="008253FF"/>
    <w:rsid w:val="00825BF8"/>
    <w:rsid w:val="0082618F"/>
    <w:rsid w:val="008263EA"/>
    <w:rsid w:val="00826C2A"/>
    <w:rsid w:val="00827CAA"/>
    <w:rsid w:val="00831957"/>
    <w:rsid w:val="00831BB7"/>
    <w:rsid w:val="00831FD6"/>
    <w:rsid w:val="008326E6"/>
    <w:rsid w:val="00832BF4"/>
    <w:rsid w:val="00833032"/>
    <w:rsid w:val="00833937"/>
    <w:rsid w:val="00833B7A"/>
    <w:rsid w:val="00833D47"/>
    <w:rsid w:val="008352CC"/>
    <w:rsid w:val="0083607C"/>
    <w:rsid w:val="00836E5F"/>
    <w:rsid w:val="008370F8"/>
    <w:rsid w:val="008376A5"/>
    <w:rsid w:val="00837AB4"/>
    <w:rsid w:val="00840A99"/>
    <w:rsid w:val="00840EE1"/>
    <w:rsid w:val="00841006"/>
    <w:rsid w:val="008420D2"/>
    <w:rsid w:val="00842A8C"/>
    <w:rsid w:val="00843564"/>
    <w:rsid w:val="00843A75"/>
    <w:rsid w:val="00843C5D"/>
    <w:rsid w:val="00843FD4"/>
    <w:rsid w:val="0084406D"/>
    <w:rsid w:val="008445E8"/>
    <w:rsid w:val="00844FB6"/>
    <w:rsid w:val="00845099"/>
    <w:rsid w:val="00845465"/>
    <w:rsid w:val="00845494"/>
    <w:rsid w:val="008457D4"/>
    <w:rsid w:val="00845AE4"/>
    <w:rsid w:val="008460EA"/>
    <w:rsid w:val="0084637F"/>
    <w:rsid w:val="00846630"/>
    <w:rsid w:val="008466CA"/>
    <w:rsid w:val="008468ED"/>
    <w:rsid w:val="00846D0E"/>
    <w:rsid w:val="00847163"/>
    <w:rsid w:val="00847218"/>
    <w:rsid w:val="008472F8"/>
    <w:rsid w:val="008474EE"/>
    <w:rsid w:val="008479E8"/>
    <w:rsid w:val="00850E7E"/>
    <w:rsid w:val="0085197D"/>
    <w:rsid w:val="00851EEC"/>
    <w:rsid w:val="00852068"/>
    <w:rsid w:val="00852E97"/>
    <w:rsid w:val="008530D4"/>
    <w:rsid w:val="008537AE"/>
    <w:rsid w:val="00853C5E"/>
    <w:rsid w:val="00853FB2"/>
    <w:rsid w:val="008551FA"/>
    <w:rsid w:val="00855D7E"/>
    <w:rsid w:val="008564EF"/>
    <w:rsid w:val="00856BA6"/>
    <w:rsid w:val="00860F85"/>
    <w:rsid w:val="00861236"/>
    <w:rsid w:val="0086173A"/>
    <w:rsid w:val="00861985"/>
    <w:rsid w:val="008619EB"/>
    <w:rsid w:val="00861FD4"/>
    <w:rsid w:val="00862A94"/>
    <w:rsid w:val="00863014"/>
    <w:rsid w:val="00863359"/>
    <w:rsid w:val="00863460"/>
    <w:rsid w:val="0086347B"/>
    <w:rsid w:val="008634C4"/>
    <w:rsid w:val="00863AFD"/>
    <w:rsid w:val="00863D07"/>
    <w:rsid w:val="00863DD9"/>
    <w:rsid w:val="008649DC"/>
    <w:rsid w:val="00864DD9"/>
    <w:rsid w:val="00865477"/>
    <w:rsid w:val="0086573B"/>
    <w:rsid w:val="00865A07"/>
    <w:rsid w:val="008671FF"/>
    <w:rsid w:val="00867794"/>
    <w:rsid w:val="00867924"/>
    <w:rsid w:val="00867B53"/>
    <w:rsid w:val="0087001C"/>
    <w:rsid w:val="00870194"/>
    <w:rsid w:val="00871092"/>
    <w:rsid w:val="008723DF"/>
    <w:rsid w:val="008738F3"/>
    <w:rsid w:val="00875817"/>
    <w:rsid w:val="00876FC0"/>
    <w:rsid w:val="008774A8"/>
    <w:rsid w:val="00877CA2"/>
    <w:rsid w:val="00880418"/>
    <w:rsid w:val="00880567"/>
    <w:rsid w:val="008819AD"/>
    <w:rsid w:val="008819C8"/>
    <w:rsid w:val="00882223"/>
    <w:rsid w:val="00882351"/>
    <w:rsid w:val="00883413"/>
    <w:rsid w:val="0088417D"/>
    <w:rsid w:val="00884E45"/>
    <w:rsid w:val="00885066"/>
    <w:rsid w:val="008850E9"/>
    <w:rsid w:val="008857D3"/>
    <w:rsid w:val="00885CAC"/>
    <w:rsid w:val="008860CE"/>
    <w:rsid w:val="008870D0"/>
    <w:rsid w:val="00887215"/>
    <w:rsid w:val="00887F40"/>
    <w:rsid w:val="0089002A"/>
    <w:rsid w:val="008902DE"/>
    <w:rsid w:val="008903C5"/>
    <w:rsid w:val="008903E0"/>
    <w:rsid w:val="00890495"/>
    <w:rsid w:val="008905F8"/>
    <w:rsid w:val="0089094C"/>
    <w:rsid w:val="00891132"/>
    <w:rsid w:val="008914E8"/>
    <w:rsid w:val="00891588"/>
    <w:rsid w:val="00892109"/>
    <w:rsid w:val="0089214F"/>
    <w:rsid w:val="00892844"/>
    <w:rsid w:val="00892ADD"/>
    <w:rsid w:val="00893129"/>
    <w:rsid w:val="0089349A"/>
    <w:rsid w:val="008945D7"/>
    <w:rsid w:val="00895725"/>
    <w:rsid w:val="008961A3"/>
    <w:rsid w:val="00896236"/>
    <w:rsid w:val="00896652"/>
    <w:rsid w:val="00896C55"/>
    <w:rsid w:val="008971D8"/>
    <w:rsid w:val="00897353"/>
    <w:rsid w:val="008A00E8"/>
    <w:rsid w:val="008A06B3"/>
    <w:rsid w:val="008A1D6C"/>
    <w:rsid w:val="008A2057"/>
    <w:rsid w:val="008A23B5"/>
    <w:rsid w:val="008A295B"/>
    <w:rsid w:val="008A2EFF"/>
    <w:rsid w:val="008A39EA"/>
    <w:rsid w:val="008A3A8E"/>
    <w:rsid w:val="008A43B5"/>
    <w:rsid w:val="008A46E5"/>
    <w:rsid w:val="008A4B66"/>
    <w:rsid w:val="008A4D92"/>
    <w:rsid w:val="008A4DB1"/>
    <w:rsid w:val="008A4F2A"/>
    <w:rsid w:val="008A53D3"/>
    <w:rsid w:val="008A548A"/>
    <w:rsid w:val="008A5BAB"/>
    <w:rsid w:val="008A6B64"/>
    <w:rsid w:val="008A7250"/>
    <w:rsid w:val="008A770D"/>
    <w:rsid w:val="008A781B"/>
    <w:rsid w:val="008A7899"/>
    <w:rsid w:val="008A7E05"/>
    <w:rsid w:val="008A7F7C"/>
    <w:rsid w:val="008B01F7"/>
    <w:rsid w:val="008B1293"/>
    <w:rsid w:val="008B1A13"/>
    <w:rsid w:val="008B1EF9"/>
    <w:rsid w:val="008B238E"/>
    <w:rsid w:val="008B26A7"/>
    <w:rsid w:val="008B3622"/>
    <w:rsid w:val="008B3CE3"/>
    <w:rsid w:val="008B496B"/>
    <w:rsid w:val="008B4AB5"/>
    <w:rsid w:val="008B4CA5"/>
    <w:rsid w:val="008B4D26"/>
    <w:rsid w:val="008B5954"/>
    <w:rsid w:val="008B6D3B"/>
    <w:rsid w:val="008B72D5"/>
    <w:rsid w:val="008B77D0"/>
    <w:rsid w:val="008B7ACA"/>
    <w:rsid w:val="008B7FD3"/>
    <w:rsid w:val="008C018D"/>
    <w:rsid w:val="008C04C7"/>
    <w:rsid w:val="008C0BB5"/>
    <w:rsid w:val="008C16E2"/>
    <w:rsid w:val="008C17DA"/>
    <w:rsid w:val="008C36B3"/>
    <w:rsid w:val="008C4359"/>
    <w:rsid w:val="008C46DB"/>
    <w:rsid w:val="008C46F2"/>
    <w:rsid w:val="008C4BED"/>
    <w:rsid w:val="008C5D3F"/>
    <w:rsid w:val="008C6934"/>
    <w:rsid w:val="008C69E3"/>
    <w:rsid w:val="008C70B8"/>
    <w:rsid w:val="008C722B"/>
    <w:rsid w:val="008D00CD"/>
    <w:rsid w:val="008D0919"/>
    <w:rsid w:val="008D10DF"/>
    <w:rsid w:val="008D1FC6"/>
    <w:rsid w:val="008D29D7"/>
    <w:rsid w:val="008D56D7"/>
    <w:rsid w:val="008D5777"/>
    <w:rsid w:val="008D5871"/>
    <w:rsid w:val="008D679F"/>
    <w:rsid w:val="008D7A03"/>
    <w:rsid w:val="008E0530"/>
    <w:rsid w:val="008E072A"/>
    <w:rsid w:val="008E0A7A"/>
    <w:rsid w:val="008E0A7B"/>
    <w:rsid w:val="008E1571"/>
    <w:rsid w:val="008E1F4C"/>
    <w:rsid w:val="008E26F5"/>
    <w:rsid w:val="008E2AAA"/>
    <w:rsid w:val="008E312A"/>
    <w:rsid w:val="008E35B5"/>
    <w:rsid w:val="008E3F33"/>
    <w:rsid w:val="008E42D0"/>
    <w:rsid w:val="008E4559"/>
    <w:rsid w:val="008E4A75"/>
    <w:rsid w:val="008E4C79"/>
    <w:rsid w:val="008E56C4"/>
    <w:rsid w:val="008E5A61"/>
    <w:rsid w:val="008E627A"/>
    <w:rsid w:val="008E630B"/>
    <w:rsid w:val="008E68E0"/>
    <w:rsid w:val="008E7699"/>
    <w:rsid w:val="008E7DEE"/>
    <w:rsid w:val="008F1EA5"/>
    <w:rsid w:val="008F1FA1"/>
    <w:rsid w:val="008F27FC"/>
    <w:rsid w:val="008F28B8"/>
    <w:rsid w:val="008F324A"/>
    <w:rsid w:val="008F372F"/>
    <w:rsid w:val="008F3A38"/>
    <w:rsid w:val="008F3FB7"/>
    <w:rsid w:val="008F415A"/>
    <w:rsid w:val="008F4481"/>
    <w:rsid w:val="008F48BE"/>
    <w:rsid w:val="008F4C91"/>
    <w:rsid w:val="008F4F3F"/>
    <w:rsid w:val="008F549F"/>
    <w:rsid w:val="008F6797"/>
    <w:rsid w:val="008F6A43"/>
    <w:rsid w:val="008F72CA"/>
    <w:rsid w:val="008F7F15"/>
    <w:rsid w:val="00900142"/>
    <w:rsid w:val="0090031A"/>
    <w:rsid w:val="00900673"/>
    <w:rsid w:val="00900DD1"/>
    <w:rsid w:val="009014E2"/>
    <w:rsid w:val="0090174B"/>
    <w:rsid w:val="0090180A"/>
    <w:rsid w:val="00901FD7"/>
    <w:rsid w:val="00902691"/>
    <w:rsid w:val="009027D3"/>
    <w:rsid w:val="00902B89"/>
    <w:rsid w:val="00903CF8"/>
    <w:rsid w:val="00903D66"/>
    <w:rsid w:val="00903E88"/>
    <w:rsid w:val="00903F64"/>
    <w:rsid w:val="009049A4"/>
    <w:rsid w:val="00904E9E"/>
    <w:rsid w:val="00905049"/>
    <w:rsid w:val="0090541A"/>
    <w:rsid w:val="00905AE9"/>
    <w:rsid w:val="00905CDD"/>
    <w:rsid w:val="00906C18"/>
    <w:rsid w:val="00906F21"/>
    <w:rsid w:val="0090732E"/>
    <w:rsid w:val="00907772"/>
    <w:rsid w:val="00907F61"/>
    <w:rsid w:val="00910088"/>
    <w:rsid w:val="00910435"/>
    <w:rsid w:val="00910548"/>
    <w:rsid w:val="0091064A"/>
    <w:rsid w:val="009108EE"/>
    <w:rsid w:val="00910B14"/>
    <w:rsid w:val="00910E5A"/>
    <w:rsid w:val="009119AC"/>
    <w:rsid w:val="00912C6B"/>
    <w:rsid w:val="009137A6"/>
    <w:rsid w:val="00913805"/>
    <w:rsid w:val="0091405E"/>
    <w:rsid w:val="0091405F"/>
    <w:rsid w:val="009142AE"/>
    <w:rsid w:val="00914A22"/>
    <w:rsid w:val="00914C36"/>
    <w:rsid w:val="0091586E"/>
    <w:rsid w:val="009158BB"/>
    <w:rsid w:val="00915953"/>
    <w:rsid w:val="00916BE3"/>
    <w:rsid w:val="00916BF5"/>
    <w:rsid w:val="009170EA"/>
    <w:rsid w:val="00917E40"/>
    <w:rsid w:val="0092084A"/>
    <w:rsid w:val="009209A2"/>
    <w:rsid w:val="00920C5C"/>
    <w:rsid w:val="00921B03"/>
    <w:rsid w:val="00922333"/>
    <w:rsid w:val="00922979"/>
    <w:rsid w:val="00923531"/>
    <w:rsid w:val="00925611"/>
    <w:rsid w:val="00926124"/>
    <w:rsid w:val="00927895"/>
    <w:rsid w:val="009300E7"/>
    <w:rsid w:val="0093096B"/>
    <w:rsid w:val="00930CE3"/>
    <w:rsid w:val="009310E2"/>
    <w:rsid w:val="00931410"/>
    <w:rsid w:val="00932058"/>
    <w:rsid w:val="00932833"/>
    <w:rsid w:val="009332E6"/>
    <w:rsid w:val="00933368"/>
    <w:rsid w:val="0093354C"/>
    <w:rsid w:val="0093384E"/>
    <w:rsid w:val="0093462A"/>
    <w:rsid w:val="009348A2"/>
    <w:rsid w:val="00934A8C"/>
    <w:rsid w:val="00935262"/>
    <w:rsid w:val="009352E2"/>
    <w:rsid w:val="00936142"/>
    <w:rsid w:val="00936434"/>
    <w:rsid w:val="0093648C"/>
    <w:rsid w:val="0093663C"/>
    <w:rsid w:val="009369DA"/>
    <w:rsid w:val="00937868"/>
    <w:rsid w:val="0094019F"/>
    <w:rsid w:val="00940492"/>
    <w:rsid w:val="00940502"/>
    <w:rsid w:val="00941121"/>
    <w:rsid w:val="00941318"/>
    <w:rsid w:val="00941815"/>
    <w:rsid w:val="00941DFB"/>
    <w:rsid w:val="0094214A"/>
    <w:rsid w:val="00942845"/>
    <w:rsid w:val="009434C8"/>
    <w:rsid w:val="0094427A"/>
    <w:rsid w:val="00944A13"/>
    <w:rsid w:val="009451E4"/>
    <w:rsid w:val="009451FA"/>
    <w:rsid w:val="00946BD2"/>
    <w:rsid w:val="009470B3"/>
    <w:rsid w:val="0094715B"/>
    <w:rsid w:val="009473D8"/>
    <w:rsid w:val="00947AF1"/>
    <w:rsid w:val="0095023F"/>
    <w:rsid w:val="00950302"/>
    <w:rsid w:val="00950503"/>
    <w:rsid w:val="0095063A"/>
    <w:rsid w:val="0095188D"/>
    <w:rsid w:val="00951C34"/>
    <w:rsid w:val="00951EDE"/>
    <w:rsid w:val="0095243B"/>
    <w:rsid w:val="00952A19"/>
    <w:rsid w:val="009531BF"/>
    <w:rsid w:val="0095338A"/>
    <w:rsid w:val="009544D0"/>
    <w:rsid w:val="009544F9"/>
    <w:rsid w:val="00954D48"/>
    <w:rsid w:val="00954E3E"/>
    <w:rsid w:val="00954F83"/>
    <w:rsid w:val="00955F54"/>
    <w:rsid w:val="009564A1"/>
    <w:rsid w:val="009569FF"/>
    <w:rsid w:val="00957582"/>
    <w:rsid w:val="00957DBD"/>
    <w:rsid w:val="00960183"/>
    <w:rsid w:val="009601F2"/>
    <w:rsid w:val="0096033C"/>
    <w:rsid w:val="00960769"/>
    <w:rsid w:val="00960B23"/>
    <w:rsid w:val="00960BE9"/>
    <w:rsid w:val="0096129C"/>
    <w:rsid w:val="00961301"/>
    <w:rsid w:val="0096144A"/>
    <w:rsid w:val="00961508"/>
    <w:rsid w:val="009617B4"/>
    <w:rsid w:val="00961AC0"/>
    <w:rsid w:val="00962508"/>
    <w:rsid w:val="00962EFD"/>
    <w:rsid w:val="0096310B"/>
    <w:rsid w:val="009634E9"/>
    <w:rsid w:val="00964437"/>
    <w:rsid w:val="009646CC"/>
    <w:rsid w:val="0096473D"/>
    <w:rsid w:val="009648BE"/>
    <w:rsid w:val="00964CCF"/>
    <w:rsid w:val="00964EAA"/>
    <w:rsid w:val="009653EE"/>
    <w:rsid w:val="00966312"/>
    <w:rsid w:val="00966765"/>
    <w:rsid w:val="00967DF7"/>
    <w:rsid w:val="00970A1E"/>
    <w:rsid w:val="00970BFF"/>
    <w:rsid w:val="0097179A"/>
    <w:rsid w:val="009719AE"/>
    <w:rsid w:val="00971F19"/>
    <w:rsid w:val="009722AA"/>
    <w:rsid w:val="00972401"/>
    <w:rsid w:val="00972B1C"/>
    <w:rsid w:val="00972B36"/>
    <w:rsid w:val="00972D41"/>
    <w:rsid w:val="009732A6"/>
    <w:rsid w:val="00973528"/>
    <w:rsid w:val="00973850"/>
    <w:rsid w:val="00974285"/>
    <w:rsid w:val="00974B86"/>
    <w:rsid w:val="00974E69"/>
    <w:rsid w:val="00975882"/>
    <w:rsid w:val="00976B48"/>
    <w:rsid w:val="00977B9C"/>
    <w:rsid w:val="0098083B"/>
    <w:rsid w:val="00981326"/>
    <w:rsid w:val="00981953"/>
    <w:rsid w:val="00981D34"/>
    <w:rsid w:val="00983116"/>
    <w:rsid w:val="00983C4D"/>
    <w:rsid w:val="00984181"/>
    <w:rsid w:val="009845BF"/>
    <w:rsid w:val="00984E26"/>
    <w:rsid w:val="009867E6"/>
    <w:rsid w:val="00987182"/>
    <w:rsid w:val="00987475"/>
    <w:rsid w:val="009878DA"/>
    <w:rsid w:val="00987C1B"/>
    <w:rsid w:val="00990083"/>
    <w:rsid w:val="00990187"/>
    <w:rsid w:val="00990740"/>
    <w:rsid w:val="00991011"/>
    <w:rsid w:val="0099140E"/>
    <w:rsid w:val="009914D6"/>
    <w:rsid w:val="00991C15"/>
    <w:rsid w:val="00991CA8"/>
    <w:rsid w:val="00992608"/>
    <w:rsid w:val="00992B11"/>
    <w:rsid w:val="00992C06"/>
    <w:rsid w:val="00993066"/>
    <w:rsid w:val="009930CE"/>
    <w:rsid w:val="0099320A"/>
    <w:rsid w:val="00993A74"/>
    <w:rsid w:val="009941BC"/>
    <w:rsid w:val="00994C4F"/>
    <w:rsid w:val="00994C5B"/>
    <w:rsid w:val="00995853"/>
    <w:rsid w:val="00996A9B"/>
    <w:rsid w:val="00996CE6"/>
    <w:rsid w:val="00996F94"/>
    <w:rsid w:val="0099754C"/>
    <w:rsid w:val="009A0F9C"/>
    <w:rsid w:val="009A1213"/>
    <w:rsid w:val="009A12B5"/>
    <w:rsid w:val="009A1508"/>
    <w:rsid w:val="009A1D2B"/>
    <w:rsid w:val="009A29DD"/>
    <w:rsid w:val="009A3BCD"/>
    <w:rsid w:val="009A411F"/>
    <w:rsid w:val="009A41A2"/>
    <w:rsid w:val="009A4B1E"/>
    <w:rsid w:val="009A4D6A"/>
    <w:rsid w:val="009A4E38"/>
    <w:rsid w:val="009A61BC"/>
    <w:rsid w:val="009B0A30"/>
    <w:rsid w:val="009B0BC5"/>
    <w:rsid w:val="009B0DA9"/>
    <w:rsid w:val="009B221C"/>
    <w:rsid w:val="009B224F"/>
    <w:rsid w:val="009B2252"/>
    <w:rsid w:val="009B311E"/>
    <w:rsid w:val="009B31BB"/>
    <w:rsid w:val="009B36D0"/>
    <w:rsid w:val="009B401B"/>
    <w:rsid w:val="009B5050"/>
    <w:rsid w:val="009B51B8"/>
    <w:rsid w:val="009B569A"/>
    <w:rsid w:val="009B5B8D"/>
    <w:rsid w:val="009B7375"/>
    <w:rsid w:val="009B790E"/>
    <w:rsid w:val="009C0103"/>
    <w:rsid w:val="009C01B1"/>
    <w:rsid w:val="009C1104"/>
    <w:rsid w:val="009C15BD"/>
    <w:rsid w:val="009C1B3A"/>
    <w:rsid w:val="009C2AAF"/>
    <w:rsid w:val="009C39E8"/>
    <w:rsid w:val="009C4DCB"/>
    <w:rsid w:val="009C521A"/>
    <w:rsid w:val="009C5627"/>
    <w:rsid w:val="009C674B"/>
    <w:rsid w:val="009C6984"/>
    <w:rsid w:val="009C7A87"/>
    <w:rsid w:val="009C7F40"/>
    <w:rsid w:val="009D04CB"/>
    <w:rsid w:val="009D0D41"/>
    <w:rsid w:val="009D0DA9"/>
    <w:rsid w:val="009D108C"/>
    <w:rsid w:val="009D153A"/>
    <w:rsid w:val="009D19BB"/>
    <w:rsid w:val="009D20C9"/>
    <w:rsid w:val="009D266B"/>
    <w:rsid w:val="009D26E8"/>
    <w:rsid w:val="009D38D9"/>
    <w:rsid w:val="009D3ACD"/>
    <w:rsid w:val="009D3C26"/>
    <w:rsid w:val="009D54CE"/>
    <w:rsid w:val="009D5512"/>
    <w:rsid w:val="009D5792"/>
    <w:rsid w:val="009D5F5A"/>
    <w:rsid w:val="009D736D"/>
    <w:rsid w:val="009D7CE8"/>
    <w:rsid w:val="009E0104"/>
    <w:rsid w:val="009E07F8"/>
    <w:rsid w:val="009E0D1D"/>
    <w:rsid w:val="009E1438"/>
    <w:rsid w:val="009E2383"/>
    <w:rsid w:val="009E25FC"/>
    <w:rsid w:val="009E2C5C"/>
    <w:rsid w:val="009E313C"/>
    <w:rsid w:val="009E3253"/>
    <w:rsid w:val="009E3725"/>
    <w:rsid w:val="009E4590"/>
    <w:rsid w:val="009E463C"/>
    <w:rsid w:val="009E475A"/>
    <w:rsid w:val="009E4BC3"/>
    <w:rsid w:val="009E4C1C"/>
    <w:rsid w:val="009E5AED"/>
    <w:rsid w:val="009E5C98"/>
    <w:rsid w:val="009E5FAD"/>
    <w:rsid w:val="009E6FE2"/>
    <w:rsid w:val="009E7570"/>
    <w:rsid w:val="009E7F99"/>
    <w:rsid w:val="009F00EF"/>
    <w:rsid w:val="009F05FF"/>
    <w:rsid w:val="009F08EC"/>
    <w:rsid w:val="009F2108"/>
    <w:rsid w:val="009F2439"/>
    <w:rsid w:val="009F2A15"/>
    <w:rsid w:val="009F464A"/>
    <w:rsid w:val="009F5065"/>
    <w:rsid w:val="009F5448"/>
    <w:rsid w:val="009F5F1F"/>
    <w:rsid w:val="009F6F6E"/>
    <w:rsid w:val="00A011C4"/>
    <w:rsid w:val="00A01BF4"/>
    <w:rsid w:val="00A027EE"/>
    <w:rsid w:val="00A02D19"/>
    <w:rsid w:val="00A02F15"/>
    <w:rsid w:val="00A03892"/>
    <w:rsid w:val="00A04257"/>
    <w:rsid w:val="00A04482"/>
    <w:rsid w:val="00A04924"/>
    <w:rsid w:val="00A04C6F"/>
    <w:rsid w:val="00A0525B"/>
    <w:rsid w:val="00A0757E"/>
    <w:rsid w:val="00A07691"/>
    <w:rsid w:val="00A0787C"/>
    <w:rsid w:val="00A101E3"/>
    <w:rsid w:val="00A105C6"/>
    <w:rsid w:val="00A10A67"/>
    <w:rsid w:val="00A10DCB"/>
    <w:rsid w:val="00A11251"/>
    <w:rsid w:val="00A11B35"/>
    <w:rsid w:val="00A12F70"/>
    <w:rsid w:val="00A139DB"/>
    <w:rsid w:val="00A13D0F"/>
    <w:rsid w:val="00A13E39"/>
    <w:rsid w:val="00A14354"/>
    <w:rsid w:val="00A14E53"/>
    <w:rsid w:val="00A1520D"/>
    <w:rsid w:val="00A159F5"/>
    <w:rsid w:val="00A1677C"/>
    <w:rsid w:val="00A16CDA"/>
    <w:rsid w:val="00A17272"/>
    <w:rsid w:val="00A17C39"/>
    <w:rsid w:val="00A20B44"/>
    <w:rsid w:val="00A212B5"/>
    <w:rsid w:val="00A218EE"/>
    <w:rsid w:val="00A22633"/>
    <w:rsid w:val="00A23AE0"/>
    <w:rsid w:val="00A23ECE"/>
    <w:rsid w:val="00A240D3"/>
    <w:rsid w:val="00A240DF"/>
    <w:rsid w:val="00A2413B"/>
    <w:rsid w:val="00A24772"/>
    <w:rsid w:val="00A24B07"/>
    <w:rsid w:val="00A26240"/>
    <w:rsid w:val="00A26628"/>
    <w:rsid w:val="00A267C9"/>
    <w:rsid w:val="00A26FB1"/>
    <w:rsid w:val="00A27F26"/>
    <w:rsid w:val="00A30231"/>
    <w:rsid w:val="00A30FEA"/>
    <w:rsid w:val="00A31D11"/>
    <w:rsid w:val="00A321C3"/>
    <w:rsid w:val="00A32CD7"/>
    <w:rsid w:val="00A32FE3"/>
    <w:rsid w:val="00A34BA6"/>
    <w:rsid w:val="00A35332"/>
    <w:rsid w:val="00A35688"/>
    <w:rsid w:val="00A35931"/>
    <w:rsid w:val="00A36A8C"/>
    <w:rsid w:val="00A372F3"/>
    <w:rsid w:val="00A402BF"/>
    <w:rsid w:val="00A4075E"/>
    <w:rsid w:val="00A42E45"/>
    <w:rsid w:val="00A43C1A"/>
    <w:rsid w:val="00A43DCD"/>
    <w:rsid w:val="00A44732"/>
    <w:rsid w:val="00A44880"/>
    <w:rsid w:val="00A44C14"/>
    <w:rsid w:val="00A44E72"/>
    <w:rsid w:val="00A456BE"/>
    <w:rsid w:val="00A477F9"/>
    <w:rsid w:val="00A47BE9"/>
    <w:rsid w:val="00A50CC4"/>
    <w:rsid w:val="00A510A4"/>
    <w:rsid w:val="00A51861"/>
    <w:rsid w:val="00A51E1E"/>
    <w:rsid w:val="00A52511"/>
    <w:rsid w:val="00A525CB"/>
    <w:rsid w:val="00A533F5"/>
    <w:rsid w:val="00A53848"/>
    <w:rsid w:val="00A54164"/>
    <w:rsid w:val="00A55ADC"/>
    <w:rsid w:val="00A55BCF"/>
    <w:rsid w:val="00A5685E"/>
    <w:rsid w:val="00A56872"/>
    <w:rsid w:val="00A56A9C"/>
    <w:rsid w:val="00A600B8"/>
    <w:rsid w:val="00A602A9"/>
    <w:rsid w:val="00A6040C"/>
    <w:rsid w:val="00A604DA"/>
    <w:rsid w:val="00A608C3"/>
    <w:rsid w:val="00A6092D"/>
    <w:rsid w:val="00A60A35"/>
    <w:rsid w:val="00A60A4F"/>
    <w:rsid w:val="00A61AD8"/>
    <w:rsid w:val="00A62C79"/>
    <w:rsid w:val="00A62D5A"/>
    <w:rsid w:val="00A630F4"/>
    <w:rsid w:val="00A63E47"/>
    <w:rsid w:val="00A6409A"/>
    <w:rsid w:val="00A64EB6"/>
    <w:rsid w:val="00A65126"/>
    <w:rsid w:val="00A654C2"/>
    <w:rsid w:val="00A655C0"/>
    <w:rsid w:val="00A65CC1"/>
    <w:rsid w:val="00A6668A"/>
    <w:rsid w:val="00A66980"/>
    <w:rsid w:val="00A66CBF"/>
    <w:rsid w:val="00A67A1E"/>
    <w:rsid w:val="00A67A22"/>
    <w:rsid w:val="00A67F7D"/>
    <w:rsid w:val="00A7131D"/>
    <w:rsid w:val="00A71501"/>
    <w:rsid w:val="00A716DE"/>
    <w:rsid w:val="00A724F8"/>
    <w:rsid w:val="00A727BE"/>
    <w:rsid w:val="00A737A5"/>
    <w:rsid w:val="00A73ECE"/>
    <w:rsid w:val="00A74011"/>
    <w:rsid w:val="00A74557"/>
    <w:rsid w:val="00A7548C"/>
    <w:rsid w:val="00A76BAD"/>
    <w:rsid w:val="00A771E9"/>
    <w:rsid w:val="00A7796D"/>
    <w:rsid w:val="00A80488"/>
    <w:rsid w:val="00A80DF4"/>
    <w:rsid w:val="00A812D0"/>
    <w:rsid w:val="00A82680"/>
    <w:rsid w:val="00A82877"/>
    <w:rsid w:val="00A83694"/>
    <w:rsid w:val="00A83BCD"/>
    <w:rsid w:val="00A83C89"/>
    <w:rsid w:val="00A83F75"/>
    <w:rsid w:val="00A843DB"/>
    <w:rsid w:val="00A84CFE"/>
    <w:rsid w:val="00A85AA9"/>
    <w:rsid w:val="00A86235"/>
    <w:rsid w:val="00A86AC6"/>
    <w:rsid w:val="00A900E5"/>
    <w:rsid w:val="00A906B9"/>
    <w:rsid w:val="00A9111F"/>
    <w:rsid w:val="00A914CB"/>
    <w:rsid w:val="00A918E3"/>
    <w:rsid w:val="00A91A20"/>
    <w:rsid w:val="00A91EBC"/>
    <w:rsid w:val="00A922E9"/>
    <w:rsid w:val="00A92437"/>
    <w:rsid w:val="00A92873"/>
    <w:rsid w:val="00A935B0"/>
    <w:rsid w:val="00A93773"/>
    <w:rsid w:val="00A93B75"/>
    <w:rsid w:val="00A94243"/>
    <w:rsid w:val="00A942D0"/>
    <w:rsid w:val="00A94440"/>
    <w:rsid w:val="00A9470E"/>
    <w:rsid w:val="00A94BC1"/>
    <w:rsid w:val="00A95539"/>
    <w:rsid w:val="00A956A8"/>
    <w:rsid w:val="00A97105"/>
    <w:rsid w:val="00A979F8"/>
    <w:rsid w:val="00A97B61"/>
    <w:rsid w:val="00A97D22"/>
    <w:rsid w:val="00AA046C"/>
    <w:rsid w:val="00AA080B"/>
    <w:rsid w:val="00AA0CC8"/>
    <w:rsid w:val="00AA0D68"/>
    <w:rsid w:val="00AA0DA4"/>
    <w:rsid w:val="00AA1814"/>
    <w:rsid w:val="00AA1B0E"/>
    <w:rsid w:val="00AA1DCD"/>
    <w:rsid w:val="00AA21FC"/>
    <w:rsid w:val="00AA2FD1"/>
    <w:rsid w:val="00AA363F"/>
    <w:rsid w:val="00AA3AAD"/>
    <w:rsid w:val="00AA458A"/>
    <w:rsid w:val="00AA5C9F"/>
    <w:rsid w:val="00AB0547"/>
    <w:rsid w:val="00AB0AA6"/>
    <w:rsid w:val="00AB14D4"/>
    <w:rsid w:val="00AB1719"/>
    <w:rsid w:val="00AB1897"/>
    <w:rsid w:val="00AB1D4B"/>
    <w:rsid w:val="00AB2B0C"/>
    <w:rsid w:val="00AB2E04"/>
    <w:rsid w:val="00AB32A0"/>
    <w:rsid w:val="00AB3B57"/>
    <w:rsid w:val="00AB3DB0"/>
    <w:rsid w:val="00AB3F1D"/>
    <w:rsid w:val="00AB417F"/>
    <w:rsid w:val="00AB41BD"/>
    <w:rsid w:val="00AB4377"/>
    <w:rsid w:val="00AB485F"/>
    <w:rsid w:val="00AB4B8D"/>
    <w:rsid w:val="00AB541E"/>
    <w:rsid w:val="00AB6F9C"/>
    <w:rsid w:val="00AC06A9"/>
    <w:rsid w:val="00AC0BCF"/>
    <w:rsid w:val="00AC21E9"/>
    <w:rsid w:val="00AC404A"/>
    <w:rsid w:val="00AC4076"/>
    <w:rsid w:val="00AC4515"/>
    <w:rsid w:val="00AC4857"/>
    <w:rsid w:val="00AC4DC7"/>
    <w:rsid w:val="00AC50E0"/>
    <w:rsid w:val="00AC6244"/>
    <w:rsid w:val="00AC641F"/>
    <w:rsid w:val="00AC681F"/>
    <w:rsid w:val="00AC6908"/>
    <w:rsid w:val="00AC69C8"/>
    <w:rsid w:val="00AC79BF"/>
    <w:rsid w:val="00AC7A2C"/>
    <w:rsid w:val="00AD003C"/>
    <w:rsid w:val="00AD06F7"/>
    <w:rsid w:val="00AD0719"/>
    <w:rsid w:val="00AD0C05"/>
    <w:rsid w:val="00AD0E8C"/>
    <w:rsid w:val="00AD2CF1"/>
    <w:rsid w:val="00AD2F2B"/>
    <w:rsid w:val="00AD3570"/>
    <w:rsid w:val="00AD3B0B"/>
    <w:rsid w:val="00AD3DD7"/>
    <w:rsid w:val="00AD3FD8"/>
    <w:rsid w:val="00AD4138"/>
    <w:rsid w:val="00AD4463"/>
    <w:rsid w:val="00AD5C35"/>
    <w:rsid w:val="00AD5DF2"/>
    <w:rsid w:val="00AD61C1"/>
    <w:rsid w:val="00AD6B3D"/>
    <w:rsid w:val="00AD6C33"/>
    <w:rsid w:val="00AD7D86"/>
    <w:rsid w:val="00AE037D"/>
    <w:rsid w:val="00AE09A1"/>
    <w:rsid w:val="00AE09DB"/>
    <w:rsid w:val="00AE233C"/>
    <w:rsid w:val="00AE2447"/>
    <w:rsid w:val="00AE2964"/>
    <w:rsid w:val="00AE2F3D"/>
    <w:rsid w:val="00AE3046"/>
    <w:rsid w:val="00AE33BA"/>
    <w:rsid w:val="00AE48FF"/>
    <w:rsid w:val="00AE516B"/>
    <w:rsid w:val="00AE600D"/>
    <w:rsid w:val="00AE7341"/>
    <w:rsid w:val="00AF091C"/>
    <w:rsid w:val="00AF122E"/>
    <w:rsid w:val="00AF2085"/>
    <w:rsid w:val="00AF2304"/>
    <w:rsid w:val="00AF2395"/>
    <w:rsid w:val="00AF306C"/>
    <w:rsid w:val="00AF489E"/>
    <w:rsid w:val="00AF4A6E"/>
    <w:rsid w:val="00AF5314"/>
    <w:rsid w:val="00AF53DE"/>
    <w:rsid w:val="00AF570C"/>
    <w:rsid w:val="00AF57E4"/>
    <w:rsid w:val="00AF592B"/>
    <w:rsid w:val="00AF5CE4"/>
    <w:rsid w:val="00AF61E8"/>
    <w:rsid w:val="00AF731E"/>
    <w:rsid w:val="00B00E0E"/>
    <w:rsid w:val="00B01687"/>
    <w:rsid w:val="00B01F2F"/>
    <w:rsid w:val="00B022F2"/>
    <w:rsid w:val="00B0235F"/>
    <w:rsid w:val="00B02815"/>
    <w:rsid w:val="00B0421A"/>
    <w:rsid w:val="00B0474F"/>
    <w:rsid w:val="00B04F00"/>
    <w:rsid w:val="00B054DB"/>
    <w:rsid w:val="00B05EF0"/>
    <w:rsid w:val="00B05F3E"/>
    <w:rsid w:val="00B0668D"/>
    <w:rsid w:val="00B071C8"/>
    <w:rsid w:val="00B0735A"/>
    <w:rsid w:val="00B07659"/>
    <w:rsid w:val="00B10712"/>
    <w:rsid w:val="00B10A1A"/>
    <w:rsid w:val="00B12BBC"/>
    <w:rsid w:val="00B13738"/>
    <w:rsid w:val="00B13945"/>
    <w:rsid w:val="00B13D8A"/>
    <w:rsid w:val="00B1418A"/>
    <w:rsid w:val="00B14EDF"/>
    <w:rsid w:val="00B14F89"/>
    <w:rsid w:val="00B152F2"/>
    <w:rsid w:val="00B16013"/>
    <w:rsid w:val="00B161DC"/>
    <w:rsid w:val="00B16319"/>
    <w:rsid w:val="00B1655B"/>
    <w:rsid w:val="00B165DF"/>
    <w:rsid w:val="00B17942"/>
    <w:rsid w:val="00B17C56"/>
    <w:rsid w:val="00B17F3E"/>
    <w:rsid w:val="00B2010C"/>
    <w:rsid w:val="00B2068D"/>
    <w:rsid w:val="00B20D08"/>
    <w:rsid w:val="00B21EC6"/>
    <w:rsid w:val="00B22457"/>
    <w:rsid w:val="00B224AE"/>
    <w:rsid w:val="00B22842"/>
    <w:rsid w:val="00B2286E"/>
    <w:rsid w:val="00B238D2"/>
    <w:rsid w:val="00B239E3"/>
    <w:rsid w:val="00B249B3"/>
    <w:rsid w:val="00B24C10"/>
    <w:rsid w:val="00B25D6F"/>
    <w:rsid w:val="00B25E42"/>
    <w:rsid w:val="00B2619A"/>
    <w:rsid w:val="00B278E5"/>
    <w:rsid w:val="00B301EC"/>
    <w:rsid w:val="00B3063C"/>
    <w:rsid w:val="00B30958"/>
    <w:rsid w:val="00B310B7"/>
    <w:rsid w:val="00B31129"/>
    <w:rsid w:val="00B312F6"/>
    <w:rsid w:val="00B315B1"/>
    <w:rsid w:val="00B320B7"/>
    <w:rsid w:val="00B324D4"/>
    <w:rsid w:val="00B33555"/>
    <w:rsid w:val="00B33A2C"/>
    <w:rsid w:val="00B33BBF"/>
    <w:rsid w:val="00B33E8A"/>
    <w:rsid w:val="00B34124"/>
    <w:rsid w:val="00B35235"/>
    <w:rsid w:val="00B357D4"/>
    <w:rsid w:val="00B36928"/>
    <w:rsid w:val="00B36B87"/>
    <w:rsid w:val="00B4009B"/>
    <w:rsid w:val="00B400EB"/>
    <w:rsid w:val="00B4238E"/>
    <w:rsid w:val="00B42633"/>
    <w:rsid w:val="00B429C3"/>
    <w:rsid w:val="00B433B2"/>
    <w:rsid w:val="00B43822"/>
    <w:rsid w:val="00B4400C"/>
    <w:rsid w:val="00B44502"/>
    <w:rsid w:val="00B44651"/>
    <w:rsid w:val="00B44AA4"/>
    <w:rsid w:val="00B44D8D"/>
    <w:rsid w:val="00B4508C"/>
    <w:rsid w:val="00B457D7"/>
    <w:rsid w:val="00B47166"/>
    <w:rsid w:val="00B4716E"/>
    <w:rsid w:val="00B5048F"/>
    <w:rsid w:val="00B50638"/>
    <w:rsid w:val="00B50C27"/>
    <w:rsid w:val="00B50DB1"/>
    <w:rsid w:val="00B50E08"/>
    <w:rsid w:val="00B5139B"/>
    <w:rsid w:val="00B51F6E"/>
    <w:rsid w:val="00B52770"/>
    <w:rsid w:val="00B52EEC"/>
    <w:rsid w:val="00B52FEF"/>
    <w:rsid w:val="00B53D1D"/>
    <w:rsid w:val="00B53DF2"/>
    <w:rsid w:val="00B53E88"/>
    <w:rsid w:val="00B54C0C"/>
    <w:rsid w:val="00B56A8C"/>
    <w:rsid w:val="00B57015"/>
    <w:rsid w:val="00B5740B"/>
    <w:rsid w:val="00B5799B"/>
    <w:rsid w:val="00B61075"/>
    <w:rsid w:val="00B618A1"/>
    <w:rsid w:val="00B6214D"/>
    <w:rsid w:val="00B621D0"/>
    <w:rsid w:val="00B62971"/>
    <w:rsid w:val="00B63D6A"/>
    <w:rsid w:val="00B63F4C"/>
    <w:rsid w:val="00B65895"/>
    <w:rsid w:val="00B66A2D"/>
    <w:rsid w:val="00B670AE"/>
    <w:rsid w:val="00B67C17"/>
    <w:rsid w:val="00B70588"/>
    <w:rsid w:val="00B70AB5"/>
    <w:rsid w:val="00B71CA3"/>
    <w:rsid w:val="00B71E23"/>
    <w:rsid w:val="00B7237A"/>
    <w:rsid w:val="00B72738"/>
    <w:rsid w:val="00B72E08"/>
    <w:rsid w:val="00B7330C"/>
    <w:rsid w:val="00B73DC1"/>
    <w:rsid w:val="00B74124"/>
    <w:rsid w:val="00B7456B"/>
    <w:rsid w:val="00B7544A"/>
    <w:rsid w:val="00B75D57"/>
    <w:rsid w:val="00B76E47"/>
    <w:rsid w:val="00B77242"/>
    <w:rsid w:val="00B77362"/>
    <w:rsid w:val="00B77587"/>
    <w:rsid w:val="00B77703"/>
    <w:rsid w:val="00B80407"/>
    <w:rsid w:val="00B805A5"/>
    <w:rsid w:val="00B8291D"/>
    <w:rsid w:val="00B82DB4"/>
    <w:rsid w:val="00B82E1E"/>
    <w:rsid w:val="00B83826"/>
    <w:rsid w:val="00B8383A"/>
    <w:rsid w:val="00B84304"/>
    <w:rsid w:val="00B84379"/>
    <w:rsid w:val="00B84EBC"/>
    <w:rsid w:val="00B850C4"/>
    <w:rsid w:val="00B85E11"/>
    <w:rsid w:val="00B8656C"/>
    <w:rsid w:val="00B86579"/>
    <w:rsid w:val="00B86C12"/>
    <w:rsid w:val="00B86F73"/>
    <w:rsid w:val="00B877EF"/>
    <w:rsid w:val="00B87923"/>
    <w:rsid w:val="00B87A4E"/>
    <w:rsid w:val="00B87F6A"/>
    <w:rsid w:val="00B9081A"/>
    <w:rsid w:val="00B90A26"/>
    <w:rsid w:val="00B90B48"/>
    <w:rsid w:val="00B912BB"/>
    <w:rsid w:val="00B92B3C"/>
    <w:rsid w:val="00B92C9C"/>
    <w:rsid w:val="00B92CAD"/>
    <w:rsid w:val="00B932E9"/>
    <w:rsid w:val="00B93A1D"/>
    <w:rsid w:val="00B94332"/>
    <w:rsid w:val="00B94501"/>
    <w:rsid w:val="00B94D38"/>
    <w:rsid w:val="00B94E30"/>
    <w:rsid w:val="00B959D1"/>
    <w:rsid w:val="00B96AA8"/>
    <w:rsid w:val="00B96EDA"/>
    <w:rsid w:val="00B975C2"/>
    <w:rsid w:val="00BA07D3"/>
    <w:rsid w:val="00BA0825"/>
    <w:rsid w:val="00BA0C8D"/>
    <w:rsid w:val="00BA18B3"/>
    <w:rsid w:val="00BA19C8"/>
    <w:rsid w:val="00BA1BE4"/>
    <w:rsid w:val="00BA1C48"/>
    <w:rsid w:val="00BA21FB"/>
    <w:rsid w:val="00BA3CB7"/>
    <w:rsid w:val="00BA42CA"/>
    <w:rsid w:val="00BA4707"/>
    <w:rsid w:val="00BA4D2E"/>
    <w:rsid w:val="00BA5817"/>
    <w:rsid w:val="00BA68C8"/>
    <w:rsid w:val="00BA690F"/>
    <w:rsid w:val="00BA7370"/>
    <w:rsid w:val="00BA7706"/>
    <w:rsid w:val="00BA7830"/>
    <w:rsid w:val="00BA7A90"/>
    <w:rsid w:val="00BA7DB9"/>
    <w:rsid w:val="00BB09A0"/>
    <w:rsid w:val="00BB1208"/>
    <w:rsid w:val="00BB1803"/>
    <w:rsid w:val="00BB2CBD"/>
    <w:rsid w:val="00BB3797"/>
    <w:rsid w:val="00BB3E1E"/>
    <w:rsid w:val="00BB470A"/>
    <w:rsid w:val="00BB5A57"/>
    <w:rsid w:val="00BB5D89"/>
    <w:rsid w:val="00BB5DC7"/>
    <w:rsid w:val="00BB5F94"/>
    <w:rsid w:val="00BB6E2F"/>
    <w:rsid w:val="00BB6F47"/>
    <w:rsid w:val="00BB7022"/>
    <w:rsid w:val="00BB7023"/>
    <w:rsid w:val="00BB75BB"/>
    <w:rsid w:val="00BB75D9"/>
    <w:rsid w:val="00BB77A6"/>
    <w:rsid w:val="00BC0724"/>
    <w:rsid w:val="00BC088A"/>
    <w:rsid w:val="00BC0B6E"/>
    <w:rsid w:val="00BC0F64"/>
    <w:rsid w:val="00BC17A2"/>
    <w:rsid w:val="00BC1CEF"/>
    <w:rsid w:val="00BC1F78"/>
    <w:rsid w:val="00BC2294"/>
    <w:rsid w:val="00BC309F"/>
    <w:rsid w:val="00BC349E"/>
    <w:rsid w:val="00BC34F1"/>
    <w:rsid w:val="00BC3D98"/>
    <w:rsid w:val="00BC4049"/>
    <w:rsid w:val="00BC40C2"/>
    <w:rsid w:val="00BC4228"/>
    <w:rsid w:val="00BC57AD"/>
    <w:rsid w:val="00BC5EE8"/>
    <w:rsid w:val="00BC755A"/>
    <w:rsid w:val="00BC7CE3"/>
    <w:rsid w:val="00BD0BC2"/>
    <w:rsid w:val="00BD0C55"/>
    <w:rsid w:val="00BD1885"/>
    <w:rsid w:val="00BD25F4"/>
    <w:rsid w:val="00BD28F9"/>
    <w:rsid w:val="00BD2E27"/>
    <w:rsid w:val="00BD40D8"/>
    <w:rsid w:val="00BD5223"/>
    <w:rsid w:val="00BD59F6"/>
    <w:rsid w:val="00BD6B60"/>
    <w:rsid w:val="00BD7855"/>
    <w:rsid w:val="00BD7CE2"/>
    <w:rsid w:val="00BE0FCB"/>
    <w:rsid w:val="00BE14F0"/>
    <w:rsid w:val="00BE1B7A"/>
    <w:rsid w:val="00BE1DFA"/>
    <w:rsid w:val="00BE2763"/>
    <w:rsid w:val="00BE280C"/>
    <w:rsid w:val="00BE3176"/>
    <w:rsid w:val="00BE3A74"/>
    <w:rsid w:val="00BE54CD"/>
    <w:rsid w:val="00BE6299"/>
    <w:rsid w:val="00BE65A5"/>
    <w:rsid w:val="00BE6C99"/>
    <w:rsid w:val="00BE7589"/>
    <w:rsid w:val="00BF0136"/>
    <w:rsid w:val="00BF01DE"/>
    <w:rsid w:val="00BF14FE"/>
    <w:rsid w:val="00BF182B"/>
    <w:rsid w:val="00BF2590"/>
    <w:rsid w:val="00BF29D8"/>
    <w:rsid w:val="00BF2B79"/>
    <w:rsid w:val="00BF2ED2"/>
    <w:rsid w:val="00BF2F60"/>
    <w:rsid w:val="00BF36D2"/>
    <w:rsid w:val="00BF3FEB"/>
    <w:rsid w:val="00BF527E"/>
    <w:rsid w:val="00BF54EA"/>
    <w:rsid w:val="00BF6630"/>
    <w:rsid w:val="00BF7325"/>
    <w:rsid w:val="00C00228"/>
    <w:rsid w:val="00C004B1"/>
    <w:rsid w:val="00C00868"/>
    <w:rsid w:val="00C00939"/>
    <w:rsid w:val="00C00E0E"/>
    <w:rsid w:val="00C018C6"/>
    <w:rsid w:val="00C01946"/>
    <w:rsid w:val="00C0210B"/>
    <w:rsid w:val="00C03168"/>
    <w:rsid w:val="00C0335C"/>
    <w:rsid w:val="00C03A6B"/>
    <w:rsid w:val="00C03DFE"/>
    <w:rsid w:val="00C044D3"/>
    <w:rsid w:val="00C049B8"/>
    <w:rsid w:val="00C05033"/>
    <w:rsid w:val="00C051B2"/>
    <w:rsid w:val="00C05C93"/>
    <w:rsid w:val="00C065C4"/>
    <w:rsid w:val="00C06922"/>
    <w:rsid w:val="00C06CC9"/>
    <w:rsid w:val="00C07B45"/>
    <w:rsid w:val="00C07D7A"/>
    <w:rsid w:val="00C10107"/>
    <w:rsid w:val="00C101F2"/>
    <w:rsid w:val="00C10857"/>
    <w:rsid w:val="00C112BF"/>
    <w:rsid w:val="00C112CA"/>
    <w:rsid w:val="00C121F6"/>
    <w:rsid w:val="00C12FD3"/>
    <w:rsid w:val="00C13374"/>
    <w:rsid w:val="00C13549"/>
    <w:rsid w:val="00C14FBF"/>
    <w:rsid w:val="00C1576A"/>
    <w:rsid w:val="00C166D7"/>
    <w:rsid w:val="00C16986"/>
    <w:rsid w:val="00C16AD0"/>
    <w:rsid w:val="00C16EE2"/>
    <w:rsid w:val="00C20442"/>
    <w:rsid w:val="00C205C1"/>
    <w:rsid w:val="00C215B3"/>
    <w:rsid w:val="00C21A53"/>
    <w:rsid w:val="00C24328"/>
    <w:rsid w:val="00C2507C"/>
    <w:rsid w:val="00C261A1"/>
    <w:rsid w:val="00C27016"/>
    <w:rsid w:val="00C27385"/>
    <w:rsid w:val="00C30662"/>
    <w:rsid w:val="00C309AE"/>
    <w:rsid w:val="00C31135"/>
    <w:rsid w:val="00C3154C"/>
    <w:rsid w:val="00C31A82"/>
    <w:rsid w:val="00C3293A"/>
    <w:rsid w:val="00C32F96"/>
    <w:rsid w:val="00C33D60"/>
    <w:rsid w:val="00C33F2E"/>
    <w:rsid w:val="00C34CB9"/>
    <w:rsid w:val="00C34F11"/>
    <w:rsid w:val="00C35428"/>
    <w:rsid w:val="00C35452"/>
    <w:rsid w:val="00C3555D"/>
    <w:rsid w:val="00C369D8"/>
    <w:rsid w:val="00C36DA5"/>
    <w:rsid w:val="00C40E6F"/>
    <w:rsid w:val="00C40FDF"/>
    <w:rsid w:val="00C411D5"/>
    <w:rsid w:val="00C41BD9"/>
    <w:rsid w:val="00C42012"/>
    <w:rsid w:val="00C42849"/>
    <w:rsid w:val="00C42EDC"/>
    <w:rsid w:val="00C433ED"/>
    <w:rsid w:val="00C43DB5"/>
    <w:rsid w:val="00C4462B"/>
    <w:rsid w:val="00C44C42"/>
    <w:rsid w:val="00C45B54"/>
    <w:rsid w:val="00C4773D"/>
    <w:rsid w:val="00C505DA"/>
    <w:rsid w:val="00C50683"/>
    <w:rsid w:val="00C507D7"/>
    <w:rsid w:val="00C51026"/>
    <w:rsid w:val="00C5129B"/>
    <w:rsid w:val="00C5141E"/>
    <w:rsid w:val="00C51547"/>
    <w:rsid w:val="00C51A2F"/>
    <w:rsid w:val="00C51AB1"/>
    <w:rsid w:val="00C5242D"/>
    <w:rsid w:val="00C52B15"/>
    <w:rsid w:val="00C52BC6"/>
    <w:rsid w:val="00C52CAE"/>
    <w:rsid w:val="00C52F02"/>
    <w:rsid w:val="00C5303F"/>
    <w:rsid w:val="00C53646"/>
    <w:rsid w:val="00C53F46"/>
    <w:rsid w:val="00C5451A"/>
    <w:rsid w:val="00C54A36"/>
    <w:rsid w:val="00C55638"/>
    <w:rsid w:val="00C56051"/>
    <w:rsid w:val="00C5623C"/>
    <w:rsid w:val="00C56298"/>
    <w:rsid w:val="00C57734"/>
    <w:rsid w:val="00C6024C"/>
    <w:rsid w:val="00C6092F"/>
    <w:rsid w:val="00C60BC9"/>
    <w:rsid w:val="00C60D22"/>
    <w:rsid w:val="00C613CE"/>
    <w:rsid w:val="00C618F7"/>
    <w:rsid w:val="00C61E3F"/>
    <w:rsid w:val="00C6329F"/>
    <w:rsid w:val="00C63D46"/>
    <w:rsid w:val="00C63FCB"/>
    <w:rsid w:val="00C646B9"/>
    <w:rsid w:val="00C6505A"/>
    <w:rsid w:val="00C66445"/>
    <w:rsid w:val="00C664AD"/>
    <w:rsid w:val="00C66720"/>
    <w:rsid w:val="00C66B2B"/>
    <w:rsid w:val="00C66D06"/>
    <w:rsid w:val="00C6716C"/>
    <w:rsid w:val="00C703F7"/>
    <w:rsid w:val="00C704B9"/>
    <w:rsid w:val="00C7097B"/>
    <w:rsid w:val="00C71267"/>
    <w:rsid w:val="00C717C7"/>
    <w:rsid w:val="00C71C71"/>
    <w:rsid w:val="00C73735"/>
    <w:rsid w:val="00C73B40"/>
    <w:rsid w:val="00C73C7F"/>
    <w:rsid w:val="00C73D28"/>
    <w:rsid w:val="00C73FEF"/>
    <w:rsid w:val="00C74456"/>
    <w:rsid w:val="00C74BE1"/>
    <w:rsid w:val="00C74C4A"/>
    <w:rsid w:val="00C751ED"/>
    <w:rsid w:val="00C7582B"/>
    <w:rsid w:val="00C75AD4"/>
    <w:rsid w:val="00C75BE6"/>
    <w:rsid w:val="00C76334"/>
    <w:rsid w:val="00C76E25"/>
    <w:rsid w:val="00C771B9"/>
    <w:rsid w:val="00C7734B"/>
    <w:rsid w:val="00C779D4"/>
    <w:rsid w:val="00C802DC"/>
    <w:rsid w:val="00C80FBD"/>
    <w:rsid w:val="00C8108C"/>
    <w:rsid w:val="00C81CB7"/>
    <w:rsid w:val="00C83032"/>
    <w:rsid w:val="00C83EB5"/>
    <w:rsid w:val="00C84676"/>
    <w:rsid w:val="00C850FB"/>
    <w:rsid w:val="00C8512D"/>
    <w:rsid w:val="00C85B21"/>
    <w:rsid w:val="00C85B3A"/>
    <w:rsid w:val="00C86061"/>
    <w:rsid w:val="00C86C82"/>
    <w:rsid w:val="00C86E1C"/>
    <w:rsid w:val="00C87B57"/>
    <w:rsid w:val="00C909B4"/>
    <w:rsid w:val="00C90BFA"/>
    <w:rsid w:val="00C90E55"/>
    <w:rsid w:val="00C91413"/>
    <w:rsid w:val="00C9168C"/>
    <w:rsid w:val="00C91BD1"/>
    <w:rsid w:val="00C92157"/>
    <w:rsid w:val="00C92181"/>
    <w:rsid w:val="00C92910"/>
    <w:rsid w:val="00C93586"/>
    <w:rsid w:val="00C93F61"/>
    <w:rsid w:val="00C93F69"/>
    <w:rsid w:val="00C946B0"/>
    <w:rsid w:val="00C94789"/>
    <w:rsid w:val="00C959D6"/>
    <w:rsid w:val="00C95BE7"/>
    <w:rsid w:val="00C95D4E"/>
    <w:rsid w:val="00C95EAC"/>
    <w:rsid w:val="00C962F1"/>
    <w:rsid w:val="00C96702"/>
    <w:rsid w:val="00C96A6D"/>
    <w:rsid w:val="00C974B3"/>
    <w:rsid w:val="00C978D0"/>
    <w:rsid w:val="00CA0293"/>
    <w:rsid w:val="00CA03C3"/>
    <w:rsid w:val="00CA0608"/>
    <w:rsid w:val="00CA073B"/>
    <w:rsid w:val="00CA2479"/>
    <w:rsid w:val="00CA2958"/>
    <w:rsid w:val="00CA2D4A"/>
    <w:rsid w:val="00CA46A1"/>
    <w:rsid w:val="00CA4B61"/>
    <w:rsid w:val="00CA4C27"/>
    <w:rsid w:val="00CA4FA8"/>
    <w:rsid w:val="00CA5182"/>
    <w:rsid w:val="00CA55CB"/>
    <w:rsid w:val="00CB0397"/>
    <w:rsid w:val="00CB0CF4"/>
    <w:rsid w:val="00CB0FD0"/>
    <w:rsid w:val="00CB15AA"/>
    <w:rsid w:val="00CB1CC4"/>
    <w:rsid w:val="00CB31E3"/>
    <w:rsid w:val="00CB3A57"/>
    <w:rsid w:val="00CB442F"/>
    <w:rsid w:val="00CB473B"/>
    <w:rsid w:val="00CB4E13"/>
    <w:rsid w:val="00CB6A1B"/>
    <w:rsid w:val="00CB730E"/>
    <w:rsid w:val="00CB776D"/>
    <w:rsid w:val="00CB7B77"/>
    <w:rsid w:val="00CC079D"/>
    <w:rsid w:val="00CC09E3"/>
    <w:rsid w:val="00CC0F0B"/>
    <w:rsid w:val="00CC1174"/>
    <w:rsid w:val="00CC2C3A"/>
    <w:rsid w:val="00CC35FA"/>
    <w:rsid w:val="00CC3D9E"/>
    <w:rsid w:val="00CC4AC2"/>
    <w:rsid w:val="00CC4BBA"/>
    <w:rsid w:val="00CC4F14"/>
    <w:rsid w:val="00CC6CDE"/>
    <w:rsid w:val="00CC6E11"/>
    <w:rsid w:val="00CC755F"/>
    <w:rsid w:val="00CD0064"/>
    <w:rsid w:val="00CD041D"/>
    <w:rsid w:val="00CD0D6A"/>
    <w:rsid w:val="00CD147A"/>
    <w:rsid w:val="00CD2A41"/>
    <w:rsid w:val="00CD2AEC"/>
    <w:rsid w:val="00CD43EE"/>
    <w:rsid w:val="00CD6CB4"/>
    <w:rsid w:val="00CD7375"/>
    <w:rsid w:val="00CE015B"/>
    <w:rsid w:val="00CE08F4"/>
    <w:rsid w:val="00CE14FB"/>
    <w:rsid w:val="00CE21A0"/>
    <w:rsid w:val="00CE2793"/>
    <w:rsid w:val="00CE2946"/>
    <w:rsid w:val="00CE2AEB"/>
    <w:rsid w:val="00CE2B78"/>
    <w:rsid w:val="00CE301C"/>
    <w:rsid w:val="00CE33EC"/>
    <w:rsid w:val="00CE355B"/>
    <w:rsid w:val="00CE4812"/>
    <w:rsid w:val="00CE54E3"/>
    <w:rsid w:val="00CE591F"/>
    <w:rsid w:val="00CE59E8"/>
    <w:rsid w:val="00CE5B5E"/>
    <w:rsid w:val="00CE63E0"/>
    <w:rsid w:val="00CE72DC"/>
    <w:rsid w:val="00CE7569"/>
    <w:rsid w:val="00CE7919"/>
    <w:rsid w:val="00CF020D"/>
    <w:rsid w:val="00CF0497"/>
    <w:rsid w:val="00CF074E"/>
    <w:rsid w:val="00CF0813"/>
    <w:rsid w:val="00CF0D9D"/>
    <w:rsid w:val="00CF0F27"/>
    <w:rsid w:val="00CF1333"/>
    <w:rsid w:val="00CF1517"/>
    <w:rsid w:val="00CF2533"/>
    <w:rsid w:val="00CF2C67"/>
    <w:rsid w:val="00CF2D49"/>
    <w:rsid w:val="00CF3043"/>
    <w:rsid w:val="00CF3576"/>
    <w:rsid w:val="00CF3691"/>
    <w:rsid w:val="00CF3BE7"/>
    <w:rsid w:val="00CF55A4"/>
    <w:rsid w:val="00CF560E"/>
    <w:rsid w:val="00CF5794"/>
    <w:rsid w:val="00CF590A"/>
    <w:rsid w:val="00CF5FC3"/>
    <w:rsid w:val="00CF5FD4"/>
    <w:rsid w:val="00CF672B"/>
    <w:rsid w:val="00CF6C93"/>
    <w:rsid w:val="00CF7225"/>
    <w:rsid w:val="00CF76BB"/>
    <w:rsid w:val="00D00EB7"/>
    <w:rsid w:val="00D01470"/>
    <w:rsid w:val="00D01625"/>
    <w:rsid w:val="00D01AD3"/>
    <w:rsid w:val="00D01B4B"/>
    <w:rsid w:val="00D02722"/>
    <w:rsid w:val="00D02770"/>
    <w:rsid w:val="00D0351B"/>
    <w:rsid w:val="00D03E9D"/>
    <w:rsid w:val="00D052E3"/>
    <w:rsid w:val="00D056DE"/>
    <w:rsid w:val="00D0580C"/>
    <w:rsid w:val="00D05E8D"/>
    <w:rsid w:val="00D061B1"/>
    <w:rsid w:val="00D06546"/>
    <w:rsid w:val="00D06706"/>
    <w:rsid w:val="00D06A38"/>
    <w:rsid w:val="00D06E28"/>
    <w:rsid w:val="00D06F62"/>
    <w:rsid w:val="00D07855"/>
    <w:rsid w:val="00D07B9C"/>
    <w:rsid w:val="00D07C97"/>
    <w:rsid w:val="00D07CFE"/>
    <w:rsid w:val="00D1012E"/>
    <w:rsid w:val="00D125D8"/>
    <w:rsid w:val="00D12A97"/>
    <w:rsid w:val="00D134AE"/>
    <w:rsid w:val="00D14055"/>
    <w:rsid w:val="00D14540"/>
    <w:rsid w:val="00D14626"/>
    <w:rsid w:val="00D1483F"/>
    <w:rsid w:val="00D15818"/>
    <w:rsid w:val="00D159FA"/>
    <w:rsid w:val="00D17316"/>
    <w:rsid w:val="00D17A45"/>
    <w:rsid w:val="00D2128E"/>
    <w:rsid w:val="00D21766"/>
    <w:rsid w:val="00D21D94"/>
    <w:rsid w:val="00D229BD"/>
    <w:rsid w:val="00D22B53"/>
    <w:rsid w:val="00D22BE6"/>
    <w:rsid w:val="00D22F03"/>
    <w:rsid w:val="00D22FB1"/>
    <w:rsid w:val="00D2327F"/>
    <w:rsid w:val="00D233EA"/>
    <w:rsid w:val="00D23567"/>
    <w:rsid w:val="00D23693"/>
    <w:rsid w:val="00D242FC"/>
    <w:rsid w:val="00D243A4"/>
    <w:rsid w:val="00D24807"/>
    <w:rsid w:val="00D249B6"/>
    <w:rsid w:val="00D2596C"/>
    <w:rsid w:val="00D25FDD"/>
    <w:rsid w:val="00D26045"/>
    <w:rsid w:val="00D2678A"/>
    <w:rsid w:val="00D26BE8"/>
    <w:rsid w:val="00D270E4"/>
    <w:rsid w:val="00D306D5"/>
    <w:rsid w:val="00D30916"/>
    <w:rsid w:val="00D30A3E"/>
    <w:rsid w:val="00D30AAC"/>
    <w:rsid w:val="00D31DBF"/>
    <w:rsid w:val="00D31FAF"/>
    <w:rsid w:val="00D3200E"/>
    <w:rsid w:val="00D32B45"/>
    <w:rsid w:val="00D32DBB"/>
    <w:rsid w:val="00D33458"/>
    <w:rsid w:val="00D3462E"/>
    <w:rsid w:val="00D34E3D"/>
    <w:rsid w:val="00D350E7"/>
    <w:rsid w:val="00D3531D"/>
    <w:rsid w:val="00D3590D"/>
    <w:rsid w:val="00D3646D"/>
    <w:rsid w:val="00D37E10"/>
    <w:rsid w:val="00D403C6"/>
    <w:rsid w:val="00D40779"/>
    <w:rsid w:val="00D40901"/>
    <w:rsid w:val="00D40CF3"/>
    <w:rsid w:val="00D411E5"/>
    <w:rsid w:val="00D41748"/>
    <w:rsid w:val="00D41E3A"/>
    <w:rsid w:val="00D42105"/>
    <w:rsid w:val="00D428C9"/>
    <w:rsid w:val="00D42BEE"/>
    <w:rsid w:val="00D42EB1"/>
    <w:rsid w:val="00D430A7"/>
    <w:rsid w:val="00D440F1"/>
    <w:rsid w:val="00D44522"/>
    <w:rsid w:val="00D44E7F"/>
    <w:rsid w:val="00D457E8"/>
    <w:rsid w:val="00D4720F"/>
    <w:rsid w:val="00D473E3"/>
    <w:rsid w:val="00D474FB"/>
    <w:rsid w:val="00D478EA"/>
    <w:rsid w:val="00D47C2F"/>
    <w:rsid w:val="00D47ED6"/>
    <w:rsid w:val="00D50165"/>
    <w:rsid w:val="00D50A05"/>
    <w:rsid w:val="00D50DA5"/>
    <w:rsid w:val="00D51692"/>
    <w:rsid w:val="00D51A80"/>
    <w:rsid w:val="00D51ED3"/>
    <w:rsid w:val="00D521ED"/>
    <w:rsid w:val="00D52A15"/>
    <w:rsid w:val="00D52B8E"/>
    <w:rsid w:val="00D5397E"/>
    <w:rsid w:val="00D54682"/>
    <w:rsid w:val="00D546DC"/>
    <w:rsid w:val="00D547CB"/>
    <w:rsid w:val="00D54D83"/>
    <w:rsid w:val="00D551D4"/>
    <w:rsid w:val="00D559FC"/>
    <w:rsid w:val="00D56E5B"/>
    <w:rsid w:val="00D57715"/>
    <w:rsid w:val="00D603BA"/>
    <w:rsid w:val="00D6101D"/>
    <w:rsid w:val="00D62338"/>
    <w:rsid w:val="00D629BE"/>
    <w:rsid w:val="00D62AED"/>
    <w:rsid w:val="00D62DC2"/>
    <w:rsid w:val="00D62E44"/>
    <w:rsid w:val="00D63C91"/>
    <w:rsid w:val="00D64303"/>
    <w:rsid w:val="00D64DE5"/>
    <w:rsid w:val="00D64E39"/>
    <w:rsid w:val="00D658F2"/>
    <w:rsid w:val="00D659E4"/>
    <w:rsid w:val="00D65B90"/>
    <w:rsid w:val="00D661A5"/>
    <w:rsid w:val="00D6679D"/>
    <w:rsid w:val="00D6692F"/>
    <w:rsid w:val="00D669BC"/>
    <w:rsid w:val="00D672FA"/>
    <w:rsid w:val="00D67468"/>
    <w:rsid w:val="00D709B7"/>
    <w:rsid w:val="00D721F9"/>
    <w:rsid w:val="00D72235"/>
    <w:rsid w:val="00D7260C"/>
    <w:rsid w:val="00D726DC"/>
    <w:rsid w:val="00D72D3A"/>
    <w:rsid w:val="00D72D45"/>
    <w:rsid w:val="00D732ED"/>
    <w:rsid w:val="00D73EF2"/>
    <w:rsid w:val="00D73FBE"/>
    <w:rsid w:val="00D74798"/>
    <w:rsid w:val="00D749AA"/>
    <w:rsid w:val="00D74C95"/>
    <w:rsid w:val="00D74DC0"/>
    <w:rsid w:val="00D74F23"/>
    <w:rsid w:val="00D752EF"/>
    <w:rsid w:val="00D7561E"/>
    <w:rsid w:val="00D7600A"/>
    <w:rsid w:val="00D77ADF"/>
    <w:rsid w:val="00D77B3C"/>
    <w:rsid w:val="00D77D67"/>
    <w:rsid w:val="00D77E1C"/>
    <w:rsid w:val="00D8014F"/>
    <w:rsid w:val="00D80664"/>
    <w:rsid w:val="00D80A5D"/>
    <w:rsid w:val="00D81399"/>
    <w:rsid w:val="00D81629"/>
    <w:rsid w:val="00D81D60"/>
    <w:rsid w:val="00D81FA3"/>
    <w:rsid w:val="00D824DA"/>
    <w:rsid w:val="00D82622"/>
    <w:rsid w:val="00D8294C"/>
    <w:rsid w:val="00D82A78"/>
    <w:rsid w:val="00D82B3B"/>
    <w:rsid w:val="00D82C71"/>
    <w:rsid w:val="00D82D32"/>
    <w:rsid w:val="00D83378"/>
    <w:rsid w:val="00D8367F"/>
    <w:rsid w:val="00D83EE3"/>
    <w:rsid w:val="00D83FA7"/>
    <w:rsid w:val="00D84154"/>
    <w:rsid w:val="00D84C8B"/>
    <w:rsid w:val="00D85D9D"/>
    <w:rsid w:val="00D85E0B"/>
    <w:rsid w:val="00D86280"/>
    <w:rsid w:val="00D86BDA"/>
    <w:rsid w:val="00D871E9"/>
    <w:rsid w:val="00D87351"/>
    <w:rsid w:val="00D8735F"/>
    <w:rsid w:val="00D8737E"/>
    <w:rsid w:val="00D877B7"/>
    <w:rsid w:val="00D9007B"/>
    <w:rsid w:val="00D901A0"/>
    <w:rsid w:val="00D902B7"/>
    <w:rsid w:val="00D912D2"/>
    <w:rsid w:val="00D91DD1"/>
    <w:rsid w:val="00D92B4A"/>
    <w:rsid w:val="00D932DC"/>
    <w:rsid w:val="00D937EC"/>
    <w:rsid w:val="00D94EDB"/>
    <w:rsid w:val="00D953A2"/>
    <w:rsid w:val="00D9620A"/>
    <w:rsid w:val="00D96B4F"/>
    <w:rsid w:val="00D96FEB"/>
    <w:rsid w:val="00D971E3"/>
    <w:rsid w:val="00D976DC"/>
    <w:rsid w:val="00D9797E"/>
    <w:rsid w:val="00DA00E6"/>
    <w:rsid w:val="00DA2332"/>
    <w:rsid w:val="00DA2754"/>
    <w:rsid w:val="00DA287F"/>
    <w:rsid w:val="00DA370F"/>
    <w:rsid w:val="00DA3B22"/>
    <w:rsid w:val="00DA4A11"/>
    <w:rsid w:val="00DA4E96"/>
    <w:rsid w:val="00DA523D"/>
    <w:rsid w:val="00DA53E5"/>
    <w:rsid w:val="00DA60EC"/>
    <w:rsid w:val="00DA6161"/>
    <w:rsid w:val="00DA6288"/>
    <w:rsid w:val="00DA62B4"/>
    <w:rsid w:val="00DA63A9"/>
    <w:rsid w:val="00DA745D"/>
    <w:rsid w:val="00DB072E"/>
    <w:rsid w:val="00DB1234"/>
    <w:rsid w:val="00DB1B32"/>
    <w:rsid w:val="00DB2542"/>
    <w:rsid w:val="00DB5361"/>
    <w:rsid w:val="00DB649A"/>
    <w:rsid w:val="00DB68A3"/>
    <w:rsid w:val="00DB6E8F"/>
    <w:rsid w:val="00DC043F"/>
    <w:rsid w:val="00DC06E2"/>
    <w:rsid w:val="00DC1208"/>
    <w:rsid w:val="00DC1283"/>
    <w:rsid w:val="00DC1326"/>
    <w:rsid w:val="00DC132E"/>
    <w:rsid w:val="00DC22FB"/>
    <w:rsid w:val="00DC23D3"/>
    <w:rsid w:val="00DC3102"/>
    <w:rsid w:val="00DC3390"/>
    <w:rsid w:val="00DC4413"/>
    <w:rsid w:val="00DC441F"/>
    <w:rsid w:val="00DC5911"/>
    <w:rsid w:val="00DC5F0C"/>
    <w:rsid w:val="00DC664C"/>
    <w:rsid w:val="00DC7140"/>
    <w:rsid w:val="00DC7853"/>
    <w:rsid w:val="00DC7DBB"/>
    <w:rsid w:val="00DD0AD4"/>
    <w:rsid w:val="00DD409E"/>
    <w:rsid w:val="00DD4A30"/>
    <w:rsid w:val="00DD521E"/>
    <w:rsid w:val="00DD557A"/>
    <w:rsid w:val="00DD55D6"/>
    <w:rsid w:val="00DD588A"/>
    <w:rsid w:val="00DD5C03"/>
    <w:rsid w:val="00DD5DE4"/>
    <w:rsid w:val="00DD6021"/>
    <w:rsid w:val="00DD72AC"/>
    <w:rsid w:val="00DD76C3"/>
    <w:rsid w:val="00DD789D"/>
    <w:rsid w:val="00DE0323"/>
    <w:rsid w:val="00DE0355"/>
    <w:rsid w:val="00DE079C"/>
    <w:rsid w:val="00DE091D"/>
    <w:rsid w:val="00DE1215"/>
    <w:rsid w:val="00DE1805"/>
    <w:rsid w:val="00DE1F0F"/>
    <w:rsid w:val="00DE2168"/>
    <w:rsid w:val="00DE2892"/>
    <w:rsid w:val="00DE3AB8"/>
    <w:rsid w:val="00DE3B2E"/>
    <w:rsid w:val="00DE3D7C"/>
    <w:rsid w:val="00DE4A96"/>
    <w:rsid w:val="00DE4EFF"/>
    <w:rsid w:val="00DE545E"/>
    <w:rsid w:val="00DE5DAC"/>
    <w:rsid w:val="00DE5F62"/>
    <w:rsid w:val="00DE60F2"/>
    <w:rsid w:val="00DE6547"/>
    <w:rsid w:val="00DE711C"/>
    <w:rsid w:val="00DF0DF1"/>
    <w:rsid w:val="00DF19E1"/>
    <w:rsid w:val="00DF2351"/>
    <w:rsid w:val="00DF3D43"/>
    <w:rsid w:val="00DF4034"/>
    <w:rsid w:val="00DF4439"/>
    <w:rsid w:val="00DF4681"/>
    <w:rsid w:val="00DF4A5F"/>
    <w:rsid w:val="00DF4EBA"/>
    <w:rsid w:val="00DF4F46"/>
    <w:rsid w:val="00DF5210"/>
    <w:rsid w:val="00DF5218"/>
    <w:rsid w:val="00DF546D"/>
    <w:rsid w:val="00DF56C6"/>
    <w:rsid w:val="00DF57C1"/>
    <w:rsid w:val="00DF58CB"/>
    <w:rsid w:val="00DF6382"/>
    <w:rsid w:val="00DF7333"/>
    <w:rsid w:val="00DF733F"/>
    <w:rsid w:val="00DF751A"/>
    <w:rsid w:val="00DF7625"/>
    <w:rsid w:val="00DF7A50"/>
    <w:rsid w:val="00DF7C2C"/>
    <w:rsid w:val="00DF7C32"/>
    <w:rsid w:val="00DF7FE4"/>
    <w:rsid w:val="00E002BA"/>
    <w:rsid w:val="00E0036E"/>
    <w:rsid w:val="00E00571"/>
    <w:rsid w:val="00E006AE"/>
    <w:rsid w:val="00E00A7F"/>
    <w:rsid w:val="00E010EA"/>
    <w:rsid w:val="00E0145E"/>
    <w:rsid w:val="00E01C57"/>
    <w:rsid w:val="00E03225"/>
    <w:rsid w:val="00E04D8D"/>
    <w:rsid w:val="00E05221"/>
    <w:rsid w:val="00E053A2"/>
    <w:rsid w:val="00E063FA"/>
    <w:rsid w:val="00E069B2"/>
    <w:rsid w:val="00E0760F"/>
    <w:rsid w:val="00E07BA0"/>
    <w:rsid w:val="00E07C31"/>
    <w:rsid w:val="00E107BD"/>
    <w:rsid w:val="00E10E8C"/>
    <w:rsid w:val="00E1103C"/>
    <w:rsid w:val="00E1185F"/>
    <w:rsid w:val="00E11970"/>
    <w:rsid w:val="00E11BA8"/>
    <w:rsid w:val="00E11CB5"/>
    <w:rsid w:val="00E12E13"/>
    <w:rsid w:val="00E12EDE"/>
    <w:rsid w:val="00E12F3D"/>
    <w:rsid w:val="00E12F7E"/>
    <w:rsid w:val="00E132B5"/>
    <w:rsid w:val="00E138A4"/>
    <w:rsid w:val="00E13E8B"/>
    <w:rsid w:val="00E14516"/>
    <w:rsid w:val="00E14975"/>
    <w:rsid w:val="00E1539B"/>
    <w:rsid w:val="00E15CA8"/>
    <w:rsid w:val="00E167EE"/>
    <w:rsid w:val="00E174C3"/>
    <w:rsid w:val="00E17A73"/>
    <w:rsid w:val="00E17EBC"/>
    <w:rsid w:val="00E201E6"/>
    <w:rsid w:val="00E210B8"/>
    <w:rsid w:val="00E21320"/>
    <w:rsid w:val="00E213A9"/>
    <w:rsid w:val="00E21524"/>
    <w:rsid w:val="00E21922"/>
    <w:rsid w:val="00E21BAE"/>
    <w:rsid w:val="00E21CCB"/>
    <w:rsid w:val="00E21E39"/>
    <w:rsid w:val="00E2203D"/>
    <w:rsid w:val="00E234BB"/>
    <w:rsid w:val="00E24301"/>
    <w:rsid w:val="00E24DAC"/>
    <w:rsid w:val="00E24F0C"/>
    <w:rsid w:val="00E254D4"/>
    <w:rsid w:val="00E2641B"/>
    <w:rsid w:val="00E2732B"/>
    <w:rsid w:val="00E2786C"/>
    <w:rsid w:val="00E27B4A"/>
    <w:rsid w:val="00E27CAF"/>
    <w:rsid w:val="00E27CBE"/>
    <w:rsid w:val="00E30652"/>
    <w:rsid w:val="00E30FFA"/>
    <w:rsid w:val="00E31896"/>
    <w:rsid w:val="00E318B8"/>
    <w:rsid w:val="00E31DCC"/>
    <w:rsid w:val="00E32142"/>
    <w:rsid w:val="00E32171"/>
    <w:rsid w:val="00E33BAF"/>
    <w:rsid w:val="00E33F22"/>
    <w:rsid w:val="00E344F3"/>
    <w:rsid w:val="00E3463C"/>
    <w:rsid w:val="00E3474D"/>
    <w:rsid w:val="00E357E6"/>
    <w:rsid w:val="00E359F4"/>
    <w:rsid w:val="00E35FFA"/>
    <w:rsid w:val="00E361C9"/>
    <w:rsid w:val="00E368DE"/>
    <w:rsid w:val="00E37BD0"/>
    <w:rsid w:val="00E37C71"/>
    <w:rsid w:val="00E400F7"/>
    <w:rsid w:val="00E40B5A"/>
    <w:rsid w:val="00E40E16"/>
    <w:rsid w:val="00E40F97"/>
    <w:rsid w:val="00E41042"/>
    <w:rsid w:val="00E417D1"/>
    <w:rsid w:val="00E41B7C"/>
    <w:rsid w:val="00E424C0"/>
    <w:rsid w:val="00E42CDF"/>
    <w:rsid w:val="00E43081"/>
    <w:rsid w:val="00E43820"/>
    <w:rsid w:val="00E443BC"/>
    <w:rsid w:val="00E44678"/>
    <w:rsid w:val="00E4482C"/>
    <w:rsid w:val="00E46A7F"/>
    <w:rsid w:val="00E46E5C"/>
    <w:rsid w:val="00E47194"/>
    <w:rsid w:val="00E472A3"/>
    <w:rsid w:val="00E4737F"/>
    <w:rsid w:val="00E47467"/>
    <w:rsid w:val="00E50F5E"/>
    <w:rsid w:val="00E51318"/>
    <w:rsid w:val="00E51424"/>
    <w:rsid w:val="00E51516"/>
    <w:rsid w:val="00E523AE"/>
    <w:rsid w:val="00E5256E"/>
    <w:rsid w:val="00E52A54"/>
    <w:rsid w:val="00E52C4E"/>
    <w:rsid w:val="00E531AD"/>
    <w:rsid w:val="00E5392B"/>
    <w:rsid w:val="00E53B9F"/>
    <w:rsid w:val="00E53CF4"/>
    <w:rsid w:val="00E540E5"/>
    <w:rsid w:val="00E54879"/>
    <w:rsid w:val="00E549BC"/>
    <w:rsid w:val="00E55885"/>
    <w:rsid w:val="00E55A65"/>
    <w:rsid w:val="00E55EAA"/>
    <w:rsid w:val="00E55F1E"/>
    <w:rsid w:val="00E56379"/>
    <w:rsid w:val="00E57B60"/>
    <w:rsid w:val="00E616A2"/>
    <w:rsid w:val="00E617D2"/>
    <w:rsid w:val="00E62484"/>
    <w:rsid w:val="00E63334"/>
    <w:rsid w:val="00E637E6"/>
    <w:rsid w:val="00E63B64"/>
    <w:rsid w:val="00E63BBB"/>
    <w:rsid w:val="00E65BEF"/>
    <w:rsid w:val="00E6738C"/>
    <w:rsid w:val="00E677DD"/>
    <w:rsid w:val="00E67A7F"/>
    <w:rsid w:val="00E7034C"/>
    <w:rsid w:val="00E7052A"/>
    <w:rsid w:val="00E70751"/>
    <w:rsid w:val="00E71041"/>
    <w:rsid w:val="00E71963"/>
    <w:rsid w:val="00E71C7B"/>
    <w:rsid w:val="00E7287D"/>
    <w:rsid w:val="00E72EA9"/>
    <w:rsid w:val="00E72EE3"/>
    <w:rsid w:val="00E730A7"/>
    <w:rsid w:val="00E7355B"/>
    <w:rsid w:val="00E73624"/>
    <w:rsid w:val="00E73D64"/>
    <w:rsid w:val="00E7471F"/>
    <w:rsid w:val="00E749F7"/>
    <w:rsid w:val="00E750FD"/>
    <w:rsid w:val="00E7554B"/>
    <w:rsid w:val="00E755D0"/>
    <w:rsid w:val="00E75992"/>
    <w:rsid w:val="00E7618C"/>
    <w:rsid w:val="00E76417"/>
    <w:rsid w:val="00E77109"/>
    <w:rsid w:val="00E77304"/>
    <w:rsid w:val="00E77647"/>
    <w:rsid w:val="00E77B29"/>
    <w:rsid w:val="00E805E9"/>
    <w:rsid w:val="00E806B8"/>
    <w:rsid w:val="00E80873"/>
    <w:rsid w:val="00E80F2F"/>
    <w:rsid w:val="00E812A9"/>
    <w:rsid w:val="00E8132E"/>
    <w:rsid w:val="00E82FB8"/>
    <w:rsid w:val="00E833E0"/>
    <w:rsid w:val="00E8409D"/>
    <w:rsid w:val="00E8431C"/>
    <w:rsid w:val="00E84672"/>
    <w:rsid w:val="00E84981"/>
    <w:rsid w:val="00E865F4"/>
    <w:rsid w:val="00E86C92"/>
    <w:rsid w:val="00E872AB"/>
    <w:rsid w:val="00E900D3"/>
    <w:rsid w:val="00E905D5"/>
    <w:rsid w:val="00E90AF0"/>
    <w:rsid w:val="00E914F5"/>
    <w:rsid w:val="00E9194D"/>
    <w:rsid w:val="00E91F75"/>
    <w:rsid w:val="00E920D8"/>
    <w:rsid w:val="00E925BD"/>
    <w:rsid w:val="00E92756"/>
    <w:rsid w:val="00E92A0F"/>
    <w:rsid w:val="00E92BC5"/>
    <w:rsid w:val="00E92D75"/>
    <w:rsid w:val="00E92D8C"/>
    <w:rsid w:val="00E9418C"/>
    <w:rsid w:val="00E9430E"/>
    <w:rsid w:val="00E94660"/>
    <w:rsid w:val="00E94810"/>
    <w:rsid w:val="00E94BEB"/>
    <w:rsid w:val="00E94EAE"/>
    <w:rsid w:val="00E94EC2"/>
    <w:rsid w:val="00E9506B"/>
    <w:rsid w:val="00E95654"/>
    <w:rsid w:val="00E957DE"/>
    <w:rsid w:val="00E96A3E"/>
    <w:rsid w:val="00E97932"/>
    <w:rsid w:val="00E97A13"/>
    <w:rsid w:val="00EA0D8B"/>
    <w:rsid w:val="00EA0E16"/>
    <w:rsid w:val="00EA0F39"/>
    <w:rsid w:val="00EA206D"/>
    <w:rsid w:val="00EA25F6"/>
    <w:rsid w:val="00EA30A3"/>
    <w:rsid w:val="00EA326A"/>
    <w:rsid w:val="00EA35DD"/>
    <w:rsid w:val="00EA3747"/>
    <w:rsid w:val="00EA3AEC"/>
    <w:rsid w:val="00EA4274"/>
    <w:rsid w:val="00EA4B2F"/>
    <w:rsid w:val="00EA55B5"/>
    <w:rsid w:val="00EA593E"/>
    <w:rsid w:val="00EA6963"/>
    <w:rsid w:val="00EA6DA2"/>
    <w:rsid w:val="00EA79E0"/>
    <w:rsid w:val="00EA7D0C"/>
    <w:rsid w:val="00EA7D16"/>
    <w:rsid w:val="00EB05AC"/>
    <w:rsid w:val="00EB069A"/>
    <w:rsid w:val="00EB0A3A"/>
    <w:rsid w:val="00EB1163"/>
    <w:rsid w:val="00EB29B4"/>
    <w:rsid w:val="00EB2F9E"/>
    <w:rsid w:val="00EB3403"/>
    <w:rsid w:val="00EB4383"/>
    <w:rsid w:val="00EB4515"/>
    <w:rsid w:val="00EB4682"/>
    <w:rsid w:val="00EB6082"/>
    <w:rsid w:val="00EB6E50"/>
    <w:rsid w:val="00EB6FA6"/>
    <w:rsid w:val="00EB72CD"/>
    <w:rsid w:val="00EB73DF"/>
    <w:rsid w:val="00EB7804"/>
    <w:rsid w:val="00EB79E0"/>
    <w:rsid w:val="00EB7CD9"/>
    <w:rsid w:val="00EC0CAB"/>
    <w:rsid w:val="00EC0CF4"/>
    <w:rsid w:val="00EC11CF"/>
    <w:rsid w:val="00EC1B30"/>
    <w:rsid w:val="00EC213E"/>
    <w:rsid w:val="00EC217C"/>
    <w:rsid w:val="00EC2824"/>
    <w:rsid w:val="00EC2BED"/>
    <w:rsid w:val="00EC36A6"/>
    <w:rsid w:val="00EC4208"/>
    <w:rsid w:val="00EC45CF"/>
    <w:rsid w:val="00EC464D"/>
    <w:rsid w:val="00EC4E17"/>
    <w:rsid w:val="00EC4E32"/>
    <w:rsid w:val="00EC5029"/>
    <w:rsid w:val="00EC5850"/>
    <w:rsid w:val="00EC60C9"/>
    <w:rsid w:val="00EC618F"/>
    <w:rsid w:val="00EC700B"/>
    <w:rsid w:val="00EC7370"/>
    <w:rsid w:val="00EC7794"/>
    <w:rsid w:val="00ED02E1"/>
    <w:rsid w:val="00ED03DA"/>
    <w:rsid w:val="00ED0862"/>
    <w:rsid w:val="00ED131E"/>
    <w:rsid w:val="00ED1D84"/>
    <w:rsid w:val="00ED231C"/>
    <w:rsid w:val="00ED2C2D"/>
    <w:rsid w:val="00ED3881"/>
    <w:rsid w:val="00ED38C6"/>
    <w:rsid w:val="00ED3BD6"/>
    <w:rsid w:val="00ED5155"/>
    <w:rsid w:val="00ED523F"/>
    <w:rsid w:val="00ED55BD"/>
    <w:rsid w:val="00ED599C"/>
    <w:rsid w:val="00ED6189"/>
    <w:rsid w:val="00ED63A4"/>
    <w:rsid w:val="00ED6E63"/>
    <w:rsid w:val="00ED6F47"/>
    <w:rsid w:val="00ED7442"/>
    <w:rsid w:val="00ED74EF"/>
    <w:rsid w:val="00ED7B98"/>
    <w:rsid w:val="00EE0178"/>
    <w:rsid w:val="00EE02D6"/>
    <w:rsid w:val="00EE0C6F"/>
    <w:rsid w:val="00EE0E1E"/>
    <w:rsid w:val="00EE12AF"/>
    <w:rsid w:val="00EE2126"/>
    <w:rsid w:val="00EE2212"/>
    <w:rsid w:val="00EE2337"/>
    <w:rsid w:val="00EE34C9"/>
    <w:rsid w:val="00EE3788"/>
    <w:rsid w:val="00EE38D6"/>
    <w:rsid w:val="00EE461C"/>
    <w:rsid w:val="00EE57C7"/>
    <w:rsid w:val="00EE5985"/>
    <w:rsid w:val="00EE5EB2"/>
    <w:rsid w:val="00EE64F6"/>
    <w:rsid w:val="00EE6C4F"/>
    <w:rsid w:val="00EE6FCB"/>
    <w:rsid w:val="00EE7057"/>
    <w:rsid w:val="00EE705B"/>
    <w:rsid w:val="00EE787D"/>
    <w:rsid w:val="00EF093B"/>
    <w:rsid w:val="00EF11B1"/>
    <w:rsid w:val="00EF1CB9"/>
    <w:rsid w:val="00EF2291"/>
    <w:rsid w:val="00EF2692"/>
    <w:rsid w:val="00EF29D0"/>
    <w:rsid w:val="00EF2F1F"/>
    <w:rsid w:val="00EF349B"/>
    <w:rsid w:val="00EF3C0F"/>
    <w:rsid w:val="00EF4539"/>
    <w:rsid w:val="00EF4626"/>
    <w:rsid w:val="00EF48E8"/>
    <w:rsid w:val="00EF4ACB"/>
    <w:rsid w:val="00EF5059"/>
    <w:rsid w:val="00EF5382"/>
    <w:rsid w:val="00EF55F5"/>
    <w:rsid w:val="00EF5BB3"/>
    <w:rsid w:val="00EF5EC0"/>
    <w:rsid w:val="00EF5FF0"/>
    <w:rsid w:val="00EF6B80"/>
    <w:rsid w:val="00EF6C0C"/>
    <w:rsid w:val="00EF6D89"/>
    <w:rsid w:val="00EF772B"/>
    <w:rsid w:val="00EF780E"/>
    <w:rsid w:val="00EF7F54"/>
    <w:rsid w:val="00F00730"/>
    <w:rsid w:val="00F00876"/>
    <w:rsid w:val="00F01096"/>
    <w:rsid w:val="00F0122D"/>
    <w:rsid w:val="00F022A2"/>
    <w:rsid w:val="00F0265F"/>
    <w:rsid w:val="00F033E0"/>
    <w:rsid w:val="00F03410"/>
    <w:rsid w:val="00F034C3"/>
    <w:rsid w:val="00F049CE"/>
    <w:rsid w:val="00F04F52"/>
    <w:rsid w:val="00F052D7"/>
    <w:rsid w:val="00F05B74"/>
    <w:rsid w:val="00F062A8"/>
    <w:rsid w:val="00F06768"/>
    <w:rsid w:val="00F06DC3"/>
    <w:rsid w:val="00F06DFC"/>
    <w:rsid w:val="00F0799D"/>
    <w:rsid w:val="00F07AD3"/>
    <w:rsid w:val="00F1020D"/>
    <w:rsid w:val="00F1145B"/>
    <w:rsid w:val="00F1199E"/>
    <w:rsid w:val="00F123CF"/>
    <w:rsid w:val="00F12BF0"/>
    <w:rsid w:val="00F13725"/>
    <w:rsid w:val="00F13968"/>
    <w:rsid w:val="00F143BA"/>
    <w:rsid w:val="00F14B7E"/>
    <w:rsid w:val="00F14CCD"/>
    <w:rsid w:val="00F1572E"/>
    <w:rsid w:val="00F16278"/>
    <w:rsid w:val="00F16F63"/>
    <w:rsid w:val="00F201B1"/>
    <w:rsid w:val="00F20255"/>
    <w:rsid w:val="00F2101A"/>
    <w:rsid w:val="00F2136F"/>
    <w:rsid w:val="00F225A3"/>
    <w:rsid w:val="00F22E52"/>
    <w:rsid w:val="00F230DB"/>
    <w:rsid w:val="00F2365B"/>
    <w:rsid w:val="00F23857"/>
    <w:rsid w:val="00F23BE6"/>
    <w:rsid w:val="00F24E4F"/>
    <w:rsid w:val="00F25C7B"/>
    <w:rsid w:val="00F266E8"/>
    <w:rsid w:val="00F27E74"/>
    <w:rsid w:val="00F30497"/>
    <w:rsid w:val="00F314BD"/>
    <w:rsid w:val="00F31505"/>
    <w:rsid w:val="00F3173F"/>
    <w:rsid w:val="00F330A4"/>
    <w:rsid w:val="00F3405C"/>
    <w:rsid w:val="00F3420D"/>
    <w:rsid w:val="00F34D54"/>
    <w:rsid w:val="00F35180"/>
    <w:rsid w:val="00F351FD"/>
    <w:rsid w:val="00F353FA"/>
    <w:rsid w:val="00F3560B"/>
    <w:rsid w:val="00F362D4"/>
    <w:rsid w:val="00F36510"/>
    <w:rsid w:val="00F365D6"/>
    <w:rsid w:val="00F368CD"/>
    <w:rsid w:val="00F36BD8"/>
    <w:rsid w:val="00F3750C"/>
    <w:rsid w:val="00F37565"/>
    <w:rsid w:val="00F37807"/>
    <w:rsid w:val="00F40913"/>
    <w:rsid w:val="00F40B5D"/>
    <w:rsid w:val="00F40BB1"/>
    <w:rsid w:val="00F40E93"/>
    <w:rsid w:val="00F414A6"/>
    <w:rsid w:val="00F41D17"/>
    <w:rsid w:val="00F423D4"/>
    <w:rsid w:val="00F427E7"/>
    <w:rsid w:val="00F42891"/>
    <w:rsid w:val="00F43B3B"/>
    <w:rsid w:val="00F43CA7"/>
    <w:rsid w:val="00F44257"/>
    <w:rsid w:val="00F443C7"/>
    <w:rsid w:val="00F44DEC"/>
    <w:rsid w:val="00F4518A"/>
    <w:rsid w:val="00F451D9"/>
    <w:rsid w:val="00F457E5"/>
    <w:rsid w:val="00F45AE2"/>
    <w:rsid w:val="00F500B7"/>
    <w:rsid w:val="00F507AC"/>
    <w:rsid w:val="00F50C8A"/>
    <w:rsid w:val="00F5141E"/>
    <w:rsid w:val="00F516AA"/>
    <w:rsid w:val="00F51936"/>
    <w:rsid w:val="00F52160"/>
    <w:rsid w:val="00F532FA"/>
    <w:rsid w:val="00F53BC4"/>
    <w:rsid w:val="00F53F24"/>
    <w:rsid w:val="00F548E1"/>
    <w:rsid w:val="00F56246"/>
    <w:rsid w:val="00F57AF7"/>
    <w:rsid w:val="00F57BDB"/>
    <w:rsid w:val="00F57BF1"/>
    <w:rsid w:val="00F60325"/>
    <w:rsid w:val="00F60387"/>
    <w:rsid w:val="00F609B9"/>
    <w:rsid w:val="00F60E98"/>
    <w:rsid w:val="00F61451"/>
    <w:rsid w:val="00F61D70"/>
    <w:rsid w:val="00F6236D"/>
    <w:rsid w:val="00F628F7"/>
    <w:rsid w:val="00F62B6C"/>
    <w:rsid w:val="00F63338"/>
    <w:rsid w:val="00F633B6"/>
    <w:rsid w:val="00F639DC"/>
    <w:rsid w:val="00F63B86"/>
    <w:rsid w:val="00F647F1"/>
    <w:rsid w:val="00F654BA"/>
    <w:rsid w:val="00F66AEA"/>
    <w:rsid w:val="00F67489"/>
    <w:rsid w:val="00F67987"/>
    <w:rsid w:val="00F700B8"/>
    <w:rsid w:val="00F70180"/>
    <w:rsid w:val="00F7076C"/>
    <w:rsid w:val="00F70AF4"/>
    <w:rsid w:val="00F70CA7"/>
    <w:rsid w:val="00F70CD5"/>
    <w:rsid w:val="00F70EC6"/>
    <w:rsid w:val="00F71510"/>
    <w:rsid w:val="00F71B2C"/>
    <w:rsid w:val="00F71D34"/>
    <w:rsid w:val="00F71D40"/>
    <w:rsid w:val="00F723CF"/>
    <w:rsid w:val="00F7250B"/>
    <w:rsid w:val="00F726EB"/>
    <w:rsid w:val="00F73518"/>
    <w:rsid w:val="00F735CA"/>
    <w:rsid w:val="00F73A1A"/>
    <w:rsid w:val="00F73FB6"/>
    <w:rsid w:val="00F752CD"/>
    <w:rsid w:val="00F7557A"/>
    <w:rsid w:val="00F75755"/>
    <w:rsid w:val="00F7634F"/>
    <w:rsid w:val="00F767EA"/>
    <w:rsid w:val="00F769D3"/>
    <w:rsid w:val="00F77C0D"/>
    <w:rsid w:val="00F8054C"/>
    <w:rsid w:val="00F81C06"/>
    <w:rsid w:val="00F823C8"/>
    <w:rsid w:val="00F82637"/>
    <w:rsid w:val="00F82715"/>
    <w:rsid w:val="00F82D69"/>
    <w:rsid w:val="00F832A0"/>
    <w:rsid w:val="00F833A8"/>
    <w:rsid w:val="00F83EB0"/>
    <w:rsid w:val="00F86697"/>
    <w:rsid w:val="00F8679E"/>
    <w:rsid w:val="00F86956"/>
    <w:rsid w:val="00F86AFF"/>
    <w:rsid w:val="00F86BD6"/>
    <w:rsid w:val="00F8759E"/>
    <w:rsid w:val="00F87AA4"/>
    <w:rsid w:val="00F90321"/>
    <w:rsid w:val="00F90463"/>
    <w:rsid w:val="00F904F2"/>
    <w:rsid w:val="00F9091D"/>
    <w:rsid w:val="00F90A97"/>
    <w:rsid w:val="00F90D9F"/>
    <w:rsid w:val="00F91A28"/>
    <w:rsid w:val="00F92100"/>
    <w:rsid w:val="00F9255D"/>
    <w:rsid w:val="00F92A79"/>
    <w:rsid w:val="00F92D2F"/>
    <w:rsid w:val="00F93565"/>
    <w:rsid w:val="00F9358B"/>
    <w:rsid w:val="00F93A58"/>
    <w:rsid w:val="00F93EA5"/>
    <w:rsid w:val="00F93F7C"/>
    <w:rsid w:val="00F942C1"/>
    <w:rsid w:val="00F943FE"/>
    <w:rsid w:val="00F94842"/>
    <w:rsid w:val="00F94DA1"/>
    <w:rsid w:val="00F94E55"/>
    <w:rsid w:val="00F9602F"/>
    <w:rsid w:val="00F965D7"/>
    <w:rsid w:val="00F97410"/>
    <w:rsid w:val="00F976BF"/>
    <w:rsid w:val="00F97963"/>
    <w:rsid w:val="00FA0316"/>
    <w:rsid w:val="00FA0431"/>
    <w:rsid w:val="00FA0AE0"/>
    <w:rsid w:val="00FA1F4D"/>
    <w:rsid w:val="00FA2AFB"/>
    <w:rsid w:val="00FA2F97"/>
    <w:rsid w:val="00FA37A1"/>
    <w:rsid w:val="00FA442C"/>
    <w:rsid w:val="00FA4D6E"/>
    <w:rsid w:val="00FA5465"/>
    <w:rsid w:val="00FA5985"/>
    <w:rsid w:val="00FA5F48"/>
    <w:rsid w:val="00FA6049"/>
    <w:rsid w:val="00FA6078"/>
    <w:rsid w:val="00FA75D7"/>
    <w:rsid w:val="00FA7622"/>
    <w:rsid w:val="00FA7728"/>
    <w:rsid w:val="00FA79CF"/>
    <w:rsid w:val="00FA7D56"/>
    <w:rsid w:val="00FA7DFD"/>
    <w:rsid w:val="00FB16F7"/>
    <w:rsid w:val="00FB24CC"/>
    <w:rsid w:val="00FB2F77"/>
    <w:rsid w:val="00FB32F7"/>
    <w:rsid w:val="00FB391B"/>
    <w:rsid w:val="00FB3B96"/>
    <w:rsid w:val="00FB45AA"/>
    <w:rsid w:val="00FB461D"/>
    <w:rsid w:val="00FB4F48"/>
    <w:rsid w:val="00FB5F4A"/>
    <w:rsid w:val="00FB6AC2"/>
    <w:rsid w:val="00FB6B60"/>
    <w:rsid w:val="00FB7361"/>
    <w:rsid w:val="00FB7841"/>
    <w:rsid w:val="00FB7AD9"/>
    <w:rsid w:val="00FC0764"/>
    <w:rsid w:val="00FC1189"/>
    <w:rsid w:val="00FC136E"/>
    <w:rsid w:val="00FC170C"/>
    <w:rsid w:val="00FC27E7"/>
    <w:rsid w:val="00FC2853"/>
    <w:rsid w:val="00FC4EE3"/>
    <w:rsid w:val="00FC5800"/>
    <w:rsid w:val="00FC6976"/>
    <w:rsid w:val="00FC6BE2"/>
    <w:rsid w:val="00FC6C8C"/>
    <w:rsid w:val="00FC7297"/>
    <w:rsid w:val="00FC783E"/>
    <w:rsid w:val="00FD0C30"/>
    <w:rsid w:val="00FD1824"/>
    <w:rsid w:val="00FD1A7D"/>
    <w:rsid w:val="00FD1BFF"/>
    <w:rsid w:val="00FD1E5E"/>
    <w:rsid w:val="00FD21BC"/>
    <w:rsid w:val="00FD259C"/>
    <w:rsid w:val="00FD2B39"/>
    <w:rsid w:val="00FD2C9F"/>
    <w:rsid w:val="00FD3B64"/>
    <w:rsid w:val="00FD47F8"/>
    <w:rsid w:val="00FD50AB"/>
    <w:rsid w:val="00FD51A3"/>
    <w:rsid w:val="00FD5579"/>
    <w:rsid w:val="00FD595E"/>
    <w:rsid w:val="00FD5E88"/>
    <w:rsid w:val="00FD6256"/>
    <w:rsid w:val="00FD644E"/>
    <w:rsid w:val="00FD7107"/>
    <w:rsid w:val="00FE0295"/>
    <w:rsid w:val="00FE0563"/>
    <w:rsid w:val="00FE0609"/>
    <w:rsid w:val="00FE0E6F"/>
    <w:rsid w:val="00FE22F3"/>
    <w:rsid w:val="00FE2727"/>
    <w:rsid w:val="00FE2BCF"/>
    <w:rsid w:val="00FE369B"/>
    <w:rsid w:val="00FE378C"/>
    <w:rsid w:val="00FE3E5A"/>
    <w:rsid w:val="00FE443C"/>
    <w:rsid w:val="00FE48E1"/>
    <w:rsid w:val="00FE53A6"/>
    <w:rsid w:val="00FE5553"/>
    <w:rsid w:val="00FE57F7"/>
    <w:rsid w:val="00FE5826"/>
    <w:rsid w:val="00FE6173"/>
    <w:rsid w:val="00FE6451"/>
    <w:rsid w:val="00FE6E89"/>
    <w:rsid w:val="00FE760D"/>
    <w:rsid w:val="00FE76F6"/>
    <w:rsid w:val="00FF058E"/>
    <w:rsid w:val="00FF0652"/>
    <w:rsid w:val="00FF1BF3"/>
    <w:rsid w:val="00FF250B"/>
    <w:rsid w:val="00FF33CC"/>
    <w:rsid w:val="00FF3B6D"/>
    <w:rsid w:val="00FF3EC7"/>
    <w:rsid w:val="00FF3ECC"/>
    <w:rsid w:val="00FF48D6"/>
    <w:rsid w:val="00FF56E0"/>
    <w:rsid w:val="00FF58F8"/>
    <w:rsid w:val="00FF5ADF"/>
    <w:rsid w:val="00FF6433"/>
    <w:rsid w:val="00FF6715"/>
    <w:rsid w:val="00FF6E1F"/>
    <w:rsid w:val="00FF7EE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7E5A34"/>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it-IT" w:eastAsia="en-US"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E39E3"/>
    <w:pPr>
      <w:spacing w:after="0" w:line="240" w:lineRule="auto"/>
      <w:jc w:val="left"/>
    </w:pPr>
    <w:rPr>
      <w:rFonts w:ascii="Times New Roman" w:hAnsi="Times New Roman" w:cs="Times New Roman"/>
      <w:lang w:eastAsia="it-IT"/>
    </w:rPr>
  </w:style>
  <w:style w:type="paragraph" w:styleId="Titolo1">
    <w:name w:val="heading 1"/>
    <w:basedOn w:val="Normale"/>
    <w:next w:val="Normale"/>
    <w:link w:val="Titolo1Carattere"/>
    <w:uiPriority w:val="99"/>
    <w:qFormat/>
    <w:rsid w:val="0017290B"/>
    <w:pPr>
      <w:spacing w:before="300" w:after="40" w:line="276" w:lineRule="auto"/>
      <w:jc w:val="center"/>
      <w:outlineLvl w:val="0"/>
    </w:pPr>
    <w:rPr>
      <w:rFonts w:ascii="Arial" w:hAnsi="Arial" w:cstheme="minorBidi"/>
      <w:b/>
      <w:smallCaps/>
      <w:spacing w:val="5"/>
      <w:sz w:val="32"/>
      <w:szCs w:val="32"/>
      <w:lang w:val="en-US" w:eastAsia="en-US"/>
    </w:rPr>
  </w:style>
  <w:style w:type="paragraph" w:styleId="Titolo2">
    <w:name w:val="heading 2"/>
    <w:basedOn w:val="Normale"/>
    <w:next w:val="Normale"/>
    <w:link w:val="Titolo2Carattere"/>
    <w:uiPriority w:val="99"/>
    <w:unhideWhenUsed/>
    <w:qFormat/>
    <w:rsid w:val="003374C9"/>
    <w:pPr>
      <w:spacing w:before="240" w:after="80" w:line="276" w:lineRule="auto"/>
      <w:jc w:val="center"/>
      <w:outlineLvl w:val="1"/>
    </w:pPr>
    <w:rPr>
      <w:rFonts w:ascii="Arial" w:hAnsi="Arial" w:cs="Arial Hebrew"/>
      <w:smallCaps/>
      <w:spacing w:val="5"/>
      <w:sz w:val="28"/>
      <w:szCs w:val="28"/>
      <w:lang w:val="en-US" w:eastAsia="en-US"/>
    </w:rPr>
  </w:style>
  <w:style w:type="paragraph" w:styleId="Titolo3">
    <w:name w:val="heading 3"/>
    <w:basedOn w:val="Normale"/>
    <w:next w:val="Normale"/>
    <w:link w:val="Titolo3Carattere"/>
    <w:uiPriority w:val="99"/>
    <w:unhideWhenUsed/>
    <w:qFormat/>
    <w:rsid w:val="00CC1174"/>
    <w:pPr>
      <w:spacing w:before="120" w:after="120" w:line="276" w:lineRule="auto"/>
      <w:jc w:val="both"/>
      <w:outlineLvl w:val="2"/>
    </w:pPr>
    <w:rPr>
      <w:rFonts w:ascii="Arial" w:hAnsi="Arial" w:cstheme="minorBidi"/>
      <w:smallCaps/>
      <w:spacing w:val="5"/>
      <w:sz w:val="26"/>
      <w:szCs w:val="20"/>
      <w:lang w:val="en-US" w:eastAsia="en-US"/>
    </w:rPr>
  </w:style>
  <w:style w:type="paragraph" w:styleId="Titolo4">
    <w:name w:val="heading 4"/>
    <w:basedOn w:val="Normale"/>
    <w:next w:val="Normale"/>
    <w:link w:val="Titolo4Carattere"/>
    <w:uiPriority w:val="9"/>
    <w:unhideWhenUsed/>
    <w:qFormat/>
    <w:rsid w:val="007E1765"/>
    <w:pPr>
      <w:spacing w:before="240" w:line="276" w:lineRule="auto"/>
      <w:jc w:val="both"/>
      <w:outlineLvl w:val="3"/>
    </w:pPr>
    <w:rPr>
      <w:rFonts w:ascii="Arial" w:hAnsi="Arial" w:cs="Arial"/>
      <w:smallCaps/>
      <w:color w:val="171717" w:themeColor="background2" w:themeShade="1A"/>
      <w:spacing w:val="10"/>
      <w:szCs w:val="22"/>
      <w:lang w:val="en-US" w:eastAsia="en-US"/>
    </w:rPr>
  </w:style>
  <w:style w:type="paragraph" w:styleId="Titolo5">
    <w:name w:val="heading 5"/>
    <w:basedOn w:val="Normale"/>
    <w:next w:val="Normale"/>
    <w:link w:val="Titolo5Carattere"/>
    <w:uiPriority w:val="9"/>
    <w:semiHidden/>
    <w:unhideWhenUsed/>
    <w:qFormat/>
    <w:rsid w:val="00F57AF7"/>
    <w:pPr>
      <w:spacing w:before="200"/>
      <w:outlineLvl w:val="4"/>
    </w:pPr>
    <w:rPr>
      <w:smallCaps/>
      <w:color w:val="C45911" w:themeColor="accent2" w:themeShade="BF"/>
      <w:spacing w:val="10"/>
      <w:sz w:val="22"/>
      <w:szCs w:val="26"/>
    </w:rPr>
  </w:style>
  <w:style w:type="paragraph" w:styleId="Titolo6">
    <w:name w:val="heading 6"/>
    <w:basedOn w:val="Normale"/>
    <w:next w:val="Normale"/>
    <w:link w:val="Titolo6Carattere"/>
    <w:uiPriority w:val="9"/>
    <w:semiHidden/>
    <w:unhideWhenUsed/>
    <w:qFormat/>
    <w:rsid w:val="00F57AF7"/>
    <w:pPr>
      <w:outlineLvl w:val="5"/>
    </w:pPr>
    <w:rPr>
      <w:smallCaps/>
      <w:color w:val="ED7D31" w:themeColor="accent2"/>
      <w:spacing w:val="5"/>
      <w:sz w:val="22"/>
    </w:rPr>
  </w:style>
  <w:style w:type="paragraph" w:styleId="Titolo7">
    <w:name w:val="heading 7"/>
    <w:basedOn w:val="Normale"/>
    <w:next w:val="Normale"/>
    <w:link w:val="Titolo7Carattere"/>
    <w:uiPriority w:val="9"/>
    <w:semiHidden/>
    <w:unhideWhenUsed/>
    <w:qFormat/>
    <w:rsid w:val="00F57AF7"/>
    <w:pPr>
      <w:outlineLvl w:val="6"/>
    </w:pPr>
    <w:rPr>
      <w:b/>
      <w:smallCaps/>
      <w:color w:val="ED7D31" w:themeColor="accent2"/>
      <w:spacing w:val="10"/>
    </w:rPr>
  </w:style>
  <w:style w:type="paragraph" w:styleId="Titolo8">
    <w:name w:val="heading 8"/>
    <w:basedOn w:val="Normale"/>
    <w:next w:val="Normale"/>
    <w:link w:val="Titolo8Carattere"/>
    <w:uiPriority w:val="9"/>
    <w:semiHidden/>
    <w:unhideWhenUsed/>
    <w:qFormat/>
    <w:rsid w:val="00F57AF7"/>
    <w:pPr>
      <w:outlineLvl w:val="7"/>
    </w:pPr>
    <w:rPr>
      <w:b/>
      <w:i/>
      <w:smallCaps/>
      <w:color w:val="C45911" w:themeColor="accent2" w:themeShade="BF"/>
    </w:rPr>
  </w:style>
  <w:style w:type="paragraph" w:styleId="Titolo9">
    <w:name w:val="heading 9"/>
    <w:basedOn w:val="Normale"/>
    <w:next w:val="Normale"/>
    <w:link w:val="Titolo9Carattere"/>
    <w:uiPriority w:val="9"/>
    <w:semiHidden/>
    <w:unhideWhenUsed/>
    <w:qFormat/>
    <w:rsid w:val="00F57AF7"/>
    <w:pPr>
      <w:outlineLvl w:val="8"/>
    </w:pPr>
    <w:rPr>
      <w:b/>
      <w:i/>
      <w:smallCaps/>
      <w:color w:val="823B0B" w:themeColor="accent2"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17290B"/>
    <w:rPr>
      <w:rFonts w:ascii="Arial" w:hAnsi="Arial"/>
      <w:b/>
      <w:smallCaps/>
      <w:spacing w:val="5"/>
      <w:sz w:val="32"/>
      <w:szCs w:val="32"/>
      <w:lang w:val="en-US"/>
    </w:rPr>
  </w:style>
  <w:style w:type="character" w:customStyle="1" w:styleId="Titolo2Carattere">
    <w:name w:val="Titolo 2 Carattere"/>
    <w:basedOn w:val="Carpredefinitoparagrafo"/>
    <w:link w:val="Titolo2"/>
    <w:uiPriority w:val="99"/>
    <w:rsid w:val="003374C9"/>
    <w:rPr>
      <w:rFonts w:ascii="Arial" w:hAnsi="Arial" w:cs="Arial Hebrew"/>
      <w:smallCaps/>
      <w:spacing w:val="5"/>
      <w:sz w:val="28"/>
      <w:szCs w:val="28"/>
      <w:lang w:val="en-US"/>
    </w:rPr>
  </w:style>
  <w:style w:type="character" w:customStyle="1" w:styleId="Titolo3Carattere">
    <w:name w:val="Titolo 3 Carattere"/>
    <w:basedOn w:val="Carpredefinitoparagrafo"/>
    <w:link w:val="Titolo3"/>
    <w:uiPriority w:val="99"/>
    <w:rsid w:val="00CC1174"/>
    <w:rPr>
      <w:rFonts w:ascii="Arial" w:hAnsi="Arial"/>
      <w:smallCaps/>
      <w:spacing w:val="5"/>
      <w:sz w:val="26"/>
      <w:szCs w:val="20"/>
      <w:lang w:val="en-US"/>
    </w:rPr>
  </w:style>
  <w:style w:type="character" w:customStyle="1" w:styleId="Titolo4Carattere">
    <w:name w:val="Titolo 4 Carattere"/>
    <w:basedOn w:val="Carpredefinitoparagrafo"/>
    <w:link w:val="Titolo4"/>
    <w:uiPriority w:val="9"/>
    <w:rsid w:val="007E1765"/>
    <w:rPr>
      <w:rFonts w:ascii="Arial" w:hAnsi="Arial" w:cs="Arial"/>
      <w:smallCaps/>
      <w:color w:val="171717" w:themeColor="background2" w:themeShade="1A"/>
      <w:spacing w:val="10"/>
      <w:szCs w:val="22"/>
      <w:lang w:val="en-US"/>
    </w:rPr>
  </w:style>
  <w:style w:type="character" w:customStyle="1" w:styleId="Titolo5Carattere">
    <w:name w:val="Titolo 5 Carattere"/>
    <w:basedOn w:val="Carpredefinitoparagrafo"/>
    <w:link w:val="Titolo5"/>
    <w:uiPriority w:val="9"/>
    <w:semiHidden/>
    <w:rsid w:val="00F57AF7"/>
    <w:rPr>
      <w:smallCaps/>
      <w:color w:val="C45911" w:themeColor="accent2" w:themeShade="BF"/>
      <w:spacing w:val="10"/>
      <w:sz w:val="22"/>
      <w:szCs w:val="26"/>
    </w:rPr>
  </w:style>
  <w:style w:type="character" w:customStyle="1" w:styleId="Titolo6Carattere">
    <w:name w:val="Titolo 6 Carattere"/>
    <w:basedOn w:val="Carpredefinitoparagrafo"/>
    <w:link w:val="Titolo6"/>
    <w:uiPriority w:val="9"/>
    <w:semiHidden/>
    <w:rsid w:val="00F57AF7"/>
    <w:rPr>
      <w:smallCaps/>
      <w:color w:val="ED7D31" w:themeColor="accent2"/>
      <w:spacing w:val="5"/>
      <w:sz w:val="22"/>
    </w:rPr>
  </w:style>
  <w:style w:type="character" w:customStyle="1" w:styleId="Titolo7Carattere">
    <w:name w:val="Titolo 7 Carattere"/>
    <w:basedOn w:val="Carpredefinitoparagrafo"/>
    <w:link w:val="Titolo7"/>
    <w:uiPriority w:val="9"/>
    <w:semiHidden/>
    <w:rsid w:val="00F57AF7"/>
    <w:rPr>
      <w:b/>
      <w:smallCaps/>
      <w:color w:val="ED7D31" w:themeColor="accent2"/>
      <w:spacing w:val="10"/>
    </w:rPr>
  </w:style>
  <w:style w:type="character" w:customStyle="1" w:styleId="Titolo8Carattere">
    <w:name w:val="Titolo 8 Carattere"/>
    <w:basedOn w:val="Carpredefinitoparagrafo"/>
    <w:link w:val="Titolo8"/>
    <w:uiPriority w:val="9"/>
    <w:semiHidden/>
    <w:rsid w:val="00F57AF7"/>
    <w:rPr>
      <w:b/>
      <w:i/>
      <w:smallCaps/>
      <w:color w:val="C45911" w:themeColor="accent2" w:themeShade="BF"/>
    </w:rPr>
  </w:style>
  <w:style w:type="character" w:customStyle="1" w:styleId="Titolo9Carattere">
    <w:name w:val="Titolo 9 Carattere"/>
    <w:basedOn w:val="Carpredefinitoparagrafo"/>
    <w:link w:val="Titolo9"/>
    <w:uiPriority w:val="9"/>
    <w:semiHidden/>
    <w:rsid w:val="00F57AF7"/>
    <w:rPr>
      <w:b/>
      <w:i/>
      <w:smallCaps/>
      <w:color w:val="823B0B" w:themeColor="accent2" w:themeShade="7F"/>
    </w:rPr>
  </w:style>
  <w:style w:type="character" w:styleId="Enfasigrassetto">
    <w:name w:val="Strong"/>
    <w:uiPriority w:val="22"/>
    <w:qFormat/>
    <w:rsid w:val="00F57AF7"/>
    <w:rPr>
      <w:b/>
      <w:color w:val="ED7D31" w:themeColor="accent2"/>
    </w:rPr>
  </w:style>
  <w:style w:type="character" w:customStyle="1" w:styleId="apple-converted-space">
    <w:name w:val="apple-converted-space"/>
    <w:basedOn w:val="Carpredefinitoparagrafo"/>
    <w:rsid w:val="00077F74"/>
  </w:style>
  <w:style w:type="paragraph" w:styleId="Paragrafoelenco">
    <w:name w:val="List Paragraph"/>
    <w:aliases w:val="Lista viñetas,Listenabsatz,Bullet List,Lista OBJETIVOS,Liste à puces retrait droite"/>
    <w:basedOn w:val="Normale"/>
    <w:link w:val="ParagrafoelencoCarattere"/>
    <w:uiPriority w:val="34"/>
    <w:qFormat/>
    <w:rsid w:val="00F57AF7"/>
    <w:pPr>
      <w:spacing w:after="200" w:line="276" w:lineRule="auto"/>
      <w:ind w:left="720"/>
      <w:contextualSpacing/>
      <w:jc w:val="both"/>
    </w:pPr>
    <w:rPr>
      <w:rFonts w:asciiTheme="minorHAnsi" w:hAnsiTheme="minorHAnsi" w:cstheme="minorBidi"/>
      <w:sz w:val="20"/>
      <w:szCs w:val="20"/>
      <w:lang w:val="en-US" w:eastAsia="en-US"/>
    </w:rPr>
  </w:style>
  <w:style w:type="character" w:customStyle="1" w:styleId="ParagrafoelencoCarattere">
    <w:name w:val="Paragrafo elenco Carattere"/>
    <w:aliases w:val="Lista viñetas Carattere,Listenabsatz Carattere,Bullet List Carattere,Lista OBJETIVOS Carattere,Liste à puces retrait droite Carattere"/>
    <w:link w:val="Paragrafoelenco"/>
    <w:uiPriority w:val="34"/>
    <w:locked/>
    <w:rsid w:val="00462F8E"/>
    <w:rPr>
      <w:sz w:val="20"/>
      <w:szCs w:val="20"/>
      <w:lang w:val="en-US"/>
    </w:rPr>
  </w:style>
  <w:style w:type="paragraph" w:styleId="NormaleWeb">
    <w:name w:val="Normal (Web)"/>
    <w:basedOn w:val="Normale"/>
    <w:uiPriority w:val="99"/>
    <w:unhideWhenUsed/>
    <w:rsid w:val="00230DC3"/>
    <w:pPr>
      <w:spacing w:before="100" w:beforeAutospacing="1" w:after="100" w:afterAutospacing="1" w:line="276" w:lineRule="auto"/>
      <w:jc w:val="both"/>
    </w:pPr>
    <w:rPr>
      <w:rFonts w:asciiTheme="minorHAnsi" w:hAnsiTheme="minorHAnsi" w:cstheme="minorBidi"/>
      <w:sz w:val="20"/>
      <w:szCs w:val="20"/>
      <w:lang w:val="en-US" w:eastAsia="en-US"/>
    </w:rPr>
  </w:style>
  <w:style w:type="character" w:styleId="Collegamentoipertestuale">
    <w:name w:val="Hyperlink"/>
    <w:basedOn w:val="Carpredefinitoparagrafo"/>
    <w:uiPriority w:val="99"/>
    <w:unhideWhenUsed/>
    <w:rsid w:val="00E63B64"/>
    <w:rPr>
      <w:color w:val="0000FF"/>
      <w:u w:val="single"/>
    </w:rPr>
  </w:style>
  <w:style w:type="paragraph" w:styleId="Intestazione">
    <w:name w:val="header"/>
    <w:basedOn w:val="Normale"/>
    <w:link w:val="IntestazioneCarattere"/>
    <w:uiPriority w:val="99"/>
    <w:unhideWhenUsed/>
    <w:rsid w:val="00B82E1E"/>
    <w:pPr>
      <w:tabs>
        <w:tab w:val="center" w:pos="4819"/>
        <w:tab w:val="right" w:pos="9638"/>
      </w:tabs>
      <w:spacing w:after="200" w:line="276" w:lineRule="auto"/>
      <w:jc w:val="both"/>
    </w:pPr>
    <w:rPr>
      <w:rFonts w:asciiTheme="minorHAnsi" w:hAnsiTheme="minorHAnsi" w:cstheme="minorBidi"/>
      <w:sz w:val="20"/>
      <w:szCs w:val="20"/>
      <w:lang w:val="en-US" w:eastAsia="en-US"/>
    </w:rPr>
  </w:style>
  <w:style w:type="character" w:customStyle="1" w:styleId="IntestazioneCarattere">
    <w:name w:val="Intestazione Carattere"/>
    <w:basedOn w:val="Carpredefinitoparagrafo"/>
    <w:link w:val="Intestazione"/>
    <w:uiPriority w:val="99"/>
    <w:rsid w:val="00B82E1E"/>
    <w:rPr>
      <w:rFonts w:ascii="Times New Roman" w:hAnsi="Times New Roman" w:cs="Times New Roman"/>
      <w:lang w:eastAsia="it-IT"/>
    </w:rPr>
  </w:style>
  <w:style w:type="paragraph" w:styleId="Pidipagina">
    <w:name w:val="footer"/>
    <w:basedOn w:val="Normale"/>
    <w:link w:val="PidipaginaCarattere"/>
    <w:uiPriority w:val="99"/>
    <w:unhideWhenUsed/>
    <w:rsid w:val="00B82E1E"/>
    <w:pPr>
      <w:tabs>
        <w:tab w:val="center" w:pos="4819"/>
        <w:tab w:val="right" w:pos="9638"/>
      </w:tabs>
      <w:spacing w:after="200" w:line="276" w:lineRule="auto"/>
      <w:jc w:val="both"/>
    </w:pPr>
    <w:rPr>
      <w:rFonts w:asciiTheme="minorHAnsi" w:hAnsiTheme="minorHAnsi" w:cstheme="minorBidi"/>
      <w:sz w:val="20"/>
      <w:szCs w:val="20"/>
      <w:lang w:val="en-US" w:eastAsia="en-US"/>
    </w:rPr>
  </w:style>
  <w:style w:type="character" w:customStyle="1" w:styleId="PidipaginaCarattere">
    <w:name w:val="Piè di pagina Carattere"/>
    <w:basedOn w:val="Carpredefinitoparagrafo"/>
    <w:link w:val="Pidipagina"/>
    <w:uiPriority w:val="99"/>
    <w:rsid w:val="00B82E1E"/>
    <w:rPr>
      <w:rFonts w:ascii="Times New Roman" w:hAnsi="Times New Roman" w:cs="Times New Roman"/>
      <w:lang w:eastAsia="it-IT"/>
    </w:rPr>
  </w:style>
  <w:style w:type="paragraph" w:styleId="Nessunaspaziatura">
    <w:name w:val="No Spacing"/>
    <w:basedOn w:val="Normale"/>
    <w:link w:val="NessunaspaziaturaCarattere"/>
    <w:uiPriority w:val="1"/>
    <w:qFormat/>
    <w:rsid w:val="00F57AF7"/>
    <w:pPr>
      <w:spacing w:line="360" w:lineRule="auto"/>
      <w:jc w:val="both"/>
    </w:pPr>
    <w:rPr>
      <w:rFonts w:asciiTheme="minorHAnsi" w:hAnsiTheme="minorHAnsi" w:cstheme="minorBidi"/>
      <w:sz w:val="20"/>
      <w:szCs w:val="20"/>
      <w:lang w:val="en-US" w:eastAsia="en-US"/>
    </w:rPr>
  </w:style>
  <w:style w:type="character" w:customStyle="1" w:styleId="NessunaspaziaturaCarattere">
    <w:name w:val="Nessuna spaziatura Carattere"/>
    <w:basedOn w:val="Carpredefinitoparagrafo"/>
    <w:link w:val="Nessunaspaziatura"/>
    <w:uiPriority w:val="1"/>
    <w:rsid w:val="00F57AF7"/>
  </w:style>
  <w:style w:type="paragraph" w:customStyle="1" w:styleId="p1">
    <w:name w:val="p1"/>
    <w:basedOn w:val="Normale"/>
    <w:rsid w:val="00E1539B"/>
    <w:pPr>
      <w:spacing w:after="200" w:line="276" w:lineRule="auto"/>
      <w:jc w:val="both"/>
    </w:pPr>
    <w:rPr>
      <w:rFonts w:ascii="Helvetica" w:hAnsi="Helvetica" w:cstheme="minorBidi"/>
      <w:sz w:val="30"/>
      <w:szCs w:val="30"/>
      <w:lang w:val="en-US" w:eastAsia="en-US"/>
    </w:rPr>
  </w:style>
  <w:style w:type="paragraph" w:styleId="Didascalia">
    <w:name w:val="caption"/>
    <w:aliases w:val="cap,cap1,cap2,cap11,Caption Char,c,Labelling,Caption Char + Before:  0 pt,After:  0 pt + Not B...,Caption1,Caption1 Char,cap11 Char Ch...,cap11 Char Char Char Char,cap11 Char Char Char,cap11 Char Char,Caption Char3 Char,Caption ns,label"/>
    <w:basedOn w:val="Normale"/>
    <w:next w:val="Normale"/>
    <w:link w:val="DidascaliaCarattere"/>
    <w:uiPriority w:val="35"/>
    <w:unhideWhenUsed/>
    <w:qFormat/>
    <w:rsid w:val="00F57AF7"/>
    <w:rPr>
      <w:b/>
      <w:bCs/>
      <w:caps/>
      <w:sz w:val="16"/>
      <w:szCs w:val="18"/>
    </w:rPr>
  </w:style>
  <w:style w:type="character" w:customStyle="1" w:styleId="DidascaliaCarattere">
    <w:name w:val="Didascalia Carattere"/>
    <w:aliases w:val="cap Carattere,cap1 Carattere,cap2 Carattere,cap11 Carattere,Caption Char Carattere,c Carattere,Labelling Carattere,Caption Char + Before:  0 pt Carattere,After:  0 pt + Not B... Carattere,Caption1 Carattere,Caption1 Char Carattere"/>
    <w:basedOn w:val="Carpredefinitoparagrafo"/>
    <w:link w:val="Didascalia"/>
    <w:uiPriority w:val="35"/>
    <w:rsid w:val="00004A94"/>
    <w:rPr>
      <w:rFonts w:ascii="Times New Roman" w:hAnsi="Times New Roman" w:cs="Times New Roman"/>
      <w:b/>
      <w:bCs/>
      <w:caps/>
      <w:sz w:val="16"/>
      <w:szCs w:val="18"/>
      <w:lang w:eastAsia="it-IT"/>
    </w:rPr>
  </w:style>
  <w:style w:type="paragraph" w:styleId="Titolo">
    <w:name w:val="Title"/>
    <w:basedOn w:val="Normale"/>
    <w:next w:val="Normale"/>
    <w:link w:val="TitoloCarattere"/>
    <w:uiPriority w:val="10"/>
    <w:qFormat/>
    <w:rsid w:val="00F57AF7"/>
    <w:pPr>
      <w:pBdr>
        <w:top w:val="single" w:sz="12" w:space="1" w:color="ED7D31" w:themeColor="accent2"/>
      </w:pBdr>
      <w:spacing w:after="200" w:line="360" w:lineRule="auto"/>
      <w:jc w:val="right"/>
    </w:pPr>
    <w:rPr>
      <w:rFonts w:asciiTheme="minorHAnsi" w:hAnsiTheme="minorHAnsi" w:cstheme="minorBidi"/>
      <w:smallCaps/>
      <w:sz w:val="48"/>
      <w:szCs w:val="48"/>
      <w:lang w:val="en-US" w:eastAsia="en-US"/>
    </w:rPr>
  </w:style>
  <w:style w:type="character" w:customStyle="1" w:styleId="TitoloCarattere">
    <w:name w:val="Titolo Carattere"/>
    <w:basedOn w:val="Carpredefinitoparagrafo"/>
    <w:link w:val="Titolo"/>
    <w:uiPriority w:val="10"/>
    <w:rsid w:val="00F57AF7"/>
    <w:rPr>
      <w:smallCaps/>
      <w:sz w:val="48"/>
      <w:szCs w:val="48"/>
    </w:rPr>
  </w:style>
  <w:style w:type="paragraph" w:styleId="Sottotitolo">
    <w:name w:val="Subtitle"/>
    <w:basedOn w:val="Normale"/>
    <w:next w:val="Normale"/>
    <w:link w:val="SottotitoloCarattere"/>
    <w:uiPriority w:val="11"/>
    <w:qFormat/>
    <w:rsid w:val="00F57AF7"/>
    <w:pPr>
      <w:spacing w:after="720" w:line="360" w:lineRule="auto"/>
      <w:jc w:val="right"/>
    </w:pPr>
    <w:rPr>
      <w:rFonts w:asciiTheme="majorHAnsi" w:eastAsiaTheme="majorEastAsia" w:hAnsiTheme="majorHAnsi" w:cstheme="majorBidi"/>
      <w:sz w:val="20"/>
      <w:szCs w:val="22"/>
      <w:lang w:val="en-US" w:eastAsia="en-US"/>
    </w:rPr>
  </w:style>
  <w:style w:type="character" w:customStyle="1" w:styleId="SottotitoloCarattere">
    <w:name w:val="Sottotitolo Carattere"/>
    <w:basedOn w:val="Carpredefinitoparagrafo"/>
    <w:link w:val="Sottotitolo"/>
    <w:uiPriority w:val="11"/>
    <w:rsid w:val="00F57AF7"/>
    <w:rPr>
      <w:rFonts w:asciiTheme="majorHAnsi" w:eastAsiaTheme="majorEastAsia" w:hAnsiTheme="majorHAnsi" w:cstheme="majorBidi"/>
      <w:szCs w:val="22"/>
    </w:rPr>
  </w:style>
  <w:style w:type="character" w:styleId="Enfasicorsivo">
    <w:name w:val="Emphasis"/>
    <w:uiPriority w:val="20"/>
    <w:qFormat/>
    <w:rsid w:val="00F57AF7"/>
    <w:rPr>
      <w:b/>
      <w:i/>
      <w:spacing w:val="10"/>
    </w:rPr>
  </w:style>
  <w:style w:type="paragraph" w:styleId="Citazione">
    <w:name w:val="Quote"/>
    <w:basedOn w:val="Normale"/>
    <w:next w:val="Normale"/>
    <w:link w:val="CitazioneCarattere"/>
    <w:uiPriority w:val="29"/>
    <w:qFormat/>
    <w:rsid w:val="00F57AF7"/>
    <w:pPr>
      <w:spacing w:after="200" w:line="276" w:lineRule="auto"/>
      <w:jc w:val="both"/>
    </w:pPr>
    <w:rPr>
      <w:rFonts w:asciiTheme="minorHAnsi" w:hAnsiTheme="minorHAnsi" w:cstheme="minorBidi"/>
      <w:i/>
      <w:sz w:val="20"/>
      <w:szCs w:val="20"/>
      <w:lang w:val="en-US" w:eastAsia="en-US"/>
    </w:rPr>
  </w:style>
  <w:style w:type="character" w:customStyle="1" w:styleId="CitazioneCarattere">
    <w:name w:val="Citazione Carattere"/>
    <w:basedOn w:val="Carpredefinitoparagrafo"/>
    <w:link w:val="Citazione"/>
    <w:uiPriority w:val="29"/>
    <w:rsid w:val="00F57AF7"/>
    <w:rPr>
      <w:i/>
    </w:rPr>
  </w:style>
  <w:style w:type="paragraph" w:styleId="Citazioneintensa">
    <w:name w:val="Intense Quote"/>
    <w:basedOn w:val="Normale"/>
    <w:next w:val="Normale"/>
    <w:link w:val="CitazioneintensaCarattere"/>
    <w:uiPriority w:val="30"/>
    <w:qFormat/>
    <w:rsid w:val="00F57AF7"/>
    <w:pPr>
      <w:pBdr>
        <w:top w:val="single" w:sz="8" w:space="10" w:color="C45911" w:themeColor="accent2" w:themeShade="BF"/>
        <w:left w:val="single" w:sz="8" w:space="10" w:color="C45911" w:themeColor="accent2" w:themeShade="BF"/>
        <w:bottom w:val="single" w:sz="8" w:space="10" w:color="C45911" w:themeColor="accent2" w:themeShade="BF"/>
        <w:right w:val="single" w:sz="8" w:space="10" w:color="C45911" w:themeColor="accent2" w:themeShade="BF"/>
      </w:pBdr>
      <w:shd w:val="clear" w:color="auto" w:fill="ED7D31" w:themeFill="accent2"/>
      <w:spacing w:before="140" w:after="140" w:line="276" w:lineRule="auto"/>
      <w:ind w:left="1440" w:right="1440"/>
      <w:jc w:val="both"/>
    </w:pPr>
    <w:rPr>
      <w:rFonts w:asciiTheme="minorHAnsi" w:hAnsiTheme="minorHAnsi" w:cstheme="minorBidi"/>
      <w:b/>
      <w:i/>
      <w:color w:val="FFFFFF" w:themeColor="background1"/>
      <w:sz w:val="20"/>
      <w:szCs w:val="20"/>
      <w:lang w:val="en-US" w:eastAsia="en-US"/>
    </w:rPr>
  </w:style>
  <w:style w:type="character" w:customStyle="1" w:styleId="CitazioneintensaCarattere">
    <w:name w:val="Citazione intensa Carattere"/>
    <w:basedOn w:val="Carpredefinitoparagrafo"/>
    <w:link w:val="Citazioneintensa"/>
    <w:uiPriority w:val="30"/>
    <w:rsid w:val="00F57AF7"/>
    <w:rPr>
      <w:b/>
      <w:i/>
      <w:color w:val="FFFFFF" w:themeColor="background1"/>
      <w:shd w:val="clear" w:color="auto" w:fill="ED7D31" w:themeFill="accent2"/>
    </w:rPr>
  </w:style>
  <w:style w:type="character" w:styleId="Enfasidelicata">
    <w:name w:val="Subtle Emphasis"/>
    <w:uiPriority w:val="19"/>
    <w:qFormat/>
    <w:rsid w:val="00F57AF7"/>
    <w:rPr>
      <w:i/>
    </w:rPr>
  </w:style>
  <w:style w:type="character" w:styleId="Enfasiintensa">
    <w:name w:val="Intense Emphasis"/>
    <w:uiPriority w:val="21"/>
    <w:qFormat/>
    <w:rsid w:val="00F57AF7"/>
    <w:rPr>
      <w:b/>
      <w:i/>
      <w:color w:val="ED7D31" w:themeColor="accent2"/>
      <w:spacing w:val="10"/>
    </w:rPr>
  </w:style>
  <w:style w:type="character" w:styleId="Riferimentodelicato">
    <w:name w:val="Subtle Reference"/>
    <w:uiPriority w:val="31"/>
    <w:qFormat/>
    <w:rsid w:val="00F57AF7"/>
    <w:rPr>
      <w:b/>
    </w:rPr>
  </w:style>
  <w:style w:type="character" w:styleId="Riferimentointenso">
    <w:name w:val="Intense Reference"/>
    <w:uiPriority w:val="32"/>
    <w:qFormat/>
    <w:rsid w:val="00F57AF7"/>
    <w:rPr>
      <w:b/>
      <w:bCs/>
      <w:smallCaps/>
      <w:spacing w:val="5"/>
      <w:sz w:val="22"/>
      <w:szCs w:val="22"/>
      <w:u w:val="single"/>
    </w:rPr>
  </w:style>
  <w:style w:type="character" w:styleId="Titolodellibro">
    <w:name w:val="Book Title"/>
    <w:uiPriority w:val="33"/>
    <w:qFormat/>
    <w:rsid w:val="00F57AF7"/>
    <w:rPr>
      <w:rFonts w:asciiTheme="majorHAnsi" w:eastAsiaTheme="majorEastAsia" w:hAnsiTheme="majorHAnsi" w:cstheme="majorBidi"/>
      <w:i/>
      <w:iCs/>
      <w:sz w:val="20"/>
      <w:szCs w:val="20"/>
    </w:rPr>
  </w:style>
  <w:style w:type="paragraph" w:styleId="Titolosommario">
    <w:name w:val="TOC Heading"/>
    <w:basedOn w:val="Titolo1"/>
    <w:next w:val="Normale"/>
    <w:uiPriority w:val="39"/>
    <w:unhideWhenUsed/>
    <w:qFormat/>
    <w:rsid w:val="00F57AF7"/>
    <w:pPr>
      <w:outlineLvl w:val="9"/>
    </w:pPr>
  </w:style>
  <w:style w:type="paragraph" w:styleId="Sommario1">
    <w:name w:val="toc 1"/>
    <w:basedOn w:val="Normale"/>
    <w:next w:val="Normale"/>
    <w:autoRedefine/>
    <w:uiPriority w:val="39"/>
    <w:unhideWhenUsed/>
    <w:rsid w:val="00F57AF7"/>
    <w:pPr>
      <w:spacing w:before="120" w:line="276" w:lineRule="auto"/>
      <w:jc w:val="both"/>
    </w:pPr>
    <w:rPr>
      <w:rFonts w:asciiTheme="minorHAnsi" w:hAnsiTheme="minorHAnsi" w:cstheme="minorBidi"/>
      <w:b/>
      <w:bCs/>
      <w:sz w:val="21"/>
      <w:szCs w:val="20"/>
      <w:lang w:val="en-US" w:eastAsia="en-US"/>
    </w:rPr>
  </w:style>
  <w:style w:type="paragraph" w:styleId="Sommario2">
    <w:name w:val="toc 2"/>
    <w:basedOn w:val="Normale"/>
    <w:next w:val="Normale"/>
    <w:autoRedefine/>
    <w:uiPriority w:val="39"/>
    <w:unhideWhenUsed/>
    <w:rsid w:val="00F57AF7"/>
    <w:pPr>
      <w:spacing w:line="276" w:lineRule="auto"/>
      <w:ind w:left="200"/>
      <w:jc w:val="both"/>
    </w:pPr>
    <w:rPr>
      <w:rFonts w:asciiTheme="minorHAnsi" w:hAnsiTheme="minorHAnsi" w:cstheme="minorBidi"/>
      <w:b/>
      <w:bCs/>
      <w:sz w:val="22"/>
      <w:szCs w:val="22"/>
      <w:lang w:val="en-US" w:eastAsia="en-US"/>
    </w:rPr>
  </w:style>
  <w:style w:type="paragraph" w:styleId="Sommario3">
    <w:name w:val="toc 3"/>
    <w:basedOn w:val="Normale"/>
    <w:next w:val="Normale"/>
    <w:autoRedefine/>
    <w:uiPriority w:val="39"/>
    <w:unhideWhenUsed/>
    <w:rsid w:val="00F57AF7"/>
    <w:pPr>
      <w:spacing w:line="276" w:lineRule="auto"/>
      <w:ind w:left="400"/>
      <w:jc w:val="both"/>
    </w:pPr>
    <w:rPr>
      <w:rFonts w:asciiTheme="minorHAnsi" w:hAnsiTheme="minorHAnsi" w:cstheme="minorBidi"/>
      <w:sz w:val="22"/>
      <w:szCs w:val="22"/>
      <w:lang w:val="en-US" w:eastAsia="en-US"/>
    </w:rPr>
  </w:style>
  <w:style w:type="paragraph" w:styleId="Sommario4">
    <w:name w:val="toc 4"/>
    <w:basedOn w:val="Normale"/>
    <w:next w:val="Normale"/>
    <w:autoRedefine/>
    <w:uiPriority w:val="39"/>
    <w:semiHidden/>
    <w:unhideWhenUsed/>
    <w:rsid w:val="00F57AF7"/>
    <w:pPr>
      <w:ind w:left="600"/>
    </w:pPr>
  </w:style>
  <w:style w:type="paragraph" w:styleId="Sommario5">
    <w:name w:val="toc 5"/>
    <w:basedOn w:val="Normale"/>
    <w:next w:val="Normale"/>
    <w:autoRedefine/>
    <w:uiPriority w:val="39"/>
    <w:semiHidden/>
    <w:unhideWhenUsed/>
    <w:rsid w:val="00F57AF7"/>
    <w:pPr>
      <w:ind w:left="800"/>
    </w:pPr>
  </w:style>
  <w:style w:type="paragraph" w:styleId="Sommario6">
    <w:name w:val="toc 6"/>
    <w:basedOn w:val="Normale"/>
    <w:next w:val="Normale"/>
    <w:autoRedefine/>
    <w:uiPriority w:val="39"/>
    <w:semiHidden/>
    <w:unhideWhenUsed/>
    <w:rsid w:val="00F57AF7"/>
    <w:pPr>
      <w:ind w:left="1000"/>
    </w:pPr>
  </w:style>
  <w:style w:type="paragraph" w:styleId="Sommario7">
    <w:name w:val="toc 7"/>
    <w:basedOn w:val="Normale"/>
    <w:next w:val="Normale"/>
    <w:autoRedefine/>
    <w:uiPriority w:val="39"/>
    <w:semiHidden/>
    <w:unhideWhenUsed/>
    <w:rsid w:val="00F57AF7"/>
    <w:pPr>
      <w:ind w:left="1200"/>
    </w:pPr>
  </w:style>
  <w:style w:type="paragraph" w:styleId="Sommario8">
    <w:name w:val="toc 8"/>
    <w:basedOn w:val="Normale"/>
    <w:next w:val="Normale"/>
    <w:autoRedefine/>
    <w:uiPriority w:val="39"/>
    <w:semiHidden/>
    <w:unhideWhenUsed/>
    <w:rsid w:val="00F57AF7"/>
    <w:pPr>
      <w:ind w:left="1400"/>
    </w:pPr>
  </w:style>
  <w:style w:type="paragraph" w:styleId="Sommario9">
    <w:name w:val="toc 9"/>
    <w:basedOn w:val="Normale"/>
    <w:next w:val="Normale"/>
    <w:autoRedefine/>
    <w:uiPriority w:val="39"/>
    <w:semiHidden/>
    <w:unhideWhenUsed/>
    <w:rsid w:val="00F57AF7"/>
    <w:pPr>
      <w:ind w:left="1600"/>
    </w:pPr>
  </w:style>
  <w:style w:type="character" w:styleId="Numeropagina">
    <w:name w:val="page number"/>
    <w:basedOn w:val="Carpredefinitoparagrafo"/>
    <w:uiPriority w:val="99"/>
    <w:unhideWhenUsed/>
    <w:rsid w:val="00E357E6"/>
  </w:style>
  <w:style w:type="character" w:customStyle="1" w:styleId="hlfld-contribauthor">
    <w:name w:val="hlfld-contribauthor"/>
    <w:basedOn w:val="Carpredefinitoparagrafo"/>
    <w:rsid w:val="000E1875"/>
  </w:style>
  <w:style w:type="character" w:customStyle="1" w:styleId="separator">
    <w:name w:val="separator"/>
    <w:basedOn w:val="Carpredefinitoparagrafo"/>
    <w:rsid w:val="000E1875"/>
  </w:style>
  <w:style w:type="character" w:customStyle="1" w:styleId="nlmsource">
    <w:name w:val="nlm_source"/>
    <w:basedOn w:val="Carpredefinitoparagrafo"/>
    <w:rsid w:val="000E1875"/>
  </w:style>
  <w:style w:type="paragraph" w:customStyle="1" w:styleId="p2">
    <w:name w:val="p2"/>
    <w:basedOn w:val="Normale"/>
    <w:rsid w:val="00D62338"/>
    <w:pPr>
      <w:spacing w:line="360" w:lineRule="auto"/>
      <w:jc w:val="both"/>
    </w:pPr>
    <w:rPr>
      <w:rFonts w:ascii="Arial" w:hAnsi="Arial" w:cs="Arial"/>
      <w:sz w:val="72"/>
      <w:szCs w:val="72"/>
      <w:lang w:val="en-US" w:eastAsia="en-US"/>
    </w:rPr>
  </w:style>
  <w:style w:type="table" w:styleId="Grigliatabella">
    <w:name w:val="Table Grid"/>
    <w:aliases w:val="Tabellengitternetz"/>
    <w:basedOn w:val="Tabellanormale"/>
    <w:uiPriority w:val="39"/>
    <w:rsid w:val="00B239E3"/>
    <w:pPr>
      <w:spacing w:after="0" w:line="240" w:lineRule="auto"/>
      <w:jc w:val="left"/>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E84981"/>
    <w:rPr>
      <w:color w:val="808080"/>
    </w:rPr>
  </w:style>
  <w:style w:type="character" w:customStyle="1" w:styleId="s1">
    <w:name w:val="s1"/>
    <w:basedOn w:val="Carpredefinitoparagrafo"/>
    <w:rsid w:val="007013AF"/>
    <w:rPr>
      <w:rFonts w:ascii="Times" w:hAnsi="Times" w:hint="default"/>
      <w:sz w:val="7"/>
      <w:szCs w:val="7"/>
    </w:rPr>
  </w:style>
  <w:style w:type="character" w:customStyle="1" w:styleId="s2">
    <w:name w:val="s2"/>
    <w:basedOn w:val="Carpredefinitoparagrafo"/>
    <w:rsid w:val="007013AF"/>
    <w:rPr>
      <w:rFonts w:ascii="Helvetica" w:hAnsi="Helvetica" w:hint="default"/>
      <w:sz w:val="10"/>
      <w:szCs w:val="10"/>
    </w:rPr>
  </w:style>
  <w:style w:type="paragraph" w:customStyle="1" w:styleId="ResumeAlignRight">
    <w:name w:val="Resume Align Right"/>
    <w:basedOn w:val="Normale"/>
    <w:rsid w:val="008E56C4"/>
    <w:pPr>
      <w:tabs>
        <w:tab w:val="right" w:pos="10080"/>
      </w:tabs>
    </w:pPr>
    <w:rPr>
      <w:rFonts w:eastAsia="SimSun"/>
      <w:lang w:val="en-US" w:eastAsia="zh-CN"/>
    </w:rPr>
  </w:style>
  <w:style w:type="paragraph" w:customStyle="1" w:styleId="a">
    <w:name w:val="段落"/>
    <w:basedOn w:val="Normale"/>
    <w:rsid w:val="00D22FB1"/>
    <w:pPr>
      <w:adjustRightInd w:val="0"/>
      <w:spacing w:line="420" w:lineRule="exact"/>
      <w:ind w:firstLineChars="200" w:firstLine="520"/>
      <w:jc w:val="both"/>
    </w:pPr>
    <w:rPr>
      <w:rFonts w:eastAsia="SimSun"/>
      <w:spacing w:val="10"/>
      <w:szCs w:val="20"/>
      <w:lang w:val="en-US" w:eastAsia="zh-CN"/>
    </w:rPr>
  </w:style>
  <w:style w:type="paragraph" w:customStyle="1" w:styleId="Titolo10">
    <w:name w:val="Titolo1"/>
    <w:basedOn w:val="Titolo"/>
    <w:rsid w:val="00D22FB1"/>
    <w:pPr>
      <w:pBdr>
        <w:top w:val="none" w:sz="0" w:space="0" w:color="auto"/>
      </w:pBdr>
      <w:adjustRightInd w:val="0"/>
      <w:spacing w:before="240" w:after="360" w:line="420" w:lineRule="exact"/>
      <w:jc w:val="center"/>
    </w:pPr>
    <w:rPr>
      <w:rFonts w:ascii="Arial" w:eastAsia="SimSun" w:hAnsi="Arial" w:cs="Times New Roman"/>
      <w:smallCaps w:val="0"/>
      <w:sz w:val="30"/>
      <w:szCs w:val="20"/>
      <w:lang w:eastAsia="zh-CN"/>
    </w:rPr>
  </w:style>
  <w:style w:type="paragraph" w:customStyle="1" w:styleId="Affiliation">
    <w:name w:val="Affiliation"/>
    <w:rsid w:val="001A217B"/>
    <w:pPr>
      <w:spacing w:after="0" w:line="240" w:lineRule="auto"/>
      <w:jc w:val="center"/>
    </w:pPr>
    <w:rPr>
      <w:rFonts w:ascii="Times New Roman" w:eastAsia="PMingLiU" w:hAnsi="Times New Roman" w:cs="Times New Roman"/>
      <w:sz w:val="20"/>
      <w:szCs w:val="20"/>
      <w:lang w:val="en-US" w:eastAsia="it-IT"/>
    </w:rPr>
  </w:style>
  <w:style w:type="character" w:styleId="Collegamentovisitato">
    <w:name w:val="FollowedHyperlink"/>
    <w:basedOn w:val="Carpredefinitoparagrafo"/>
    <w:uiPriority w:val="99"/>
    <w:semiHidden/>
    <w:unhideWhenUsed/>
    <w:rsid w:val="001A217B"/>
    <w:rPr>
      <w:color w:val="954F72" w:themeColor="followedHyperlink"/>
      <w:u w:val="single"/>
    </w:rPr>
  </w:style>
  <w:style w:type="paragraph" w:customStyle="1" w:styleId="a0">
    <w:name w:val="缩写表"/>
    <w:basedOn w:val="Sommario1"/>
    <w:rsid w:val="003E022F"/>
    <w:pPr>
      <w:widowControl w:val="0"/>
      <w:adjustRightInd w:val="0"/>
      <w:spacing w:before="0" w:after="120" w:line="400" w:lineRule="exact"/>
      <w:jc w:val="left"/>
      <w:textAlignment w:val="baseline"/>
    </w:pPr>
    <w:rPr>
      <w:rFonts w:ascii="Times New Roman" w:eastAsia="SimSun" w:hAnsi="Times New Roman" w:cs="Times New Roman"/>
      <w:b w:val="0"/>
      <w:bCs w:val="0"/>
      <w:spacing w:val="10"/>
      <w:sz w:val="24"/>
      <w:szCs w:val="24"/>
      <w:lang w:val="it-IT" w:eastAsia="zh-CN"/>
    </w:rPr>
  </w:style>
  <w:style w:type="table" w:styleId="Grigliatabellachiara">
    <w:name w:val="Grid Table Light"/>
    <w:basedOn w:val="Tabellanormale"/>
    <w:uiPriority w:val="40"/>
    <w:rsid w:val="0067414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lasemplice1">
    <w:name w:val="Table Simple 1"/>
    <w:basedOn w:val="Tabellanormale"/>
    <w:uiPriority w:val="99"/>
    <w:unhideWhenUsed/>
    <w:rsid w:val="00BA7DB9"/>
    <w:pPr>
      <w:spacing w:after="0" w:line="240" w:lineRule="auto"/>
      <w:jc w:val="left"/>
    </w:pPr>
    <w:tblPr>
      <w:tblBorders>
        <w:top w:val="single" w:sz="4" w:space="0" w:color="auto"/>
        <w:bottom w:val="single" w:sz="4" w:space="0" w:color="auto"/>
      </w:tblBorders>
    </w:tblPr>
    <w:tcPr>
      <w:shd w:val="clear" w:color="auto" w:fill="auto"/>
    </w:tcPr>
    <w:tblStylePr w:type="firstRow">
      <w:tblPr/>
      <w:tcPr>
        <w:tcBorders>
          <w:bottom w:val="single" w:sz="6" w:space="0" w:color="008000"/>
        </w:tcBorders>
      </w:tcPr>
    </w:tblStylePr>
    <w:tblStylePr w:type="lastRow">
      <w:tblPr/>
      <w:tcPr>
        <w:tcBorders>
          <w:top w:val="single" w:sz="6" w:space="0" w:color="008000"/>
        </w:tcBorders>
      </w:tcPr>
    </w:tblStylePr>
  </w:style>
  <w:style w:type="table" w:styleId="Tabellagriglia1chiara">
    <w:name w:val="Grid Table 1 Light"/>
    <w:basedOn w:val="Tabellanormale"/>
    <w:uiPriority w:val="46"/>
    <w:rsid w:val="0067414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stofumetto">
    <w:name w:val="Balloon Text"/>
    <w:basedOn w:val="Normale"/>
    <w:link w:val="TestofumettoCarattere"/>
    <w:uiPriority w:val="99"/>
    <w:semiHidden/>
    <w:unhideWhenUsed/>
    <w:rsid w:val="001326A6"/>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326A6"/>
    <w:rPr>
      <w:rFonts w:ascii="Segoe UI" w:hAnsi="Segoe UI" w:cs="Segoe UI"/>
      <w:sz w:val="18"/>
      <w:szCs w:val="18"/>
      <w:lang w:eastAsia="it-IT"/>
    </w:rPr>
  </w:style>
  <w:style w:type="table" w:styleId="Tabellasemplice5">
    <w:name w:val="Plain Table 5"/>
    <w:basedOn w:val="Tabellanormale"/>
    <w:uiPriority w:val="45"/>
    <w:rsid w:val="00BA7DB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griglia4-colore2">
    <w:name w:val="Grid Table 4 Accent 2"/>
    <w:basedOn w:val="Tabellanormale"/>
    <w:uiPriority w:val="49"/>
    <w:rsid w:val="00BA7DB9"/>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ellagriglia4-colore3">
    <w:name w:val="Grid Table 4 Accent 3"/>
    <w:basedOn w:val="Tabellanormale"/>
    <w:uiPriority w:val="49"/>
    <w:rsid w:val="00BA7DB9"/>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ellaelenco3-colore3">
    <w:name w:val="List Table 3 Accent 3"/>
    <w:basedOn w:val="Tabellanormale"/>
    <w:uiPriority w:val="48"/>
    <w:rsid w:val="00BA7DB9"/>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Tabellasemplice4">
    <w:name w:val="Plain Table 4"/>
    <w:basedOn w:val="Tabellanormale"/>
    <w:uiPriority w:val="44"/>
    <w:rsid w:val="00BA7DB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lagriglia1chiara-colore3">
    <w:name w:val="Grid Table 1 Light Accent 3"/>
    <w:basedOn w:val="Tabellanormale"/>
    <w:uiPriority w:val="46"/>
    <w:rsid w:val="00BA7DB9"/>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character" w:styleId="Rimandocommento">
    <w:name w:val="annotation reference"/>
    <w:basedOn w:val="Carpredefinitoparagrafo"/>
    <w:uiPriority w:val="99"/>
    <w:semiHidden/>
    <w:unhideWhenUsed/>
    <w:rsid w:val="00E11970"/>
    <w:rPr>
      <w:sz w:val="16"/>
      <w:szCs w:val="16"/>
    </w:rPr>
  </w:style>
  <w:style w:type="paragraph" w:styleId="Testocommento">
    <w:name w:val="annotation text"/>
    <w:basedOn w:val="Normale"/>
    <w:link w:val="TestocommentoCarattere"/>
    <w:uiPriority w:val="99"/>
    <w:semiHidden/>
    <w:unhideWhenUsed/>
    <w:rsid w:val="00E11970"/>
    <w:rPr>
      <w:sz w:val="20"/>
      <w:szCs w:val="20"/>
    </w:rPr>
  </w:style>
  <w:style w:type="character" w:customStyle="1" w:styleId="TestocommentoCarattere">
    <w:name w:val="Testo commento Carattere"/>
    <w:basedOn w:val="Carpredefinitoparagrafo"/>
    <w:link w:val="Testocommento"/>
    <w:uiPriority w:val="99"/>
    <w:semiHidden/>
    <w:rsid w:val="00E11970"/>
    <w:rPr>
      <w:rFonts w:ascii="Times New Roman" w:hAnsi="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11970"/>
    <w:rPr>
      <w:b/>
      <w:bCs/>
    </w:rPr>
  </w:style>
  <w:style w:type="character" w:customStyle="1" w:styleId="SoggettocommentoCarattere">
    <w:name w:val="Soggetto commento Carattere"/>
    <w:basedOn w:val="TestocommentoCarattere"/>
    <w:link w:val="Soggettocommento"/>
    <w:uiPriority w:val="99"/>
    <w:semiHidden/>
    <w:rsid w:val="00E11970"/>
    <w:rPr>
      <w:rFonts w:ascii="Times New Roman" w:hAnsi="Times New Roman" w:cs="Times New Roman"/>
      <w:b/>
      <w:bCs/>
      <w:sz w:val="20"/>
      <w:szCs w:val="20"/>
      <w:lang w:eastAsia="it-IT"/>
    </w:rPr>
  </w:style>
  <w:style w:type="paragraph" w:styleId="Revisione">
    <w:name w:val="Revision"/>
    <w:hidden/>
    <w:uiPriority w:val="99"/>
    <w:semiHidden/>
    <w:rsid w:val="000A6340"/>
    <w:pPr>
      <w:spacing w:after="0" w:line="240" w:lineRule="auto"/>
      <w:jc w:val="left"/>
    </w:pPr>
    <w:rPr>
      <w:rFonts w:ascii="Times New Roman" w:hAnsi="Times New Roman" w:cs="Times New Roman"/>
      <w:lang w:eastAsia="it-IT"/>
    </w:rPr>
  </w:style>
  <w:style w:type="paragraph" w:styleId="Testonotaapidipagina">
    <w:name w:val="footnote text"/>
    <w:aliases w:val="Schriftart: 9 pt,Schriftart: 10 pt,Schriftart: 8 pt,WB-Fußnotentext,fn,Footnotes,Footnote ak,FoodNote,ft,Footnote text,Footnote,Footnote Text Char1,Footnote Text Char Char,Footnote Text Char1 Char Char,footnote text"/>
    <w:basedOn w:val="Normale"/>
    <w:link w:val="TestonotaapidipaginaCarattere"/>
    <w:unhideWhenUsed/>
    <w:rsid w:val="00462F8E"/>
    <w:rPr>
      <w:rFonts w:cstheme="minorBidi"/>
      <w:sz w:val="20"/>
      <w:szCs w:val="20"/>
    </w:rPr>
  </w:style>
  <w:style w:type="character" w:customStyle="1" w:styleId="TestonotaapidipaginaCarattere">
    <w:name w:val="Testo nota a piè di pagina Carattere"/>
    <w:aliases w:val="Schriftart: 9 pt Carattere,Schriftart: 10 pt Carattere,Schriftart: 8 pt Carattere,WB-Fußnotentext Carattere,fn Carattere,Footnotes Carattere,Footnote ak Carattere,FoodNote Carattere,ft Carattere,Footnote Carattere"/>
    <w:basedOn w:val="Carpredefinitoparagrafo"/>
    <w:link w:val="Testonotaapidipagina"/>
    <w:rsid w:val="00462F8E"/>
    <w:rPr>
      <w:rFonts w:ascii="Times New Roman" w:hAnsi="Times New Roman"/>
      <w:sz w:val="20"/>
      <w:szCs w:val="20"/>
      <w:lang w:eastAsia="it-IT"/>
    </w:rPr>
  </w:style>
  <w:style w:type="character" w:styleId="Rimandonotaapidipagina">
    <w:name w:val="footnote reference"/>
    <w:aliases w:val="Footnote symbol,Times 10 Point,Exposant 3 Point, Exposant 3 Point,Footnote number,Footnote Reference Number,Footnote reference number,Footnote Reference Superscript,EN Footnote Reference,note TESI,Voetnootverwijzing,fr,o,FR"/>
    <w:basedOn w:val="Carpredefinitoparagrafo"/>
    <w:uiPriority w:val="99"/>
    <w:unhideWhenUsed/>
    <w:rsid w:val="00462F8E"/>
    <w:rPr>
      <w:vertAlign w:val="superscript"/>
    </w:rPr>
  </w:style>
  <w:style w:type="paragraph" w:customStyle="1" w:styleId="TableTitle">
    <w:name w:val="Table Title"/>
    <w:rsid w:val="00E92BC5"/>
    <w:pPr>
      <w:spacing w:before="60" w:after="60" w:line="240" w:lineRule="auto"/>
      <w:jc w:val="left"/>
    </w:pPr>
    <w:rPr>
      <w:rFonts w:ascii="Times New Roman" w:eastAsia="Times New Roman" w:hAnsi="Times New Roman" w:cs="Times New Roman"/>
      <w:b/>
      <w:bCs/>
      <w:color w:val="FFFFFF"/>
      <w:szCs w:val="20"/>
      <w:lang w:val="de-DE" w:eastAsia="de-DE"/>
    </w:rPr>
  </w:style>
  <w:style w:type="paragraph" w:styleId="Indicedellefigure">
    <w:name w:val="table of figures"/>
    <w:basedOn w:val="Normale"/>
    <w:next w:val="Normale"/>
    <w:uiPriority w:val="99"/>
    <w:unhideWhenUsed/>
    <w:rsid w:val="00E92BC5"/>
    <w:pPr>
      <w:ind w:firstLine="360"/>
    </w:pPr>
    <w:rPr>
      <w:rFonts w:asciiTheme="minorHAnsi" w:hAnsiTheme="minorHAnsi" w:cstheme="minorBidi"/>
      <w:sz w:val="22"/>
      <w:szCs w:val="22"/>
      <w:lang w:val="en-US" w:eastAsia="en-US" w:bidi="en-US"/>
    </w:rPr>
  </w:style>
  <w:style w:type="paragraph" w:customStyle="1" w:styleId="Default">
    <w:name w:val="Default"/>
    <w:rsid w:val="00E92BC5"/>
    <w:pPr>
      <w:autoSpaceDE w:val="0"/>
      <w:autoSpaceDN w:val="0"/>
      <w:adjustRightInd w:val="0"/>
      <w:spacing w:after="0" w:line="240" w:lineRule="auto"/>
      <w:jc w:val="left"/>
    </w:pPr>
    <w:rPr>
      <w:rFonts w:ascii="Times New Roman" w:eastAsiaTheme="minorHAnsi" w:hAnsi="Times New Roman" w:cs="Times New Roman"/>
      <w:color w:val="000000"/>
    </w:rPr>
  </w:style>
  <w:style w:type="paragraph" w:customStyle="1" w:styleId="Numeropagina1">
    <w:name w:val="Numero pagina1"/>
    <w:basedOn w:val="Normale"/>
    <w:rsid w:val="00E92BC5"/>
    <w:pPr>
      <w:jc w:val="center"/>
    </w:pPr>
    <w:rPr>
      <w:rFonts w:ascii="Times" w:eastAsia="Batang" w:hAnsi="Times"/>
      <w:szCs w:val="20"/>
      <w:lang w:val="en-US" w:eastAsia="en-US"/>
    </w:rPr>
  </w:style>
  <w:style w:type="paragraph" w:customStyle="1" w:styleId="Els-body-text">
    <w:name w:val="Els-body-text"/>
    <w:rsid w:val="00E92BC5"/>
    <w:pPr>
      <w:spacing w:after="0" w:line="240" w:lineRule="exact"/>
      <w:ind w:firstLine="238"/>
    </w:pPr>
    <w:rPr>
      <w:rFonts w:ascii="Times New Roman" w:eastAsia="SimSun" w:hAnsi="Times New Roman" w:cs="Times New Roman"/>
      <w:sz w:val="20"/>
      <w:szCs w:val="20"/>
      <w:lang w:val="en-US"/>
    </w:rPr>
  </w:style>
  <w:style w:type="paragraph" w:customStyle="1" w:styleId="Style10ptJustified">
    <w:name w:val="Style 10 pt Justified"/>
    <w:basedOn w:val="Normale"/>
    <w:link w:val="Style10ptJustifiedChar"/>
    <w:autoRedefine/>
    <w:rsid w:val="004F781D"/>
    <w:pPr>
      <w:keepNext/>
      <w:snapToGrid w:val="0"/>
      <w:spacing w:before="40" w:after="120"/>
      <w:jc w:val="both"/>
    </w:pPr>
    <w:rPr>
      <w:rFonts w:eastAsia="Times New Roman"/>
      <w:iCs/>
      <w:sz w:val="20"/>
      <w:szCs w:val="20"/>
      <w:lang w:val="en-GB" w:eastAsia="en-US"/>
    </w:rPr>
  </w:style>
  <w:style w:type="character" w:customStyle="1" w:styleId="Style10ptJustifiedChar">
    <w:name w:val="Style 10 pt Justified Char"/>
    <w:link w:val="Style10ptJustified"/>
    <w:rsid w:val="004F781D"/>
    <w:rPr>
      <w:rFonts w:ascii="Times New Roman" w:eastAsia="Times New Roman" w:hAnsi="Times New Roman" w:cs="Times New Roman"/>
      <w:iCs/>
      <w:sz w:val="20"/>
      <w:szCs w:val="20"/>
      <w:lang w:val="en-GB"/>
    </w:rPr>
  </w:style>
  <w:style w:type="character" w:styleId="Rimandonotadichiusura">
    <w:name w:val="endnote reference"/>
    <w:basedOn w:val="Carpredefinitoparagrafo"/>
    <w:uiPriority w:val="99"/>
    <w:semiHidden/>
    <w:unhideWhenUsed/>
    <w:rsid w:val="00116E5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24686">
      <w:bodyDiv w:val="1"/>
      <w:marLeft w:val="0"/>
      <w:marRight w:val="0"/>
      <w:marTop w:val="0"/>
      <w:marBottom w:val="0"/>
      <w:divBdr>
        <w:top w:val="none" w:sz="0" w:space="0" w:color="auto"/>
        <w:left w:val="none" w:sz="0" w:space="0" w:color="auto"/>
        <w:bottom w:val="none" w:sz="0" w:space="0" w:color="auto"/>
        <w:right w:val="none" w:sz="0" w:space="0" w:color="auto"/>
      </w:divBdr>
    </w:div>
    <w:div w:id="29500707">
      <w:bodyDiv w:val="1"/>
      <w:marLeft w:val="0"/>
      <w:marRight w:val="0"/>
      <w:marTop w:val="0"/>
      <w:marBottom w:val="0"/>
      <w:divBdr>
        <w:top w:val="none" w:sz="0" w:space="0" w:color="auto"/>
        <w:left w:val="none" w:sz="0" w:space="0" w:color="auto"/>
        <w:bottom w:val="none" w:sz="0" w:space="0" w:color="auto"/>
        <w:right w:val="none" w:sz="0" w:space="0" w:color="auto"/>
      </w:divBdr>
    </w:div>
    <w:div w:id="62874101">
      <w:bodyDiv w:val="1"/>
      <w:marLeft w:val="0"/>
      <w:marRight w:val="0"/>
      <w:marTop w:val="0"/>
      <w:marBottom w:val="0"/>
      <w:divBdr>
        <w:top w:val="none" w:sz="0" w:space="0" w:color="auto"/>
        <w:left w:val="none" w:sz="0" w:space="0" w:color="auto"/>
        <w:bottom w:val="none" w:sz="0" w:space="0" w:color="auto"/>
        <w:right w:val="none" w:sz="0" w:space="0" w:color="auto"/>
      </w:divBdr>
    </w:div>
    <w:div w:id="70852546">
      <w:bodyDiv w:val="1"/>
      <w:marLeft w:val="0"/>
      <w:marRight w:val="0"/>
      <w:marTop w:val="0"/>
      <w:marBottom w:val="0"/>
      <w:divBdr>
        <w:top w:val="none" w:sz="0" w:space="0" w:color="auto"/>
        <w:left w:val="none" w:sz="0" w:space="0" w:color="auto"/>
        <w:bottom w:val="none" w:sz="0" w:space="0" w:color="auto"/>
        <w:right w:val="none" w:sz="0" w:space="0" w:color="auto"/>
      </w:divBdr>
      <w:divsChild>
        <w:div w:id="1124692173">
          <w:marLeft w:val="0"/>
          <w:marRight w:val="0"/>
          <w:marTop w:val="0"/>
          <w:marBottom w:val="0"/>
          <w:divBdr>
            <w:top w:val="none" w:sz="0" w:space="0" w:color="auto"/>
            <w:left w:val="none" w:sz="0" w:space="0" w:color="auto"/>
            <w:bottom w:val="none" w:sz="0" w:space="0" w:color="auto"/>
            <w:right w:val="none" w:sz="0" w:space="0" w:color="auto"/>
          </w:divBdr>
          <w:divsChild>
            <w:div w:id="133914405">
              <w:marLeft w:val="0"/>
              <w:marRight w:val="0"/>
              <w:marTop w:val="0"/>
              <w:marBottom w:val="0"/>
              <w:divBdr>
                <w:top w:val="none" w:sz="0" w:space="0" w:color="auto"/>
                <w:left w:val="none" w:sz="0" w:space="0" w:color="auto"/>
                <w:bottom w:val="none" w:sz="0" w:space="0" w:color="auto"/>
                <w:right w:val="none" w:sz="0" w:space="0" w:color="auto"/>
              </w:divBdr>
              <w:divsChild>
                <w:div w:id="656348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84286">
      <w:bodyDiv w:val="1"/>
      <w:marLeft w:val="0"/>
      <w:marRight w:val="0"/>
      <w:marTop w:val="0"/>
      <w:marBottom w:val="0"/>
      <w:divBdr>
        <w:top w:val="none" w:sz="0" w:space="0" w:color="auto"/>
        <w:left w:val="none" w:sz="0" w:space="0" w:color="auto"/>
        <w:bottom w:val="none" w:sz="0" w:space="0" w:color="auto"/>
        <w:right w:val="none" w:sz="0" w:space="0" w:color="auto"/>
      </w:divBdr>
    </w:div>
    <w:div w:id="84812481">
      <w:bodyDiv w:val="1"/>
      <w:marLeft w:val="0"/>
      <w:marRight w:val="0"/>
      <w:marTop w:val="0"/>
      <w:marBottom w:val="0"/>
      <w:divBdr>
        <w:top w:val="none" w:sz="0" w:space="0" w:color="auto"/>
        <w:left w:val="none" w:sz="0" w:space="0" w:color="auto"/>
        <w:bottom w:val="none" w:sz="0" w:space="0" w:color="auto"/>
        <w:right w:val="none" w:sz="0" w:space="0" w:color="auto"/>
      </w:divBdr>
    </w:div>
    <w:div w:id="85734199">
      <w:bodyDiv w:val="1"/>
      <w:marLeft w:val="0"/>
      <w:marRight w:val="0"/>
      <w:marTop w:val="0"/>
      <w:marBottom w:val="0"/>
      <w:divBdr>
        <w:top w:val="none" w:sz="0" w:space="0" w:color="auto"/>
        <w:left w:val="none" w:sz="0" w:space="0" w:color="auto"/>
        <w:bottom w:val="none" w:sz="0" w:space="0" w:color="auto"/>
        <w:right w:val="none" w:sz="0" w:space="0" w:color="auto"/>
      </w:divBdr>
    </w:div>
    <w:div w:id="93788561">
      <w:bodyDiv w:val="1"/>
      <w:marLeft w:val="0"/>
      <w:marRight w:val="0"/>
      <w:marTop w:val="0"/>
      <w:marBottom w:val="0"/>
      <w:divBdr>
        <w:top w:val="none" w:sz="0" w:space="0" w:color="auto"/>
        <w:left w:val="none" w:sz="0" w:space="0" w:color="auto"/>
        <w:bottom w:val="none" w:sz="0" w:space="0" w:color="auto"/>
        <w:right w:val="none" w:sz="0" w:space="0" w:color="auto"/>
      </w:divBdr>
    </w:div>
    <w:div w:id="96558026">
      <w:bodyDiv w:val="1"/>
      <w:marLeft w:val="0"/>
      <w:marRight w:val="0"/>
      <w:marTop w:val="0"/>
      <w:marBottom w:val="0"/>
      <w:divBdr>
        <w:top w:val="none" w:sz="0" w:space="0" w:color="auto"/>
        <w:left w:val="none" w:sz="0" w:space="0" w:color="auto"/>
        <w:bottom w:val="none" w:sz="0" w:space="0" w:color="auto"/>
        <w:right w:val="none" w:sz="0" w:space="0" w:color="auto"/>
      </w:divBdr>
    </w:div>
    <w:div w:id="101386643">
      <w:bodyDiv w:val="1"/>
      <w:marLeft w:val="0"/>
      <w:marRight w:val="0"/>
      <w:marTop w:val="0"/>
      <w:marBottom w:val="0"/>
      <w:divBdr>
        <w:top w:val="none" w:sz="0" w:space="0" w:color="auto"/>
        <w:left w:val="none" w:sz="0" w:space="0" w:color="auto"/>
        <w:bottom w:val="none" w:sz="0" w:space="0" w:color="auto"/>
        <w:right w:val="none" w:sz="0" w:space="0" w:color="auto"/>
      </w:divBdr>
    </w:div>
    <w:div w:id="115028857">
      <w:bodyDiv w:val="1"/>
      <w:marLeft w:val="0"/>
      <w:marRight w:val="0"/>
      <w:marTop w:val="0"/>
      <w:marBottom w:val="0"/>
      <w:divBdr>
        <w:top w:val="none" w:sz="0" w:space="0" w:color="auto"/>
        <w:left w:val="none" w:sz="0" w:space="0" w:color="auto"/>
        <w:bottom w:val="none" w:sz="0" w:space="0" w:color="auto"/>
        <w:right w:val="none" w:sz="0" w:space="0" w:color="auto"/>
      </w:divBdr>
    </w:div>
    <w:div w:id="115681259">
      <w:bodyDiv w:val="1"/>
      <w:marLeft w:val="0"/>
      <w:marRight w:val="0"/>
      <w:marTop w:val="0"/>
      <w:marBottom w:val="0"/>
      <w:divBdr>
        <w:top w:val="none" w:sz="0" w:space="0" w:color="auto"/>
        <w:left w:val="none" w:sz="0" w:space="0" w:color="auto"/>
        <w:bottom w:val="none" w:sz="0" w:space="0" w:color="auto"/>
        <w:right w:val="none" w:sz="0" w:space="0" w:color="auto"/>
      </w:divBdr>
    </w:div>
    <w:div w:id="121313532">
      <w:bodyDiv w:val="1"/>
      <w:marLeft w:val="0"/>
      <w:marRight w:val="0"/>
      <w:marTop w:val="0"/>
      <w:marBottom w:val="0"/>
      <w:divBdr>
        <w:top w:val="none" w:sz="0" w:space="0" w:color="auto"/>
        <w:left w:val="none" w:sz="0" w:space="0" w:color="auto"/>
        <w:bottom w:val="none" w:sz="0" w:space="0" w:color="auto"/>
        <w:right w:val="none" w:sz="0" w:space="0" w:color="auto"/>
      </w:divBdr>
    </w:div>
    <w:div w:id="133182013">
      <w:bodyDiv w:val="1"/>
      <w:marLeft w:val="0"/>
      <w:marRight w:val="0"/>
      <w:marTop w:val="0"/>
      <w:marBottom w:val="0"/>
      <w:divBdr>
        <w:top w:val="none" w:sz="0" w:space="0" w:color="auto"/>
        <w:left w:val="none" w:sz="0" w:space="0" w:color="auto"/>
        <w:bottom w:val="none" w:sz="0" w:space="0" w:color="auto"/>
        <w:right w:val="none" w:sz="0" w:space="0" w:color="auto"/>
      </w:divBdr>
      <w:divsChild>
        <w:div w:id="1030883589">
          <w:marLeft w:val="0"/>
          <w:marRight w:val="0"/>
          <w:marTop w:val="0"/>
          <w:marBottom w:val="0"/>
          <w:divBdr>
            <w:top w:val="none" w:sz="0" w:space="0" w:color="auto"/>
            <w:left w:val="none" w:sz="0" w:space="0" w:color="auto"/>
            <w:bottom w:val="none" w:sz="0" w:space="0" w:color="auto"/>
            <w:right w:val="none" w:sz="0" w:space="0" w:color="auto"/>
          </w:divBdr>
        </w:div>
      </w:divsChild>
    </w:div>
    <w:div w:id="149753773">
      <w:bodyDiv w:val="1"/>
      <w:marLeft w:val="0"/>
      <w:marRight w:val="0"/>
      <w:marTop w:val="0"/>
      <w:marBottom w:val="0"/>
      <w:divBdr>
        <w:top w:val="none" w:sz="0" w:space="0" w:color="auto"/>
        <w:left w:val="none" w:sz="0" w:space="0" w:color="auto"/>
        <w:bottom w:val="none" w:sz="0" w:space="0" w:color="auto"/>
        <w:right w:val="none" w:sz="0" w:space="0" w:color="auto"/>
      </w:divBdr>
    </w:div>
    <w:div w:id="195512353">
      <w:bodyDiv w:val="1"/>
      <w:marLeft w:val="0"/>
      <w:marRight w:val="0"/>
      <w:marTop w:val="0"/>
      <w:marBottom w:val="0"/>
      <w:divBdr>
        <w:top w:val="none" w:sz="0" w:space="0" w:color="auto"/>
        <w:left w:val="none" w:sz="0" w:space="0" w:color="auto"/>
        <w:bottom w:val="none" w:sz="0" w:space="0" w:color="auto"/>
        <w:right w:val="none" w:sz="0" w:space="0" w:color="auto"/>
      </w:divBdr>
    </w:div>
    <w:div w:id="223416273">
      <w:bodyDiv w:val="1"/>
      <w:marLeft w:val="0"/>
      <w:marRight w:val="0"/>
      <w:marTop w:val="0"/>
      <w:marBottom w:val="0"/>
      <w:divBdr>
        <w:top w:val="none" w:sz="0" w:space="0" w:color="auto"/>
        <w:left w:val="none" w:sz="0" w:space="0" w:color="auto"/>
        <w:bottom w:val="none" w:sz="0" w:space="0" w:color="auto"/>
        <w:right w:val="none" w:sz="0" w:space="0" w:color="auto"/>
      </w:divBdr>
    </w:div>
    <w:div w:id="227158511">
      <w:bodyDiv w:val="1"/>
      <w:marLeft w:val="0"/>
      <w:marRight w:val="0"/>
      <w:marTop w:val="0"/>
      <w:marBottom w:val="0"/>
      <w:divBdr>
        <w:top w:val="none" w:sz="0" w:space="0" w:color="auto"/>
        <w:left w:val="none" w:sz="0" w:space="0" w:color="auto"/>
        <w:bottom w:val="none" w:sz="0" w:space="0" w:color="auto"/>
        <w:right w:val="none" w:sz="0" w:space="0" w:color="auto"/>
      </w:divBdr>
      <w:divsChild>
        <w:div w:id="609632658">
          <w:marLeft w:val="1575"/>
          <w:marRight w:val="0"/>
          <w:marTop w:val="600"/>
          <w:marBottom w:val="600"/>
          <w:divBdr>
            <w:top w:val="none" w:sz="0" w:space="0" w:color="auto"/>
            <w:left w:val="none" w:sz="0" w:space="0" w:color="auto"/>
            <w:bottom w:val="none" w:sz="0" w:space="0" w:color="auto"/>
            <w:right w:val="none" w:sz="0" w:space="0" w:color="auto"/>
          </w:divBdr>
        </w:div>
        <w:div w:id="2075275131">
          <w:marLeft w:val="0"/>
          <w:marRight w:val="0"/>
          <w:marTop w:val="0"/>
          <w:marBottom w:val="0"/>
          <w:divBdr>
            <w:top w:val="none" w:sz="0" w:space="0" w:color="auto"/>
            <w:left w:val="none" w:sz="0" w:space="0" w:color="auto"/>
            <w:bottom w:val="none" w:sz="0" w:space="0" w:color="auto"/>
            <w:right w:val="none" w:sz="0" w:space="0" w:color="auto"/>
          </w:divBdr>
          <w:divsChild>
            <w:div w:id="1379163142">
              <w:marLeft w:val="0"/>
              <w:marRight w:val="0"/>
              <w:marTop w:val="0"/>
              <w:marBottom w:val="0"/>
              <w:divBdr>
                <w:top w:val="none" w:sz="0" w:space="0" w:color="auto"/>
                <w:left w:val="none" w:sz="0" w:space="0" w:color="auto"/>
                <w:bottom w:val="none" w:sz="0" w:space="0" w:color="auto"/>
                <w:right w:val="none" w:sz="0" w:space="0" w:color="auto"/>
              </w:divBdr>
              <w:divsChild>
                <w:div w:id="1659386015">
                  <w:marLeft w:val="0"/>
                  <w:marRight w:val="0"/>
                  <w:marTop w:val="0"/>
                  <w:marBottom w:val="0"/>
                  <w:divBdr>
                    <w:top w:val="none" w:sz="0" w:space="0" w:color="auto"/>
                    <w:left w:val="none" w:sz="0" w:space="0" w:color="auto"/>
                    <w:bottom w:val="none" w:sz="0" w:space="0" w:color="auto"/>
                    <w:right w:val="none" w:sz="0" w:space="0" w:color="auto"/>
                  </w:divBdr>
                  <w:divsChild>
                    <w:div w:id="1339775839">
                      <w:marLeft w:val="0"/>
                      <w:marRight w:val="0"/>
                      <w:marTop w:val="0"/>
                      <w:marBottom w:val="0"/>
                      <w:divBdr>
                        <w:top w:val="none" w:sz="0" w:space="0" w:color="auto"/>
                        <w:left w:val="none" w:sz="0" w:space="0" w:color="auto"/>
                        <w:bottom w:val="none" w:sz="0" w:space="0" w:color="auto"/>
                        <w:right w:val="none" w:sz="0" w:space="0" w:color="auto"/>
                      </w:divBdr>
                      <w:divsChild>
                        <w:div w:id="156112559">
                          <w:marLeft w:val="0"/>
                          <w:marRight w:val="0"/>
                          <w:marTop w:val="0"/>
                          <w:marBottom w:val="0"/>
                          <w:divBdr>
                            <w:top w:val="none" w:sz="0" w:space="0" w:color="auto"/>
                            <w:left w:val="none" w:sz="0" w:space="0" w:color="auto"/>
                            <w:bottom w:val="none" w:sz="0" w:space="0" w:color="auto"/>
                            <w:right w:val="none" w:sz="0" w:space="0" w:color="auto"/>
                          </w:divBdr>
                          <w:divsChild>
                            <w:div w:id="861017643">
                              <w:marLeft w:val="0"/>
                              <w:marRight w:val="0"/>
                              <w:marTop w:val="0"/>
                              <w:marBottom w:val="0"/>
                              <w:divBdr>
                                <w:top w:val="none" w:sz="0" w:space="0" w:color="auto"/>
                                <w:left w:val="none" w:sz="0" w:space="0" w:color="auto"/>
                                <w:bottom w:val="none" w:sz="0" w:space="0" w:color="auto"/>
                                <w:right w:val="none" w:sz="0" w:space="0" w:color="auto"/>
                              </w:divBdr>
                              <w:divsChild>
                                <w:div w:id="1057239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7135268">
      <w:bodyDiv w:val="1"/>
      <w:marLeft w:val="0"/>
      <w:marRight w:val="0"/>
      <w:marTop w:val="0"/>
      <w:marBottom w:val="0"/>
      <w:divBdr>
        <w:top w:val="none" w:sz="0" w:space="0" w:color="auto"/>
        <w:left w:val="none" w:sz="0" w:space="0" w:color="auto"/>
        <w:bottom w:val="none" w:sz="0" w:space="0" w:color="auto"/>
        <w:right w:val="none" w:sz="0" w:space="0" w:color="auto"/>
      </w:divBdr>
    </w:div>
    <w:div w:id="241721462">
      <w:bodyDiv w:val="1"/>
      <w:marLeft w:val="0"/>
      <w:marRight w:val="0"/>
      <w:marTop w:val="0"/>
      <w:marBottom w:val="0"/>
      <w:divBdr>
        <w:top w:val="none" w:sz="0" w:space="0" w:color="auto"/>
        <w:left w:val="none" w:sz="0" w:space="0" w:color="auto"/>
        <w:bottom w:val="none" w:sz="0" w:space="0" w:color="auto"/>
        <w:right w:val="none" w:sz="0" w:space="0" w:color="auto"/>
      </w:divBdr>
    </w:div>
    <w:div w:id="248661951">
      <w:bodyDiv w:val="1"/>
      <w:marLeft w:val="0"/>
      <w:marRight w:val="0"/>
      <w:marTop w:val="0"/>
      <w:marBottom w:val="0"/>
      <w:divBdr>
        <w:top w:val="none" w:sz="0" w:space="0" w:color="auto"/>
        <w:left w:val="none" w:sz="0" w:space="0" w:color="auto"/>
        <w:bottom w:val="none" w:sz="0" w:space="0" w:color="auto"/>
        <w:right w:val="none" w:sz="0" w:space="0" w:color="auto"/>
      </w:divBdr>
    </w:div>
    <w:div w:id="250045473">
      <w:bodyDiv w:val="1"/>
      <w:marLeft w:val="0"/>
      <w:marRight w:val="0"/>
      <w:marTop w:val="0"/>
      <w:marBottom w:val="0"/>
      <w:divBdr>
        <w:top w:val="none" w:sz="0" w:space="0" w:color="auto"/>
        <w:left w:val="none" w:sz="0" w:space="0" w:color="auto"/>
        <w:bottom w:val="none" w:sz="0" w:space="0" w:color="auto"/>
        <w:right w:val="none" w:sz="0" w:space="0" w:color="auto"/>
      </w:divBdr>
    </w:div>
    <w:div w:id="253631105">
      <w:bodyDiv w:val="1"/>
      <w:marLeft w:val="0"/>
      <w:marRight w:val="0"/>
      <w:marTop w:val="0"/>
      <w:marBottom w:val="0"/>
      <w:divBdr>
        <w:top w:val="none" w:sz="0" w:space="0" w:color="auto"/>
        <w:left w:val="none" w:sz="0" w:space="0" w:color="auto"/>
        <w:bottom w:val="none" w:sz="0" w:space="0" w:color="auto"/>
        <w:right w:val="none" w:sz="0" w:space="0" w:color="auto"/>
      </w:divBdr>
      <w:divsChild>
        <w:div w:id="721632333">
          <w:marLeft w:val="0"/>
          <w:marRight w:val="0"/>
          <w:marTop w:val="0"/>
          <w:marBottom w:val="480"/>
          <w:divBdr>
            <w:top w:val="none" w:sz="0" w:space="0" w:color="auto"/>
            <w:left w:val="none" w:sz="0" w:space="0" w:color="auto"/>
            <w:bottom w:val="none" w:sz="0" w:space="0" w:color="auto"/>
            <w:right w:val="none" w:sz="0" w:space="0" w:color="auto"/>
          </w:divBdr>
        </w:div>
        <w:div w:id="1664775133">
          <w:marLeft w:val="0"/>
          <w:marRight w:val="0"/>
          <w:marTop w:val="0"/>
          <w:marBottom w:val="480"/>
          <w:divBdr>
            <w:top w:val="none" w:sz="0" w:space="0" w:color="auto"/>
            <w:left w:val="none" w:sz="0" w:space="0" w:color="auto"/>
            <w:bottom w:val="none" w:sz="0" w:space="0" w:color="auto"/>
            <w:right w:val="none" w:sz="0" w:space="0" w:color="auto"/>
          </w:divBdr>
        </w:div>
      </w:divsChild>
    </w:div>
    <w:div w:id="263655915">
      <w:bodyDiv w:val="1"/>
      <w:marLeft w:val="0"/>
      <w:marRight w:val="0"/>
      <w:marTop w:val="0"/>
      <w:marBottom w:val="0"/>
      <w:divBdr>
        <w:top w:val="none" w:sz="0" w:space="0" w:color="auto"/>
        <w:left w:val="none" w:sz="0" w:space="0" w:color="auto"/>
        <w:bottom w:val="none" w:sz="0" w:space="0" w:color="auto"/>
        <w:right w:val="none" w:sz="0" w:space="0" w:color="auto"/>
      </w:divBdr>
    </w:div>
    <w:div w:id="263851385">
      <w:bodyDiv w:val="1"/>
      <w:marLeft w:val="0"/>
      <w:marRight w:val="0"/>
      <w:marTop w:val="0"/>
      <w:marBottom w:val="0"/>
      <w:divBdr>
        <w:top w:val="none" w:sz="0" w:space="0" w:color="auto"/>
        <w:left w:val="none" w:sz="0" w:space="0" w:color="auto"/>
        <w:bottom w:val="none" w:sz="0" w:space="0" w:color="auto"/>
        <w:right w:val="none" w:sz="0" w:space="0" w:color="auto"/>
      </w:divBdr>
    </w:div>
    <w:div w:id="287903524">
      <w:bodyDiv w:val="1"/>
      <w:marLeft w:val="0"/>
      <w:marRight w:val="0"/>
      <w:marTop w:val="0"/>
      <w:marBottom w:val="0"/>
      <w:divBdr>
        <w:top w:val="none" w:sz="0" w:space="0" w:color="auto"/>
        <w:left w:val="none" w:sz="0" w:space="0" w:color="auto"/>
        <w:bottom w:val="none" w:sz="0" w:space="0" w:color="auto"/>
        <w:right w:val="none" w:sz="0" w:space="0" w:color="auto"/>
      </w:divBdr>
    </w:div>
    <w:div w:id="307635314">
      <w:bodyDiv w:val="1"/>
      <w:marLeft w:val="0"/>
      <w:marRight w:val="0"/>
      <w:marTop w:val="0"/>
      <w:marBottom w:val="0"/>
      <w:divBdr>
        <w:top w:val="none" w:sz="0" w:space="0" w:color="auto"/>
        <w:left w:val="none" w:sz="0" w:space="0" w:color="auto"/>
        <w:bottom w:val="none" w:sz="0" w:space="0" w:color="auto"/>
        <w:right w:val="none" w:sz="0" w:space="0" w:color="auto"/>
      </w:divBdr>
    </w:div>
    <w:div w:id="307831994">
      <w:bodyDiv w:val="1"/>
      <w:marLeft w:val="0"/>
      <w:marRight w:val="0"/>
      <w:marTop w:val="0"/>
      <w:marBottom w:val="0"/>
      <w:divBdr>
        <w:top w:val="none" w:sz="0" w:space="0" w:color="auto"/>
        <w:left w:val="none" w:sz="0" w:space="0" w:color="auto"/>
        <w:bottom w:val="none" w:sz="0" w:space="0" w:color="auto"/>
        <w:right w:val="none" w:sz="0" w:space="0" w:color="auto"/>
      </w:divBdr>
      <w:divsChild>
        <w:div w:id="1952588292">
          <w:marLeft w:val="547"/>
          <w:marRight w:val="0"/>
          <w:marTop w:val="154"/>
          <w:marBottom w:val="0"/>
          <w:divBdr>
            <w:top w:val="none" w:sz="0" w:space="0" w:color="auto"/>
            <w:left w:val="none" w:sz="0" w:space="0" w:color="auto"/>
            <w:bottom w:val="none" w:sz="0" w:space="0" w:color="auto"/>
            <w:right w:val="none" w:sz="0" w:space="0" w:color="auto"/>
          </w:divBdr>
        </w:div>
      </w:divsChild>
    </w:div>
    <w:div w:id="314452302">
      <w:bodyDiv w:val="1"/>
      <w:marLeft w:val="0"/>
      <w:marRight w:val="0"/>
      <w:marTop w:val="0"/>
      <w:marBottom w:val="0"/>
      <w:divBdr>
        <w:top w:val="none" w:sz="0" w:space="0" w:color="auto"/>
        <w:left w:val="none" w:sz="0" w:space="0" w:color="auto"/>
        <w:bottom w:val="none" w:sz="0" w:space="0" w:color="auto"/>
        <w:right w:val="none" w:sz="0" w:space="0" w:color="auto"/>
      </w:divBdr>
    </w:div>
    <w:div w:id="348260814">
      <w:bodyDiv w:val="1"/>
      <w:marLeft w:val="0"/>
      <w:marRight w:val="0"/>
      <w:marTop w:val="0"/>
      <w:marBottom w:val="0"/>
      <w:divBdr>
        <w:top w:val="none" w:sz="0" w:space="0" w:color="auto"/>
        <w:left w:val="none" w:sz="0" w:space="0" w:color="auto"/>
        <w:bottom w:val="none" w:sz="0" w:space="0" w:color="auto"/>
        <w:right w:val="none" w:sz="0" w:space="0" w:color="auto"/>
      </w:divBdr>
    </w:div>
    <w:div w:id="359091718">
      <w:bodyDiv w:val="1"/>
      <w:marLeft w:val="0"/>
      <w:marRight w:val="0"/>
      <w:marTop w:val="0"/>
      <w:marBottom w:val="0"/>
      <w:divBdr>
        <w:top w:val="none" w:sz="0" w:space="0" w:color="auto"/>
        <w:left w:val="none" w:sz="0" w:space="0" w:color="auto"/>
        <w:bottom w:val="none" w:sz="0" w:space="0" w:color="auto"/>
        <w:right w:val="none" w:sz="0" w:space="0" w:color="auto"/>
      </w:divBdr>
    </w:div>
    <w:div w:id="367217907">
      <w:bodyDiv w:val="1"/>
      <w:marLeft w:val="0"/>
      <w:marRight w:val="0"/>
      <w:marTop w:val="0"/>
      <w:marBottom w:val="0"/>
      <w:divBdr>
        <w:top w:val="none" w:sz="0" w:space="0" w:color="auto"/>
        <w:left w:val="none" w:sz="0" w:space="0" w:color="auto"/>
        <w:bottom w:val="none" w:sz="0" w:space="0" w:color="auto"/>
        <w:right w:val="none" w:sz="0" w:space="0" w:color="auto"/>
      </w:divBdr>
    </w:div>
    <w:div w:id="369689586">
      <w:bodyDiv w:val="1"/>
      <w:marLeft w:val="0"/>
      <w:marRight w:val="0"/>
      <w:marTop w:val="0"/>
      <w:marBottom w:val="0"/>
      <w:divBdr>
        <w:top w:val="none" w:sz="0" w:space="0" w:color="auto"/>
        <w:left w:val="none" w:sz="0" w:space="0" w:color="auto"/>
        <w:bottom w:val="none" w:sz="0" w:space="0" w:color="auto"/>
        <w:right w:val="none" w:sz="0" w:space="0" w:color="auto"/>
      </w:divBdr>
    </w:div>
    <w:div w:id="379280246">
      <w:bodyDiv w:val="1"/>
      <w:marLeft w:val="0"/>
      <w:marRight w:val="0"/>
      <w:marTop w:val="0"/>
      <w:marBottom w:val="0"/>
      <w:divBdr>
        <w:top w:val="none" w:sz="0" w:space="0" w:color="auto"/>
        <w:left w:val="none" w:sz="0" w:space="0" w:color="auto"/>
        <w:bottom w:val="none" w:sz="0" w:space="0" w:color="auto"/>
        <w:right w:val="none" w:sz="0" w:space="0" w:color="auto"/>
      </w:divBdr>
    </w:div>
    <w:div w:id="409273066">
      <w:bodyDiv w:val="1"/>
      <w:marLeft w:val="0"/>
      <w:marRight w:val="0"/>
      <w:marTop w:val="0"/>
      <w:marBottom w:val="0"/>
      <w:divBdr>
        <w:top w:val="none" w:sz="0" w:space="0" w:color="auto"/>
        <w:left w:val="none" w:sz="0" w:space="0" w:color="auto"/>
        <w:bottom w:val="none" w:sz="0" w:space="0" w:color="auto"/>
        <w:right w:val="none" w:sz="0" w:space="0" w:color="auto"/>
      </w:divBdr>
    </w:div>
    <w:div w:id="425882819">
      <w:bodyDiv w:val="1"/>
      <w:marLeft w:val="0"/>
      <w:marRight w:val="0"/>
      <w:marTop w:val="0"/>
      <w:marBottom w:val="0"/>
      <w:divBdr>
        <w:top w:val="none" w:sz="0" w:space="0" w:color="auto"/>
        <w:left w:val="none" w:sz="0" w:space="0" w:color="auto"/>
        <w:bottom w:val="none" w:sz="0" w:space="0" w:color="auto"/>
        <w:right w:val="none" w:sz="0" w:space="0" w:color="auto"/>
      </w:divBdr>
    </w:div>
    <w:div w:id="428280350">
      <w:bodyDiv w:val="1"/>
      <w:marLeft w:val="0"/>
      <w:marRight w:val="0"/>
      <w:marTop w:val="0"/>
      <w:marBottom w:val="0"/>
      <w:divBdr>
        <w:top w:val="none" w:sz="0" w:space="0" w:color="auto"/>
        <w:left w:val="none" w:sz="0" w:space="0" w:color="auto"/>
        <w:bottom w:val="none" w:sz="0" w:space="0" w:color="auto"/>
        <w:right w:val="none" w:sz="0" w:space="0" w:color="auto"/>
      </w:divBdr>
    </w:div>
    <w:div w:id="429011112">
      <w:bodyDiv w:val="1"/>
      <w:marLeft w:val="0"/>
      <w:marRight w:val="0"/>
      <w:marTop w:val="0"/>
      <w:marBottom w:val="0"/>
      <w:divBdr>
        <w:top w:val="none" w:sz="0" w:space="0" w:color="auto"/>
        <w:left w:val="none" w:sz="0" w:space="0" w:color="auto"/>
        <w:bottom w:val="none" w:sz="0" w:space="0" w:color="auto"/>
        <w:right w:val="none" w:sz="0" w:space="0" w:color="auto"/>
      </w:divBdr>
    </w:div>
    <w:div w:id="440032155">
      <w:bodyDiv w:val="1"/>
      <w:marLeft w:val="0"/>
      <w:marRight w:val="0"/>
      <w:marTop w:val="0"/>
      <w:marBottom w:val="0"/>
      <w:divBdr>
        <w:top w:val="none" w:sz="0" w:space="0" w:color="auto"/>
        <w:left w:val="none" w:sz="0" w:space="0" w:color="auto"/>
        <w:bottom w:val="none" w:sz="0" w:space="0" w:color="auto"/>
        <w:right w:val="none" w:sz="0" w:space="0" w:color="auto"/>
      </w:divBdr>
    </w:div>
    <w:div w:id="469132967">
      <w:bodyDiv w:val="1"/>
      <w:marLeft w:val="0"/>
      <w:marRight w:val="0"/>
      <w:marTop w:val="0"/>
      <w:marBottom w:val="0"/>
      <w:divBdr>
        <w:top w:val="none" w:sz="0" w:space="0" w:color="auto"/>
        <w:left w:val="none" w:sz="0" w:space="0" w:color="auto"/>
        <w:bottom w:val="none" w:sz="0" w:space="0" w:color="auto"/>
        <w:right w:val="none" w:sz="0" w:space="0" w:color="auto"/>
      </w:divBdr>
    </w:div>
    <w:div w:id="474612067">
      <w:bodyDiv w:val="1"/>
      <w:marLeft w:val="0"/>
      <w:marRight w:val="0"/>
      <w:marTop w:val="0"/>
      <w:marBottom w:val="0"/>
      <w:divBdr>
        <w:top w:val="none" w:sz="0" w:space="0" w:color="auto"/>
        <w:left w:val="none" w:sz="0" w:space="0" w:color="auto"/>
        <w:bottom w:val="none" w:sz="0" w:space="0" w:color="auto"/>
        <w:right w:val="none" w:sz="0" w:space="0" w:color="auto"/>
      </w:divBdr>
    </w:div>
    <w:div w:id="490564681">
      <w:bodyDiv w:val="1"/>
      <w:marLeft w:val="0"/>
      <w:marRight w:val="0"/>
      <w:marTop w:val="0"/>
      <w:marBottom w:val="0"/>
      <w:divBdr>
        <w:top w:val="none" w:sz="0" w:space="0" w:color="auto"/>
        <w:left w:val="none" w:sz="0" w:space="0" w:color="auto"/>
        <w:bottom w:val="none" w:sz="0" w:space="0" w:color="auto"/>
        <w:right w:val="none" w:sz="0" w:space="0" w:color="auto"/>
      </w:divBdr>
    </w:div>
    <w:div w:id="498348462">
      <w:bodyDiv w:val="1"/>
      <w:marLeft w:val="0"/>
      <w:marRight w:val="0"/>
      <w:marTop w:val="0"/>
      <w:marBottom w:val="0"/>
      <w:divBdr>
        <w:top w:val="none" w:sz="0" w:space="0" w:color="auto"/>
        <w:left w:val="none" w:sz="0" w:space="0" w:color="auto"/>
        <w:bottom w:val="none" w:sz="0" w:space="0" w:color="auto"/>
        <w:right w:val="none" w:sz="0" w:space="0" w:color="auto"/>
      </w:divBdr>
    </w:div>
    <w:div w:id="543903230">
      <w:bodyDiv w:val="1"/>
      <w:marLeft w:val="0"/>
      <w:marRight w:val="0"/>
      <w:marTop w:val="0"/>
      <w:marBottom w:val="0"/>
      <w:divBdr>
        <w:top w:val="none" w:sz="0" w:space="0" w:color="auto"/>
        <w:left w:val="none" w:sz="0" w:space="0" w:color="auto"/>
        <w:bottom w:val="none" w:sz="0" w:space="0" w:color="auto"/>
        <w:right w:val="none" w:sz="0" w:space="0" w:color="auto"/>
      </w:divBdr>
    </w:div>
    <w:div w:id="552077934">
      <w:bodyDiv w:val="1"/>
      <w:marLeft w:val="0"/>
      <w:marRight w:val="0"/>
      <w:marTop w:val="0"/>
      <w:marBottom w:val="0"/>
      <w:divBdr>
        <w:top w:val="none" w:sz="0" w:space="0" w:color="auto"/>
        <w:left w:val="none" w:sz="0" w:space="0" w:color="auto"/>
        <w:bottom w:val="none" w:sz="0" w:space="0" w:color="auto"/>
        <w:right w:val="none" w:sz="0" w:space="0" w:color="auto"/>
      </w:divBdr>
    </w:div>
    <w:div w:id="637221157">
      <w:bodyDiv w:val="1"/>
      <w:marLeft w:val="0"/>
      <w:marRight w:val="0"/>
      <w:marTop w:val="0"/>
      <w:marBottom w:val="0"/>
      <w:divBdr>
        <w:top w:val="none" w:sz="0" w:space="0" w:color="auto"/>
        <w:left w:val="none" w:sz="0" w:space="0" w:color="auto"/>
        <w:bottom w:val="none" w:sz="0" w:space="0" w:color="auto"/>
        <w:right w:val="none" w:sz="0" w:space="0" w:color="auto"/>
      </w:divBdr>
    </w:div>
    <w:div w:id="647825483">
      <w:bodyDiv w:val="1"/>
      <w:marLeft w:val="0"/>
      <w:marRight w:val="0"/>
      <w:marTop w:val="0"/>
      <w:marBottom w:val="0"/>
      <w:divBdr>
        <w:top w:val="none" w:sz="0" w:space="0" w:color="auto"/>
        <w:left w:val="none" w:sz="0" w:space="0" w:color="auto"/>
        <w:bottom w:val="none" w:sz="0" w:space="0" w:color="auto"/>
        <w:right w:val="none" w:sz="0" w:space="0" w:color="auto"/>
      </w:divBdr>
    </w:div>
    <w:div w:id="662199274">
      <w:bodyDiv w:val="1"/>
      <w:marLeft w:val="0"/>
      <w:marRight w:val="0"/>
      <w:marTop w:val="0"/>
      <w:marBottom w:val="0"/>
      <w:divBdr>
        <w:top w:val="none" w:sz="0" w:space="0" w:color="auto"/>
        <w:left w:val="none" w:sz="0" w:space="0" w:color="auto"/>
        <w:bottom w:val="none" w:sz="0" w:space="0" w:color="auto"/>
        <w:right w:val="none" w:sz="0" w:space="0" w:color="auto"/>
      </w:divBdr>
      <w:divsChild>
        <w:div w:id="1818958958">
          <w:marLeft w:val="0"/>
          <w:marRight w:val="0"/>
          <w:marTop w:val="0"/>
          <w:marBottom w:val="0"/>
          <w:divBdr>
            <w:top w:val="none" w:sz="0" w:space="0" w:color="auto"/>
            <w:left w:val="none" w:sz="0" w:space="0" w:color="auto"/>
            <w:bottom w:val="none" w:sz="0" w:space="0" w:color="auto"/>
            <w:right w:val="none" w:sz="0" w:space="0" w:color="auto"/>
          </w:divBdr>
          <w:divsChild>
            <w:div w:id="790133488">
              <w:marLeft w:val="0"/>
              <w:marRight w:val="0"/>
              <w:marTop w:val="0"/>
              <w:marBottom w:val="0"/>
              <w:divBdr>
                <w:top w:val="none" w:sz="0" w:space="0" w:color="auto"/>
                <w:left w:val="none" w:sz="0" w:space="0" w:color="auto"/>
                <w:bottom w:val="none" w:sz="0" w:space="0" w:color="auto"/>
                <w:right w:val="none" w:sz="0" w:space="0" w:color="auto"/>
              </w:divBdr>
              <w:divsChild>
                <w:div w:id="1098284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085952">
      <w:bodyDiv w:val="1"/>
      <w:marLeft w:val="0"/>
      <w:marRight w:val="0"/>
      <w:marTop w:val="0"/>
      <w:marBottom w:val="0"/>
      <w:divBdr>
        <w:top w:val="none" w:sz="0" w:space="0" w:color="auto"/>
        <w:left w:val="none" w:sz="0" w:space="0" w:color="auto"/>
        <w:bottom w:val="none" w:sz="0" w:space="0" w:color="auto"/>
        <w:right w:val="none" w:sz="0" w:space="0" w:color="auto"/>
      </w:divBdr>
    </w:div>
    <w:div w:id="686101005">
      <w:bodyDiv w:val="1"/>
      <w:marLeft w:val="0"/>
      <w:marRight w:val="0"/>
      <w:marTop w:val="0"/>
      <w:marBottom w:val="0"/>
      <w:divBdr>
        <w:top w:val="none" w:sz="0" w:space="0" w:color="auto"/>
        <w:left w:val="none" w:sz="0" w:space="0" w:color="auto"/>
        <w:bottom w:val="none" w:sz="0" w:space="0" w:color="auto"/>
        <w:right w:val="none" w:sz="0" w:space="0" w:color="auto"/>
      </w:divBdr>
    </w:div>
    <w:div w:id="686102799">
      <w:bodyDiv w:val="1"/>
      <w:marLeft w:val="0"/>
      <w:marRight w:val="0"/>
      <w:marTop w:val="0"/>
      <w:marBottom w:val="0"/>
      <w:divBdr>
        <w:top w:val="none" w:sz="0" w:space="0" w:color="auto"/>
        <w:left w:val="none" w:sz="0" w:space="0" w:color="auto"/>
        <w:bottom w:val="none" w:sz="0" w:space="0" w:color="auto"/>
        <w:right w:val="none" w:sz="0" w:space="0" w:color="auto"/>
      </w:divBdr>
      <w:divsChild>
        <w:div w:id="820735725">
          <w:marLeft w:val="0"/>
          <w:marRight w:val="0"/>
          <w:marTop w:val="0"/>
          <w:marBottom w:val="0"/>
          <w:divBdr>
            <w:top w:val="none" w:sz="0" w:space="0" w:color="auto"/>
            <w:left w:val="none" w:sz="0" w:space="0" w:color="auto"/>
            <w:bottom w:val="none" w:sz="0" w:space="0" w:color="auto"/>
            <w:right w:val="none" w:sz="0" w:space="0" w:color="auto"/>
          </w:divBdr>
          <w:divsChild>
            <w:div w:id="1059934168">
              <w:marLeft w:val="0"/>
              <w:marRight w:val="0"/>
              <w:marTop w:val="0"/>
              <w:marBottom w:val="0"/>
              <w:divBdr>
                <w:top w:val="none" w:sz="0" w:space="0" w:color="auto"/>
                <w:left w:val="none" w:sz="0" w:space="0" w:color="auto"/>
                <w:bottom w:val="none" w:sz="0" w:space="0" w:color="auto"/>
                <w:right w:val="none" w:sz="0" w:space="0" w:color="auto"/>
              </w:divBdr>
              <w:divsChild>
                <w:div w:id="177763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193634">
      <w:bodyDiv w:val="1"/>
      <w:marLeft w:val="0"/>
      <w:marRight w:val="0"/>
      <w:marTop w:val="0"/>
      <w:marBottom w:val="0"/>
      <w:divBdr>
        <w:top w:val="none" w:sz="0" w:space="0" w:color="auto"/>
        <w:left w:val="none" w:sz="0" w:space="0" w:color="auto"/>
        <w:bottom w:val="none" w:sz="0" w:space="0" w:color="auto"/>
        <w:right w:val="none" w:sz="0" w:space="0" w:color="auto"/>
      </w:divBdr>
    </w:div>
    <w:div w:id="704871016">
      <w:bodyDiv w:val="1"/>
      <w:marLeft w:val="0"/>
      <w:marRight w:val="0"/>
      <w:marTop w:val="0"/>
      <w:marBottom w:val="0"/>
      <w:divBdr>
        <w:top w:val="none" w:sz="0" w:space="0" w:color="auto"/>
        <w:left w:val="none" w:sz="0" w:space="0" w:color="auto"/>
        <w:bottom w:val="none" w:sz="0" w:space="0" w:color="auto"/>
        <w:right w:val="none" w:sz="0" w:space="0" w:color="auto"/>
      </w:divBdr>
    </w:div>
    <w:div w:id="706950470">
      <w:bodyDiv w:val="1"/>
      <w:marLeft w:val="0"/>
      <w:marRight w:val="0"/>
      <w:marTop w:val="0"/>
      <w:marBottom w:val="0"/>
      <w:divBdr>
        <w:top w:val="none" w:sz="0" w:space="0" w:color="auto"/>
        <w:left w:val="none" w:sz="0" w:space="0" w:color="auto"/>
        <w:bottom w:val="none" w:sz="0" w:space="0" w:color="auto"/>
        <w:right w:val="none" w:sz="0" w:space="0" w:color="auto"/>
      </w:divBdr>
    </w:div>
    <w:div w:id="708724589">
      <w:bodyDiv w:val="1"/>
      <w:marLeft w:val="0"/>
      <w:marRight w:val="0"/>
      <w:marTop w:val="0"/>
      <w:marBottom w:val="0"/>
      <w:divBdr>
        <w:top w:val="none" w:sz="0" w:space="0" w:color="auto"/>
        <w:left w:val="none" w:sz="0" w:space="0" w:color="auto"/>
        <w:bottom w:val="none" w:sz="0" w:space="0" w:color="auto"/>
        <w:right w:val="none" w:sz="0" w:space="0" w:color="auto"/>
      </w:divBdr>
    </w:div>
    <w:div w:id="711081769">
      <w:bodyDiv w:val="1"/>
      <w:marLeft w:val="0"/>
      <w:marRight w:val="0"/>
      <w:marTop w:val="0"/>
      <w:marBottom w:val="0"/>
      <w:divBdr>
        <w:top w:val="none" w:sz="0" w:space="0" w:color="auto"/>
        <w:left w:val="none" w:sz="0" w:space="0" w:color="auto"/>
        <w:bottom w:val="none" w:sz="0" w:space="0" w:color="auto"/>
        <w:right w:val="none" w:sz="0" w:space="0" w:color="auto"/>
      </w:divBdr>
    </w:div>
    <w:div w:id="722486084">
      <w:bodyDiv w:val="1"/>
      <w:marLeft w:val="0"/>
      <w:marRight w:val="0"/>
      <w:marTop w:val="0"/>
      <w:marBottom w:val="0"/>
      <w:divBdr>
        <w:top w:val="none" w:sz="0" w:space="0" w:color="auto"/>
        <w:left w:val="none" w:sz="0" w:space="0" w:color="auto"/>
        <w:bottom w:val="none" w:sz="0" w:space="0" w:color="auto"/>
        <w:right w:val="none" w:sz="0" w:space="0" w:color="auto"/>
      </w:divBdr>
      <w:divsChild>
        <w:div w:id="833910283">
          <w:marLeft w:val="0"/>
          <w:marRight w:val="0"/>
          <w:marTop w:val="0"/>
          <w:marBottom w:val="0"/>
          <w:divBdr>
            <w:top w:val="none" w:sz="0" w:space="0" w:color="auto"/>
            <w:left w:val="none" w:sz="0" w:space="0" w:color="auto"/>
            <w:bottom w:val="none" w:sz="0" w:space="0" w:color="auto"/>
            <w:right w:val="none" w:sz="0" w:space="0" w:color="auto"/>
          </w:divBdr>
          <w:divsChild>
            <w:div w:id="484127979">
              <w:marLeft w:val="0"/>
              <w:marRight w:val="0"/>
              <w:marTop w:val="0"/>
              <w:marBottom w:val="0"/>
              <w:divBdr>
                <w:top w:val="none" w:sz="0" w:space="0" w:color="auto"/>
                <w:left w:val="none" w:sz="0" w:space="0" w:color="auto"/>
                <w:bottom w:val="none" w:sz="0" w:space="0" w:color="auto"/>
                <w:right w:val="none" w:sz="0" w:space="0" w:color="auto"/>
              </w:divBdr>
              <w:divsChild>
                <w:div w:id="1576816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85537">
      <w:bodyDiv w:val="1"/>
      <w:marLeft w:val="0"/>
      <w:marRight w:val="0"/>
      <w:marTop w:val="0"/>
      <w:marBottom w:val="0"/>
      <w:divBdr>
        <w:top w:val="none" w:sz="0" w:space="0" w:color="auto"/>
        <w:left w:val="none" w:sz="0" w:space="0" w:color="auto"/>
        <w:bottom w:val="none" w:sz="0" w:space="0" w:color="auto"/>
        <w:right w:val="none" w:sz="0" w:space="0" w:color="auto"/>
      </w:divBdr>
      <w:divsChild>
        <w:div w:id="98450871">
          <w:marLeft w:val="0"/>
          <w:marRight w:val="0"/>
          <w:marTop w:val="0"/>
          <w:marBottom w:val="0"/>
          <w:divBdr>
            <w:top w:val="none" w:sz="0" w:space="0" w:color="auto"/>
            <w:left w:val="none" w:sz="0" w:space="0" w:color="auto"/>
            <w:bottom w:val="none" w:sz="0" w:space="0" w:color="auto"/>
            <w:right w:val="none" w:sz="0" w:space="0" w:color="auto"/>
          </w:divBdr>
          <w:divsChild>
            <w:div w:id="1974755031">
              <w:marLeft w:val="0"/>
              <w:marRight w:val="0"/>
              <w:marTop w:val="0"/>
              <w:marBottom w:val="0"/>
              <w:divBdr>
                <w:top w:val="none" w:sz="0" w:space="0" w:color="auto"/>
                <w:left w:val="none" w:sz="0" w:space="0" w:color="auto"/>
                <w:bottom w:val="none" w:sz="0" w:space="0" w:color="auto"/>
                <w:right w:val="none" w:sz="0" w:space="0" w:color="auto"/>
              </w:divBdr>
              <w:divsChild>
                <w:div w:id="1270814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806155">
      <w:bodyDiv w:val="1"/>
      <w:marLeft w:val="0"/>
      <w:marRight w:val="0"/>
      <w:marTop w:val="0"/>
      <w:marBottom w:val="0"/>
      <w:divBdr>
        <w:top w:val="none" w:sz="0" w:space="0" w:color="auto"/>
        <w:left w:val="none" w:sz="0" w:space="0" w:color="auto"/>
        <w:bottom w:val="none" w:sz="0" w:space="0" w:color="auto"/>
        <w:right w:val="none" w:sz="0" w:space="0" w:color="auto"/>
      </w:divBdr>
    </w:div>
    <w:div w:id="753937072">
      <w:bodyDiv w:val="1"/>
      <w:marLeft w:val="0"/>
      <w:marRight w:val="0"/>
      <w:marTop w:val="0"/>
      <w:marBottom w:val="0"/>
      <w:divBdr>
        <w:top w:val="none" w:sz="0" w:space="0" w:color="auto"/>
        <w:left w:val="none" w:sz="0" w:space="0" w:color="auto"/>
        <w:bottom w:val="none" w:sz="0" w:space="0" w:color="auto"/>
        <w:right w:val="none" w:sz="0" w:space="0" w:color="auto"/>
      </w:divBdr>
    </w:div>
    <w:div w:id="762266581">
      <w:bodyDiv w:val="1"/>
      <w:marLeft w:val="0"/>
      <w:marRight w:val="0"/>
      <w:marTop w:val="0"/>
      <w:marBottom w:val="0"/>
      <w:divBdr>
        <w:top w:val="none" w:sz="0" w:space="0" w:color="auto"/>
        <w:left w:val="none" w:sz="0" w:space="0" w:color="auto"/>
        <w:bottom w:val="none" w:sz="0" w:space="0" w:color="auto"/>
        <w:right w:val="none" w:sz="0" w:space="0" w:color="auto"/>
      </w:divBdr>
    </w:div>
    <w:div w:id="804279266">
      <w:bodyDiv w:val="1"/>
      <w:marLeft w:val="0"/>
      <w:marRight w:val="0"/>
      <w:marTop w:val="0"/>
      <w:marBottom w:val="0"/>
      <w:divBdr>
        <w:top w:val="none" w:sz="0" w:space="0" w:color="auto"/>
        <w:left w:val="none" w:sz="0" w:space="0" w:color="auto"/>
        <w:bottom w:val="none" w:sz="0" w:space="0" w:color="auto"/>
        <w:right w:val="none" w:sz="0" w:space="0" w:color="auto"/>
      </w:divBdr>
    </w:div>
    <w:div w:id="826702902">
      <w:bodyDiv w:val="1"/>
      <w:marLeft w:val="0"/>
      <w:marRight w:val="0"/>
      <w:marTop w:val="0"/>
      <w:marBottom w:val="0"/>
      <w:divBdr>
        <w:top w:val="none" w:sz="0" w:space="0" w:color="auto"/>
        <w:left w:val="none" w:sz="0" w:space="0" w:color="auto"/>
        <w:bottom w:val="none" w:sz="0" w:space="0" w:color="auto"/>
        <w:right w:val="none" w:sz="0" w:space="0" w:color="auto"/>
      </w:divBdr>
    </w:div>
    <w:div w:id="843015627">
      <w:bodyDiv w:val="1"/>
      <w:marLeft w:val="0"/>
      <w:marRight w:val="0"/>
      <w:marTop w:val="0"/>
      <w:marBottom w:val="0"/>
      <w:divBdr>
        <w:top w:val="none" w:sz="0" w:space="0" w:color="auto"/>
        <w:left w:val="none" w:sz="0" w:space="0" w:color="auto"/>
        <w:bottom w:val="none" w:sz="0" w:space="0" w:color="auto"/>
        <w:right w:val="none" w:sz="0" w:space="0" w:color="auto"/>
      </w:divBdr>
      <w:divsChild>
        <w:div w:id="269437978">
          <w:marLeft w:val="0"/>
          <w:marRight w:val="0"/>
          <w:marTop w:val="0"/>
          <w:marBottom w:val="0"/>
          <w:divBdr>
            <w:top w:val="none" w:sz="0" w:space="0" w:color="auto"/>
            <w:left w:val="none" w:sz="0" w:space="0" w:color="auto"/>
            <w:bottom w:val="none" w:sz="0" w:space="0" w:color="auto"/>
            <w:right w:val="none" w:sz="0" w:space="0" w:color="auto"/>
          </w:divBdr>
          <w:divsChild>
            <w:div w:id="1328944083">
              <w:marLeft w:val="0"/>
              <w:marRight w:val="0"/>
              <w:marTop w:val="0"/>
              <w:marBottom w:val="0"/>
              <w:divBdr>
                <w:top w:val="none" w:sz="0" w:space="0" w:color="auto"/>
                <w:left w:val="none" w:sz="0" w:space="0" w:color="auto"/>
                <w:bottom w:val="none" w:sz="0" w:space="0" w:color="auto"/>
                <w:right w:val="none" w:sz="0" w:space="0" w:color="auto"/>
              </w:divBdr>
              <w:divsChild>
                <w:div w:id="1581791008">
                  <w:marLeft w:val="0"/>
                  <w:marRight w:val="0"/>
                  <w:marTop w:val="0"/>
                  <w:marBottom w:val="0"/>
                  <w:divBdr>
                    <w:top w:val="none" w:sz="0" w:space="0" w:color="auto"/>
                    <w:left w:val="none" w:sz="0" w:space="0" w:color="auto"/>
                    <w:bottom w:val="none" w:sz="0" w:space="0" w:color="auto"/>
                    <w:right w:val="none" w:sz="0" w:space="0" w:color="auto"/>
                  </w:divBdr>
                  <w:divsChild>
                    <w:div w:id="49939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7717676">
      <w:bodyDiv w:val="1"/>
      <w:marLeft w:val="0"/>
      <w:marRight w:val="0"/>
      <w:marTop w:val="0"/>
      <w:marBottom w:val="0"/>
      <w:divBdr>
        <w:top w:val="none" w:sz="0" w:space="0" w:color="auto"/>
        <w:left w:val="none" w:sz="0" w:space="0" w:color="auto"/>
        <w:bottom w:val="none" w:sz="0" w:space="0" w:color="auto"/>
        <w:right w:val="none" w:sz="0" w:space="0" w:color="auto"/>
      </w:divBdr>
    </w:div>
    <w:div w:id="870268923">
      <w:bodyDiv w:val="1"/>
      <w:marLeft w:val="0"/>
      <w:marRight w:val="0"/>
      <w:marTop w:val="0"/>
      <w:marBottom w:val="0"/>
      <w:divBdr>
        <w:top w:val="none" w:sz="0" w:space="0" w:color="auto"/>
        <w:left w:val="none" w:sz="0" w:space="0" w:color="auto"/>
        <w:bottom w:val="none" w:sz="0" w:space="0" w:color="auto"/>
        <w:right w:val="none" w:sz="0" w:space="0" w:color="auto"/>
      </w:divBdr>
    </w:div>
    <w:div w:id="918439241">
      <w:bodyDiv w:val="1"/>
      <w:marLeft w:val="0"/>
      <w:marRight w:val="0"/>
      <w:marTop w:val="0"/>
      <w:marBottom w:val="0"/>
      <w:divBdr>
        <w:top w:val="none" w:sz="0" w:space="0" w:color="auto"/>
        <w:left w:val="none" w:sz="0" w:space="0" w:color="auto"/>
        <w:bottom w:val="none" w:sz="0" w:space="0" w:color="auto"/>
        <w:right w:val="none" w:sz="0" w:space="0" w:color="auto"/>
      </w:divBdr>
    </w:div>
    <w:div w:id="939338374">
      <w:bodyDiv w:val="1"/>
      <w:marLeft w:val="0"/>
      <w:marRight w:val="0"/>
      <w:marTop w:val="0"/>
      <w:marBottom w:val="0"/>
      <w:divBdr>
        <w:top w:val="none" w:sz="0" w:space="0" w:color="auto"/>
        <w:left w:val="none" w:sz="0" w:space="0" w:color="auto"/>
        <w:bottom w:val="none" w:sz="0" w:space="0" w:color="auto"/>
        <w:right w:val="none" w:sz="0" w:space="0" w:color="auto"/>
      </w:divBdr>
    </w:div>
    <w:div w:id="941298022">
      <w:bodyDiv w:val="1"/>
      <w:marLeft w:val="0"/>
      <w:marRight w:val="0"/>
      <w:marTop w:val="0"/>
      <w:marBottom w:val="0"/>
      <w:divBdr>
        <w:top w:val="none" w:sz="0" w:space="0" w:color="auto"/>
        <w:left w:val="none" w:sz="0" w:space="0" w:color="auto"/>
        <w:bottom w:val="none" w:sz="0" w:space="0" w:color="auto"/>
        <w:right w:val="none" w:sz="0" w:space="0" w:color="auto"/>
      </w:divBdr>
    </w:div>
    <w:div w:id="948583034">
      <w:bodyDiv w:val="1"/>
      <w:marLeft w:val="0"/>
      <w:marRight w:val="0"/>
      <w:marTop w:val="0"/>
      <w:marBottom w:val="0"/>
      <w:divBdr>
        <w:top w:val="none" w:sz="0" w:space="0" w:color="auto"/>
        <w:left w:val="none" w:sz="0" w:space="0" w:color="auto"/>
        <w:bottom w:val="none" w:sz="0" w:space="0" w:color="auto"/>
        <w:right w:val="none" w:sz="0" w:space="0" w:color="auto"/>
      </w:divBdr>
    </w:div>
    <w:div w:id="965083795">
      <w:bodyDiv w:val="1"/>
      <w:marLeft w:val="0"/>
      <w:marRight w:val="0"/>
      <w:marTop w:val="0"/>
      <w:marBottom w:val="0"/>
      <w:divBdr>
        <w:top w:val="none" w:sz="0" w:space="0" w:color="auto"/>
        <w:left w:val="none" w:sz="0" w:space="0" w:color="auto"/>
        <w:bottom w:val="none" w:sz="0" w:space="0" w:color="auto"/>
        <w:right w:val="none" w:sz="0" w:space="0" w:color="auto"/>
      </w:divBdr>
    </w:div>
    <w:div w:id="999232688">
      <w:bodyDiv w:val="1"/>
      <w:marLeft w:val="0"/>
      <w:marRight w:val="0"/>
      <w:marTop w:val="0"/>
      <w:marBottom w:val="0"/>
      <w:divBdr>
        <w:top w:val="none" w:sz="0" w:space="0" w:color="auto"/>
        <w:left w:val="none" w:sz="0" w:space="0" w:color="auto"/>
        <w:bottom w:val="none" w:sz="0" w:space="0" w:color="auto"/>
        <w:right w:val="none" w:sz="0" w:space="0" w:color="auto"/>
      </w:divBdr>
    </w:div>
    <w:div w:id="1007252454">
      <w:bodyDiv w:val="1"/>
      <w:marLeft w:val="0"/>
      <w:marRight w:val="0"/>
      <w:marTop w:val="0"/>
      <w:marBottom w:val="0"/>
      <w:divBdr>
        <w:top w:val="none" w:sz="0" w:space="0" w:color="auto"/>
        <w:left w:val="none" w:sz="0" w:space="0" w:color="auto"/>
        <w:bottom w:val="none" w:sz="0" w:space="0" w:color="auto"/>
        <w:right w:val="none" w:sz="0" w:space="0" w:color="auto"/>
      </w:divBdr>
      <w:divsChild>
        <w:div w:id="962230902">
          <w:marLeft w:val="0"/>
          <w:marRight w:val="0"/>
          <w:marTop w:val="0"/>
          <w:marBottom w:val="0"/>
          <w:divBdr>
            <w:top w:val="none" w:sz="0" w:space="0" w:color="auto"/>
            <w:left w:val="none" w:sz="0" w:space="0" w:color="auto"/>
            <w:bottom w:val="none" w:sz="0" w:space="0" w:color="auto"/>
            <w:right w:val="none" w:sz="0" w:space="0" w:color="auto"/>
          </w:divBdr>
          <w:divsChild>
            <w:div w:id="133570396">
              <w:marLeft w:val="0"/>
              <w:marRight w:val="0"/>
              <w:marTop w:val="0"/>
              <w:marBottom w:val="0"/>
              <w:divBdr>
                <w:top w:val="none" w:sz="0" w:space="0" w:color="auto"/>
                <w:left w:val="none" w:sz="0" w:space="0" w:color="auto"/>
                <w:bottom w:val="none" w:sz="0" w:space="0" w:color="auto"/>
                <w:right w:val="none" w:sz="0" w:space="0" w:color="auto"/>
              </w:divBdr>
              <w:divsChild>
                <w:div w:id="1851799940">
                  <w:marLeft w:val="0"/>
                  <w:marRight w:val="0"/>
                  <w:marTop w:val="0"/>
                  <w:marBottom w:val="0"/>
                  <w:divBdr>
                    <w:top w:val="none" w:sz="0" w:space="0" w:color="auto"/>
                    <w:left w:val="none" w:sz="0" w:space="0" w:color="auto"/>
                    <w:bottom w:val="none" w:sz="0" w:space="0" w:color="auto"/>
                    <w:right w:val="none" w:sz="0" w:space="0" w:color="auto"/>
                  </w:divBdr>
                  <w:divsChild>
                    <w:div w:id="31788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74903">
              <w:marLeft w:val="0"/>
              <w:marRight w:val="0"/>
              <w:marTop w:val="0"/>
              <w:marBottom w:val="0"/>
              <w:divBdr>
                <w:top w:val="none" w:sz="0" w:space="0" w:color="auto"/>
                <w:left w:val="none" w:sz="0" w:space="0" w:color="auto"/>
                <w:bottom w:val="none" w:sz="0" w:space="0" w:color="auto"/>
                <w:right w:val="none" w:sz="0" w:space="0" w:color="auto"/>
              </w:divBdr>
              <w:divsChild>
                <w:div w:id="630870342">
                  <w:marLeft w:val="0"/>
                  <w:marRight w:val="0"/>
                  <w:marTop w:val="0"/>
                  <w:marBottom w:val="0"/>
                  <w:divBdr>
                    <w:top w:val="none" w:sz="0" w:space="0" w:color="auto"/>
                    <w:left w:val="none" w:sz="0" w:space="0" w:color="auto"/>
                    <w:bottom w:val="none" w:sz="0" w:space="0" w:color="auto"/>
                    <w:right w:val="none" w:sz="0" w:space="0" w:color="auto"/>
                  </w:divBdr>
                  <w:divsChild>
                    <w:div w:id="165564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45304">
              <w:marLeft w:val="0"/>
              <w:marRight w:val="0"/>
              <w:marTop w:val="0"/>
              <w:marBottom w:val="0"/>
              <w:divBdr>
                <w:top w:val="none" w:sz="0" w:space="0" w:color="auto"/>
                <w:left w:val="none" w:sz="0" w:space="0" w:color="auto"/>
                <w:bottom w:val="none" w:sz="0" w:space="0" w:color="auto"/>
                <w:right w:val="none" w:sz="0" w:space="0" w:color="auto"/>
              </w:divBdr>
              <w:divsChild>
                <w:div w:id="996038485">
                  <w:marLeft w:val="0"/>
                  <w:marRight w:val="0"/>
                  <w:marTop w:val="0"/>
                  <w:marBottom w:val="0"/>
                  <w:divBdr>
                    <w:top w:val="none" w:sz="0" w:space="0" w:color="auto"/>
                    <w:left w:val="none" w:sz="0" w:space="0" w:color="auto"/>
                    <w:bottom w:val="none" w:sz="0" w:space="0" w:color="auto"/>
                    <w:right w:val="none" w:sz="0" w:space="0" w:color="auto"/>
                  </w:divBdr>
                  <w:divsChild>
                    <w:div w:id="22553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902831">
              <w:marLeft w:val="0"/>
              <w:marRight w:val="0"/>
              <w:marTop w:val="0"/>
              <w:marBottom w:val="0"/>
              <w:divBdr>
                <w:top w:val="none" w:sz="0" w:space="0" w:color="auto"/>
                <w:left w:val="none" w:sz="0" w:space="0" w:color="auto"/>
                <w:bottom w:val="none" w:sz="0" w:space="0" w:color="auto"/>
                <w:right w:val="none" w:sz="0" w:space="0" w:color="auto"/>
              </w:divBdr>
              <w:divsChild>
                <w:div w:id="668366841">
                  <w:marLeft w:val="0"/>
                  <w:marRight w:val="0"/>
                  <w:marTop w:val="0"/>
                  <w:marBottom w:val="0"/>
                  <w:divBdr>
                    <w:top w:val="none" w:sz="0" w:space="0" w:color="auto"/>
                    <w:left w:val="none" w:sz="0" w:space="0" w:color="auto"/>
                    <w:bottom w:val="none" w:sz="0" w:space="0" w:color="auto"/>
                    <w:right w:val="none" w:sz="0" w:space="0" w:color="auto"/>
                  </w:divBdr>
                  <w:divsChild>
                    <w:div w:id="2113939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828205">
              <w:marLeft w:val="0"/>
              <w:marRight w:val="0"/>
              <w:marTop w:val="0"/>
              <w:marBottom w:val="0"/>
              <w:divBdr>
                <w:top w:val="none" w:sz="0" w:space="0" w:color="auto"/>
                <w:left w:val="none" w:sz="0" w:space="0" w:color="auto"/>
                <w:bottom w:val="none" w:sz="0" w:space="0" w:color="auto"/>
                <w:right w:val="none" w:sz="0" w:space="0" w:color="auto"/>
              </w:divBdr>
              <w:divsChild>
                <w:div w:id="337195283">
                  <w:marLeft w:val="0"/>
                  <w:marRight w:val="0"/>
                  <w:marTop w:val="0"/>
                  <w:marBottom w:val="0"/>
                  <w:divBdr>
                    <w:top w:val="none" w:sz="0" w:space="0" w:color="auto"/>
                    <w:left w:val="none" w:sz="0" w:space="0" w:color="auto"/>
                    <w:bottom w:val="none" w:sz="0" w:space="0" w:color="auto"/>
                    <w:right w:val="none" w:sz="0" w:space="0" w:color="auto"/>
                  </w:divBdr>
                  <w:divsChild>
                    <w:div w:id="48505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470243">
              <w:marLeft w:val="0"/>
              <w:marRight w:val="0"/>
              <w:marTop w:val="0"/>
              <w:marBottom w:val="0"/>
              <w:divBdr>
                <w:top w:val="none" w:sz="0" w:space="0" w:color="auto"/>
                <w:left w:val="none" w:sz="0" w:space="0" w:color="auto"/>
                <w:bottom w:val="none" w:sz="0" w:space="0" w:color="auto"/>
                <w:right w:val="none" w:sz="0" w:space="0" w:color="auto"/>
              </w:divBdr>
              <w:divsChild>
                <w:div w:id="528950066">
                  <w:marLeft w:val="0"/>
                  <w:marRight w:val="0"/>
                  <w:marTop w:val="0"/>
                  <w:marBottom w:val="0"/>
                  <w:divBdr>
                    <w:top w:val="none" w:sz="0" w:space="0" w:color="auto"/>
                    <w:left w:val="none" w:sz="0" w:space="0" w:color="auto"/>
                    <w:bottom w:val="none" w:sz="0" w:space="0" w:color="auto"/>
                    <w:right w:val="none" w:sz="0" w:space="0" w:color="auto"/>
                  </w:divBdr>
                  <w:divsChild>
                    <w:div w:id="352417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127281">
              <w:marLeft w:val="0"/>
              <w:marRight w:val="0"/>
              <w:marTop w:val="0"/>
              <w:marBottom w:val="0"/>
              <w:divBdr>
                <w:top w:val="none" w:sz="0" w:space="0" w:color="auto"/>
                <w:left w:val="none" w:sz="0" w:space="0" w:color="auto"/>
                <w:bottom w:val="none" w:sz="0" w:space="0" w:color="auto"/>
                <w:right w:val="none" w:sz="0" w:space="0" w:color="auto"/>
              </w:divBdr>
              <w:divsChild>
                <w:div w:id="765926503">
                  <w:marLeft w:val="0"/>
                  <w:marRight w:val="0"/>
                  <w:marTop w:val="0"/>
                  <w:marBottom w:val="0"/>
                  <w:divBdr>
                    <w:top w:val="none" w:sz="0" w:space="0" w:color="auto"/>
                    <w:left w:val="none" w:sz="0" w:space="0" w:color="auto"/>
                    <w:bottom w:val="none" w:sz="0" w:space="0" w:color="auto"/>
                    <w:right w:val="none" w:sz="0" w:space="0" w:color="auto"/>
                  </w:divBdr>
                  <w:divsChild>
                    <w:div w:id="651763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329988">
              <w:marLeft w:val="0"/>
              <w:marRight w:val="0"/>
              <w:marTop w:val="0"/>
              <w:marBottom w:val="0"/>
              <w:divBdr>
                <w:top w:val="none" w:sz="0" w:space="0" w:color="auto"/>
                <w:left w:val="none" w:sz="0" w:space="0" w:color="auto"/>
                <w:bottom w:val="none" w:sz="0" w:space="0" w:color="auto"/>
                <w:right w:val="none" w:sz="0" w:space="0" w:color="auto"/>
              </w:divBdr>
              <w:divsChild>
                <w:div w:id="1074083725">
                  <w:marLeft w:val="0"/>
                  <w:marRight w:val="0"/>
                  <w:marTop w:val="0"/>
                  <w:marBottom w:val="0"/>
                  <w:divBdr>
                    <w:top w:val="none" w:sz="0" w:space="0" w:color="auto"/>
                    <w:left w:val="none" w:sz="0" w:space="0" w:color="auto"/>
                    <w:bottom w:val="none" w:sz="0" w:space="0" w:color="auto"/>
                    <w:right w:val="none" w:sz="0" w:space="0" w:color="auto"/>
                  </w:divBdr>
                  <w:divsChild>
                    <w:div w:id="1810434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233796">
              <w:marLeft w:val="0"/>
              <w:marRight w:val="0"/>
              <w:marTop w:val="0"/>
              <w:marBottom w:val="0"/>
              <w:divBdr>
                <w:top w:val="none" w:sz="0" w:space="0" w:color="auto"/>
                <w:left w:val="none" w:sz="0" w:space="0" w:color="auto"/>
                <w:bottom w:val="none" w:sz="0" w:space="0" w:color="auto"/>
                <w:right w:val="none" w:sz="0" w:space="0" w:color="auto"/>
              </w:divBdr>
              <w:divsChild>
                <w:div w:id="1547177380">
                  <w:marLeft w:val="0"/>
                  <w:marRight w:val="0"/>
                  <w:marTop w:val="0"/>
                  <w:marBottom w:val="0"/>
                  <w:divBdr>
                    <w:top w:val="none" w:sz="0" w:space="0" w:color="auto"/>
                    <w:left w:val="none" w:sz="0" w:space="0" w:color="auto"/>
                    <w:bottom w:val="none" w:sz="0" w:space="0" w:color="auto"/>
                    <w:right w:val="none" w:sz="0" w:space="0" w:color="auto"/>
                  </w:divBdr>
                  <w:divsChild>
                    <w:div w:id="93621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1785967">
              <w:marLeft w:val="0"/>
              <w:marRight w:val="0"/>
              <w:marTop w:val="0"/>
              <w:marBottom w:val="0"/>
              <w:divBdr>
                <w:top w:val="none" w:sz="0" w:space="0" w:color="auto"/>
                <w:left w:val="none" w:sz="0" w:space="0" w:color="auto"/>
                <w:bottom w:val="none" w:sz="0" w:space="0" w:color="auto"/>
                <w:right w:val="none" w:sz="0" w:space="0" w:color="auto"/>
              </w:divBdr>
              <w:divsChild>
                <w:div w:id="1936009875">
                  <w:marLeft w:val="0"/>
                  <w:marRight w:val="0"/>
                  <w:marTop w:val="0"/>
                  <w:marBottom w:val="0"/>
                  <w:divBdr>
                    <w:top w:val="none" w:sz="0" w:space="0" w:color="auto"/>
                    <w:left w:val="none" w:sz="0" w:space="0" w:color="auto"/>
                    <w:bottom w:val="none" w:sz="0" w:space="0" w:color="auto"/>
                    <w:right w:val="none" w:sz="0" w:space="0" w:color="auto"/>
                  </w:divBdr>
                  <w:divsChild>
                    <w:div w:id="41590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951456">
              <w:marLeft w:val="0"/>
              <w:marRight w:val="0"/>
              <w:marTop w:val="0"/>
              <w:marBottom w:val="0"/>
              <w:divBdr>
                <w:top w:val="none" w:sz="0" w:space="0" w:color="auto"/>
                <w:left w:val="none" w:sz="0" w:space="0" w:color="auto"/>
                <w:bottom w:val="none" w:sz="0" w:space="0" w:color="auto"/>
                <w:right w:val="none" w:sz="0" w:space="0" w:color="auto"/>
              </w:divBdr>
              <w:divsChild>
                <w:div w:id="1050349765">
                  <w:marLeft w:val="0"/>
                  <w:marRight w:val="0"/>
                  <w:marTop w:val="0"/>
                  <w:marBottom w:val="0"/>
                  <w:divBdr>
                    <w:top w:val="none" w:sz="0" w:space="0" w:color="auto"/>
                    <w:left w:val="none" w:sz="0" w:space="0" w:color="auto"/>
                    <w:bottom w:val="none" w:sz="0" w:space="0" w:color="auto"/>
                    <w:right w:val="none" w:sz="0" w:space="0" w:color="auto"/>
                  </w:divBdr>
                  <w:divsChild>
                    <w:div w:id="1279947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640802">
      <w:bodyDiv w:val="1"/>
      <w:marLeft w:val="0"/>
      <w:marRight w:val="0"/>
      <w:marTop w:val="0"/>
      <w:marBottom w:val="0"/>
      <w:divBdr>
        <w:top w:val="none" w:sz="0" w:space="0" w:color="auto"/>
        <w:left w:val="none" w:sz="0" w:space="0" w:color="auto"/>
        <w:bottom w:val="none" w:sz="0" w:space="0" w:color="auto"/>
        <w:right w:val="none" w:sz="0" w:space="0" w:color="auto"/>
      </w:divBdr>
    </w:div>
    <w:div w:id="1022972818">
      <w:bodyDiv w:val="1"/>
      <w:marLeft w:val="0"/>
      <w:marRight w:val="0"/>
      <w:marTop w:val="0"/>
      <w:marBottom w:val="0"/>
      <w:divBdr>
        <w:top w:val="none" w:sz="0" w:space="0" w:color="auto"/>
        <w:left w:val="none" w:sz="0" w:space="0" w:color="auto"/>
        <w:bottom w:val="none" w:sz="0" w:space="0" w:color="auto"/>
        <w:right w:val="none" w:sz="0" w:space="0" w:color="auto"/>
      </w:divBdr>
    </w:div>
    <w:div w:id="1025400840">
      <w:bodyDiv w:val="1"/>
      <w:marLeft w:val="0"/>
      <w:marRight w:val="0"/>
      <w:marTop w:val="0"/>
      <w:marBottom w:val="0"/>
      <w:divBdr>
        <w:top w:val="none" w:sz="0" w:space="0" w:color="auto"/>
        <w:left w:val="none" w:sz="0" w:space="0" w:color="auto"/>
        <w:bottom w:val="none" w:sz="0" w:space="0" w:color="auto"/>
        <w:right w:val="none" w:sz="0" w:space="0" w:color="auto"/>
      </w:divBdr>
    </w:div>
    <w:div w:id="1035808001">
      <w:bodyDiv w:val="1"/>
      <w:marLeft w:val="0"/>
      <w:marRight w:val="0"/>
      <w:marTop w:val="0"/>
      <w:marBottom w:val="0"/>
      <w:divBdr>
        <w:top w:val="none" w:sz="0" w:space="0" w:color="auto"/>
        <w:left w:val="none" w:sz="0" w:space="0" w:color="auto"/>
        <w:bottom w:val="none" w:sz="0" w:space="0" w:color="auto"/>
        <w:right w:val="none" w:sz="0" w:space="0" w:color="auto"/>
      </w:divBdr>
    </w:div>
    <w:div w:id="1038696792">
      <w:bodyDiv w:val="1"/>
      <w:marLeft w:val="0"/>
      <w:marRight w:val="0"/>
      <w:marTop w:val="0"/>
      <w:marBottom w:val="0"/>
      <w:divBdr>
        <w:top w:val="none" w:sz="0" w:space="0" w:color="auto"/>
        <w:left w:val="none" w:sz="0" w:space="0" w:color="auto"/>
        <w:bottom w:val="none" w:sz="0" w:space="0" w:color="auto"/>
        <w:right w:val="none" w:sz="0" w:space="0" w:color="auto"/>
      </w:divBdr>
    </w:div>
    <w:div w:id="1049770597">
      <w:bodyDiv w:val="1"/>
      <w:marLeft w:val="0"/>
      <w:marRight w:val="0"/>
      <w:marTop w:val="0"/>
      <w:marBottom w:val="0"/>
      <w:divBdr>
        <w:top w:val="none" w:sz="0" w:space="0" w:color="auto"/>
        <w:left w:val="none" w:sz="0" w:space="0" w:color="auto"/>
        <w:bottom w:val="none" w:sz="0" w:space="0" w:color="auto"/>
        <w:right w:val="none" w:sz="0" w:space="0" w:color="auto"/>
      </w:divBdr>
    </w:div>
    <w:div w:id="1068304035">
      <w:bodyDiv w:val="1"/>
      <w:marLeft w:val="0"/>
      <w:marRight w:val="0"/>
      <w:marTop w:val="0"/>
      <w:marBottom w:val="0"/>
      <w:divBdr>
        <w:top w:val="none" w:sz="0" w:space="0" w:color="auto"/>
        <w:left w:val="none" w:sz="0" w:space="0" w:color="auto"/>
        <w:bottom w:val="none" w:sz="0" w:space="0" w:color="auto"/>
        <w:right w:val="none" w:sz="0" w:space="0" w:color="auto"/>
      </w:divBdr>
    </w:div>
    <w:div w:id="1069495570">
      <w:bodyDiv w:val="1"/>
      <w:marLeft w:val="0"/>
      <w:marRight w:val="0"/>
      <w:marTop w:val="0"/>
      <w:marBottom w:val="0"/>
      <w:divBdr>
        <w:top w:val="none" w:sz="0" w:space="0" w:color="auto"/>
        <w:left w:val="none" w:sz="0" w:space="0" w:color="auto"/>
        <w:bottom w:val="none" w:sz="0" w:space="0" w:color="auto"/>
        <w:right w:val="none" w:sz="0" w:space="0" w:color="auto"/>
      </w:divBdr>
    </w:div>
    <w:div w:id="1071191988">
      <w:bodyDiv w:val="1"/>
      <w:marLeft w:val="0"/>
      <w:marRight w:val="0"/>
      <w:marTop w:val="0"/>
      <w:marBottom w:val="0"/>
      <w:divBdr>
        <w:top w:val="none" w:sz="0" w:space="0" w:color="auto"/>
        <w:left w:val="none" w:sz="0" w:space="0" w:color="auto"/>
        <w:bottom w:val="none" w:sz="0" w:space="0" w:color="auto"/>
        <w:right w:val="none" w:sz="0" w:space="0" w:color="auto"/>
      </w:divBdr>
    </w:div>
    <w:div w:id="1101680289">
      <w:bodyDiv w:val="1"/>
      <w:marLeft w:val="0"/>
      <w:marRight w:val="0"/>
      <w:marTop w:val="0"/>
      <w:marBottom w:val="0"/>
      <w:divBdr>
        <w:top w:val="none" w:sz="0" w:space="0" w:color="auto"/>
        <w:left w:val="none" w:sz="0" w:space="0" w:color="auto"/>
        <w:bottom w:val="none" w:sz="0" w:space="0" w:color="auto"/>
        <w:right w:val="none" w:sz="0" w:space="0" w:color="auto"/>
      </w:divBdr>
    </w:div>
    <w:div w:id="1108505525">
      <w:bodyDiv w:val="1"/>
      <w:marLeft w:val="0"/>
      <w:marRight w:val="0"/>
      <w:marTop w:val="0"/>
      <w:marBottom w:val="0"/>
      <w:divBdr>
        <w:top w:val="none" w:sz="0" w:space="0" w:color="auto"/>
        <w:left w:val="none" w:sz="0" w:space="0" w:color="auto"/>
        <w:bottom w:val="none" w:sz="0" w:space="0" w:color="auto"/>
        <w:right w:val="none" w:sz="0" w:space="0" w:color="auto"/>
      </w:divBdr>
    </w:div>
    <w:div w:id="1116291284">
      <w:bodyDiv w:val="1"/>
      <w:marLeft w:val="0"/>
      <w:marRight w:val="0"/>
      <w:marTop w:val="0"/>
      <w:marBottom w:val="0"/>
      <w:divBdr>
        <w:top w:val="none" w:sz="0" w:space="0" w:color="auto"/>
        <w:left w:val="none" w:sz="0" w:space="0" w:color="auto"/>
        <w:bottom w:val="none" w:sz="0" w:space="0" w:color="auto"/>
        <w:right w:val="none" w:sz="0" w:space="0" w:color="auto"/>
      </w:divBdr>
    </w:div>
    <w:div w:id="1117944094">
      <w:bodyDiv w:val="1"/>
      <w:marLeft w:val="0"/>
      <w:marRight w:val="0"/>
      <w:marTop w:val="0"/>
      <w:marBottom w:val="0"/>
      <w:divBdr>
        <w:top w:val="none" w:sz="0" w:space="0" w:color="auto"/>
        <w:left w:val="none" w:sz="0" w:space="0" w:color="auto"/>
        <w:bottom w:val="none" w:sz="0" w:space="0" w:color="auto"/>
        <w:right w:val="none" w:sz="0" w:space="0" w:color="auto"/>
      </w:divBdr>
    </w:div>
    <w:div w:id="1123957948">
      <w:bodyDiv w:val="1"/>
      <w:marLeft w:val="0"/>
      <w:marRight w:val="0"/>
      <w:marTop w:val="0"/>
      <w:marBottom w:val="0"/>
      <w:divBdr>
        <w:top w:val="none" w:sz="0" w:space="0" w:color="auto"/>
        <w:left w:val="none" w:sz="0" w:space="0" w:color="auto"/>
        <w:bottom w:val="none" w:sz="0" w:space="0" w:color="auto"/>
        <w:right w:val="none" w:sz="0" w:space="0" w:color="auto"/>
      </w:divBdr>
    </w:div>
    <w:div w:id="1125123756">
      <w:bodyDiv w:val="1"/>
      <w:marLeft w:val="0"/>
      <w:marRight w:val="0"/>
      <w:marTop w:val="0"/>
      <w:marBottom w:val="0"/>
      <w:divBdr>
        <w:top w:val="none" w:sz="0" w:space="0" w:color="auto"/>
        <w:left w:val="none" w:sz="0" w:space="0" w:color="auto"/>
        <w:bottom w:val="none" w:sz="0" w:space="0" w:color="auto"/>
        <w:right w:val="none" w:sz="0" w:space="0" w:color="auto"/>
      </w:divBdr>
    </w:div>
    <w:div w:id="1141003681">
      <w:bodyDiv w:val="1"/>
      <w:marLeft w:val="0"/>
      <w:marRight w:val="0"/>
      <w:marTop w:val="0"/>
      <w:marBottom w:val="0"/>
      <w:divBdr>
        <w:top w:val="none" w:sz="0" w:space="0" w:color="auto"/>
        <w:left w:val="none" w:sz="0" w:space="0" w:color="auto"/>
        <w:bottom w:val="none" w:sz="0" w:space="0" w:color="auto"/>
        <w:right w:val="none" w:sz="0" w:space="0" w:color="auto"/>
      </w:divBdr>
    </w:div>
    <w:div w:id="1150682122">
      <w:bodyDiv w:val="1"/>
      <w:marLeft w:val="0"/>
      <w:marRight w:val="0"/>
      <w:marTop w:val="0"/>
      <w:marBottom w:val="0"/>
      <w:divBdr>
        <w:top w:val="none" w:sz="0" w:space="0" w:color="auto"/>
        <w:left w:val="none" w:sz="0" w:space="0" w:color="auto"/>
        <w:bottom w:val="none" w:sz="0" w:space="0" w:color="auto"/>
        <w:right w:val="none" w:sz="0" w:space="0" w:color="auto"/>
      </w:divBdr>
    </w:div>
    <w:div w:id="1157527295">
      <w:bodyDiv w:val="1"/>
      <w:marLeft w:val="0"/>
      <w:marRight w:val="0"/>
      <w:marTop w:val="0"/>
      <w:marBottom w:val="0"/>
      <w:divBdr>
        <w:top w:val="none" w:sz="0" w:space="0" w:color="auto"/>
        <w:left w:val="none" w:sz="0" w:space="0" w:color="auto"/>
        <w:bottom w:val="none" w:sz="0" w:space="0" w:color="auto"/>
        <w:right w:val="none" w:sz="0" w:space="0" w:color="auto"/>
      </w:divBdr>
    </w:div>
    <w:div w:id="1174296682">
      <w:bodyDiv w:val="1"/>
      <w:marLeft w:val="0"/>
      <w:marRight w:val="0"/>
      <w:marTop w:val="0"/>
      <w:marBottom w:val="0"/>
      <w:divBdr>
        <w:top w:val="none" w:sz="0" w:space="0" w:color="auto"/>
        <w:left w:val="none" w:sz="0" w:space="0" w:color="auto"/>
        <w:bottom w:val="none" w:sz="0" w:space="0" w:color="auto"/>
        <w:right w:val="none" w:sz="0" w:space="0" w:color="auto"/>
      </w:divBdr>
    </w:div>
    <w:div w:id="1175917505">
      <w:bodyDiv w:val="1"/>
      <w:marLeft w:val="0"/>
      <w:marRight w:val="0"/>
      <w:marTop w:val="0"/>
      <w:marBottom w:val="0"/>
      <w:divBdr>
        <w:top w:val="none" w:sz="0" w:space="0" w:color="auto"/>
        <w:left w:val="none" w:sz="0" w:space="0" w:color="auto"/>
        <w:bottom w:val="none" w:sz="0" w:space="0" w:color="auto"/>
        <w:right w:val="none" w:sz="0" w:space="0" w:color="auto"/>
      </w:divBdr>
    </w:div>
    <w:div w:id="1189029426">
      <w:bodyDiv w:val="1"/>
      <w:marLeft w:val="0"/>
      <w:marRight w:val="0"/>
      <w:marTop w:val="0"/>
      <w:marBottom w:val="0"/>
      <w:divBdr>
        <w:top w:val="none" w:sz="0" w:space="0" w:color="auto"/>
        <w:left w:val="none" w:sz="0" w:space="0" w:color="auto"/>
        <w:bottom w:val="none" w:sz="0" w:space="0" w:color="auto"/>
        <w:right w:val="none" w:sz="0" w:space="0" w:color="auto"/>
      </w:divBdr>
      <w:divsChild>
        <w:div w:id="253324202">
          <w:marLeft w:val="0"/>
          <w:marRight w:val="0"/>
          <w:marTop w:val="0"/>
          <w:marBottom w:val="120"/>
          <w:divBdr>
            <w:top w:val="none" w:sz="0" w:space="0" w:color="auto"/>
            <w:left w:val="none" w:sz="0" w:space="0" w:color="auto"/>
            <w:bottom w:val="none" w:sz="0" w:space="0" w:color="auto"/>
            <w:right w:val="none" w:sz="0" w:space="0" w:color="auto"/>
          </w:divBdr>
        </w:div>
        <w:div w:id="828251730">
          <w:marLeft w:val="0"/>
          <w:marRight w:val="0"/>
          <w:marTop w:val="0"/>
          <w:marBottom w:val="120"/>
          <w:divBdr>
            <w:top w:val="none" w:sz="0" w:space="0" w:color="auto"/>
            <w:left w:val="none" w:sz="0" w:space="0" w:color="auto"/>
            <w:bottom w:val="none" w:sz="0" w:space="0" w:color="auto"/>
            <w:right w:val="none" w:sz="0" w:space="0" w:color="auto"/>
          </w:divBdr>
        </w:div>
      </w:divsChild>
    </w:div>
    <w:div w:id="1199247312">
      <w:bodyDiv w:val="1"/>
      <w:marLeft w:val="0"/>
      <w:marRight w:val="0"/>
      <w:marTop w:val="0"/>
      <w:marBottom w:val="0"/>
      <w:divBdr>
        <w:top w:val="none" w:sz="0" w:space="0" w:color="auto"/>
        <w:left w:val="none" w:sz="0" w:space="0" w:color="auto"/>
        <w:bottom w:val="none" w:sz="0" w:space="0" w:color="auto"/>
        <w:right w:val="none" w:sz="0" w:space="0" w:color="auto"/>
      </w:divBdr>
    </w:div>
    <w:div w:id="1206676110">
      <w:bodyDiv w:val="1"/>
      <w:marLeft w:val="0"/>
      <w:marRight w:val="0"/>
      <w:marTop w:val="0"/>
      <w:marBottom w:val="0"/>
      <w:divBdr>
        <w:top w:val="none" w:sz="0" w:space="0" w:color="auto"/>
        <w:left w:val="none" w:sz="0" w:space="0" w:color="auto"/>
        <w:bottom w:val="none" w:sz="0" w:space="0" w:color="auto"/>
        <w:right w:val="none" w:sz="0" w:space="0" w:color="auto"/>
      </w:divBdr>
    </w:div>
    <w:div w:id="1211376590">
      <w:bodyDiv w:val="1"/>
      <w:marLeft w:val="0"/>
      <w:marRight w:val="0"/>
      <w:marTop w:val="0"/>
      <w:marBottom w:val="0"/>
      <w:divBdr>
        <w:top w:val="none" w:sz="0" w:space="0" w:color="auto"/>
        <w:left w:val="none" w:sz="0" w:space="0" w:color="auto"/>
        <w:bottom w:val="none" w:sz="0" w:space="0" w:color="auto"/>
        <w:right w:val="none" w:sz="0" w:space="0" w:color="auto"/>
      </w:divBdr>
    </w:div>
    <w:div w:id="1248270062">
      <w:bodyDiv w:val="1"/>
      <w:marLeft w:val="0"/>
      <w:marRight w:val="0"/>
      <w:marTop w:val="0"/>
      <w:marBottom w:val="0"/>
      <w:divBdr>
        <w:top w:val="none" w:sz="0" w:space="0" w:color="auto"/>
        <w:left w:val="none" w:sz="0" w:space="0" w:color="auto"/>
        <w:bottom w:val="none" w:sz="0" w:space="0" w:color="auto"/>
        <w:right w:val="none" w:sz="0" w:space="0" w:color="auto"/>
      </w:divBdr>
    </w:div>
    <w:div w:id="1270311381">
      <w:bodyDiv w:val="1"/>
      <w:marLeft w:val="0"/>
      <w:marRight w:val="0"/>
      <w:marTop w:val="0"/>
      <w:marBottom w:val="0"/>
      <w:divBdr>
        <w:top w:val="none" w:sz="0" w:space="0" w:color="auto"/>
        <w:left w:val="none" w:sz="0" w:space="0" w:color="auto"/>
        <w:bottom w:val="none" w:sz="0" w:space="0" w:color="auto"/>
        <w:right w:val="none" w:sz="0" w:space="0" w:color="auto"/>
      </w:divBdr>
    </w:div>
    <w:div w:id="1277831935">
      <w:bodyDiv w:val="1"/>
      <w:marLeft w:val="0"/>
      <w:marRight w:val="0"/>
      <w:marTop w:val="0"/>
      <w:marBottom w:val="0"/>
      <w:divBdr>
        <w:top w:val="none" w:sz="0" w:space="0" w:color="auto"/>
        <w:left w:val="none" w:sz="0" w:space="0" w:color="auto"/>
        <w:bottom w:val="none" w:sz="0" w:space="0" w:color="auto"/>
        <w:right w:val="none" w:sz="0" w:space="0" w:color="auto"/>
      </w:divBdr>
    </w:div>
    <w:div w:id="1282419705">
      <w:bodyDiv w:val="1"/>
      <w:marLeft w:val="0"/>
      <w:marRight w:val="0"/>
      <w:marTop w:val="0"/>
      <w:marBottom w:val="0"/>
      <w:divBdr>
        <w:top w:val="none" w:sz="0" w:space="0" w:color="auto"/>
        <w:left w:val="none" w:sz="0" w:space="0" w:color="auto"/>
        <w:bottom w:val="none" w:sz="0" w:space="0" w:color="auto"/>
        <w:right w:val="none" w:sz="0" w:space="0" w:color="auto"/>
      </w:divBdr>
    </w:div>
    <w:div w:id="1337343018">
      <w:bodyDiv w:val="1"/>
      <w:marLeft w:val="0"/>
      <w:marRight w:val="0"/>
      <w:marTop w:val="0"/>
      <w:marBottom w:val="0"/>
      <w:divBdr>
        <w:top w:val="none" w:sz="0" w:space="0" w:color="auto"/>
        <w:left w:val="none" w:sz="0" w:space="0" w:color="auto"/>
        <w:bottom w:val="none" w:sz="0" w:space="0" w:color="auto"/>
        <w:right w:val="none" w:sz="0" w:space="0" w:color="auto"/>
      </w:divBdr>
    </w:div>
    <w:div w:id="1346515880">
      <w:bodyDiv w:val="1"/>
      <w:marLeft w:val="0"/>
      <w:marRight w:val="0"/>
      <w:marTop w:val="0"/>
      <w:marBottom w:val="0"/>
      <w:divBdr>
        <w:top w:val="none" w:sz="0" w:space="0" w:color="auto"/>
        <w:left w:val="none" w:sz="0" w:space="0" w:color="auto"/>
        <w:bottom w:val="none" w:sz="0" w:space="0" w:color="auto"/>
        <w:right w:val="none" w:sz="0" w:space="0" w:color="auto"/>
      </w:divBdr>
    </w:div>
    <w:div w:id="1348946424">
      <w:bodyDiv w:val="1"/>
      <w:marLeft w:val="0"/>
      <w:marRight w:val="0"/>
      <w:marTop w:val="0"/>
      <w:marBottom w:val="0"/>
      <w:divBdr>
        <w:top w:val="none" w:sz="0" w:space="0" w:color="auto"/>
        <w:left w:val="none" w:sz="0" w:space="0" w:color="auto"/>
        <w:bottom w:val="none" w:sz="0" w:space="0" w:color="auto"/>
        <w:right w:val="none" w:sz="0" w:space="0" w:color="auto"/>
      </w:divBdr>
      <w:divsChild>
        <w:div w:id="577905445">
          <w:marLeft w:val="0"/>
          <w:marRight w:val="0"/>
          <w:marTop w:val="0"/>
          <w:marBottom w:val="0"/>
          <w:divBdr>
            <w:top w:val="none" w:sz="0" w:space="0" w:color="auto"/>
            <w:left w:val="none" w:sz="0" w:space="0" w:color="auto"/>
            <w:bottom w:val="none" w:sz="0" w:space="0" w:color="auto"/>
            <w:right w:val="none" w:sz="0" w:space="0" w:color="auto"/>
          </w:divBdr>
          <w:divsChild>
            <w:div w:id="731124485">
              <w:marLeft w:val="0"/>
              <w:marRight w:val="0"/>
              <w:marTop w:val="0"/>
              <w:marBottom w:val="0"/>
              <w:divBdr>
                <w:top w:val="none" w:sz="0" w:space="0" w:color="auto"/>
                <w:left w:val="none" w:sz="0" w:space="0" w:color="auto"/>
                <w:bottom w:val="none" w:sz="0" w:space="0" w:color="auto"/>
                <w:right w:val="none" w:sz="0" w:space="0" w:color="auto"/>
              </w:divBdr>
              <w:divsChild>
                <w:div w:id="47587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676908">
      <w:bodyDiv w:val="1"/>
      <w:marLeft w:val="0"/>
      <w:marRight w:val="0"/>
      <w:marTop w:val="0"/>
      <w:marBottom w:val="0"/>
      <w:divBdr>
        <w:top w:val="none" w:sz="0" w:space="0" w:color="auto"/>
        <w:left w:val="none" w:sz="0" w:space="0" w:color="auto"/>
        <w:bottom w:val="none" w:sz="0" w:space="0" w:color="auto"/>
        <w:right w:val="none" w:sz="0" w:space="0" w:color="auto"/>
      </w:divBdr>
    </w:div>
    <w:div w:id="1369144465">
      <w:bodyDiv w:val="1"/>
      <w:marLeft w:val="0"/>
      <w:marRight w:val="0"/>
      <w:marTop w:val="0"/>
      <w:marBottom w:val="0"/>
      <w:divBdr>
        <w:top w:val="none" w:sz="0" w:space="0" w:color="auto"/>
        <w:left w:val="none" w:sz="0" w:space="0" w:color="auto"/>
        <w:bottom w:val="none" w:sz="0" w:space="0" w:color="auto"/>
        <w:right w:val="none" w:sz="0" w:space="0" w:color="auto"/>
      </w:divBdr>
      <w:divsChild>
        <w:div w:id="132143656">
          <w:marLeft w:val="0"/>
          <w:marRight w:val="0"/>
          <w:marTop w:val="0"/>
          <w:marBottom w:val="375"/>
          <w:divBdr>
            <w:top w:val="none" w:sz="0" w:space="0" w:color="auto"/>
            <w:left w:val="none" w:sz="0" w:space="0" w:color="auto"/>
            <w:bottom w:val="none" w:sz="0" w:space="0" w:color="auto"/>
            <w:right w:val="none" w:sz="0" w:space="0" w:color="auto"/>
          </w:divBdr>
        </w:div>
        <w:div w:id="483816780">
          <w:marLeft w:val="0"/>
          <w:marRight w:val="0"/>
          <w:marTop w:val="0"/>
          <w:marBottom w:val="375"/>
          <w:divBdr>
            <w:top w:val="none" w:sz="0" w:space="0" w:color="auto"/>
            <w:left w:val="none" w:sz="0" w:space="0" w:color="auto"/>
            <w:bottom w:val="none" w:sz="0" w:space="0" w:color="auto"/>
            <w:right w:val="none" w:sz="0" w:space="0" w:color="auto"/>
          </w:divBdr>
          <w:divsChild>
            <w:div w:id="133406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073581">
      <w:bodyDiv w:val="1"/>
      <w:marLeft w:val="0"/>
      <w:marRight w:val="0"/>
      <w:marTop w:val="0"/>
      <w:marBottom w:val="0"/>
      <w:divBdr>
        <w:top w:val="none" w:sz="0" w:space="0" w:color="auto"/>
        <w:left w:val="none" w:sz="0" w:space="0" w:color="auto"/>
        <w:bottom w:val="none" w:sz="0" w:space="0" w:color="auto"/>
        <w:right w:val="none" w:sz="0" w:space="0" w:color="auto"/>
      </w:divBdr>
    </w:div>
    <w:div w:id="1379547167">
      <w:bodyDiv w:val="1"/>
      <w:marLeft w:val="0"/>
      <w:marRight w:val="0"/>
      <w:marTop w:val="0"/>
      <w:marBottom w:val="0"/>
      <w:divBdr>
        <w:top w:val="none" w:sz="0" w:space="0" w:color="auto"/>
        <w:left w:val="none" w:sz="0" w:space="0" w:color="auto"/>
        <w:bottom w:val="none" w:sz="0" w:space="0" w:color="auto"/>
        <w:right w:val="none" w:sz="0" w:space="0" w:color="auto"/>
      </w:divBdr>
    </w:div>
    <w:div w:id="1387872866">
      <w:bodyDiv w:val="1"/>
      <w:marLeft w:val="0"/>
      <w:marRight w:val="0"/>
      <w:marTop w:val="0"/>
      <w:marBottom w:val="0"/>
      <w:divBdr>
        <w:top w:val="none" w:sz="0" w:space="0" w:color="auto"/>
        <w:left w:val="none" w:sz="0" w:space="0" w:color="auto"/>
        <w:bottom w:val="none" w:sz="0" w:space="0" w:color="auto"/>
        <w:right w:val="none" w:sz="0" w:space="0" w:color="auto"/>
      </w:divBdr>
      <w:divsChild>
        <w:div w:id="1459488003">
          <w:marLeft w:val="0"/>
          <w:marRight w:val="0"/>
          <w:marTop w:val="0"/>
          <w:marBottom w:val="0"/>
          <w:divBdr>
            <w:top w:val="none" w:sz="0" w:space="0" w:color="auto"/>
            <w:left w:val="none" w:sz="0" w:space="0" w:color="auto"/>
            <w:bottom w:val="none" w:sz="0" w:space="0" w:color="auto"/>
            <w:right w:val="none" w:sz="0" w:space="0" w:color="auto"/>
          </w:divBdr>
          <w:divsChild>
            <w:div w:id="1685278898">
              <w:marLeft w:val="0"/>
              <w:marRight w:val="0"/>
              <w:marTop w:val="0"/>
              <w:marBottom w:val="0"/>
              <w:divBdr>
                <w:top w:val="none" w:sz="0" w:space="0" w:color="auto"/>
                <w:left w:val="none" w:sz="0" w:space="0" w:color="auto"/>
                <w:bottom w:val="none" w:sz="0" w:space="0" w:color="auto"/>
                <w:right w:val="none" w:sz="0" w:space="0" w:color="auto"/>
              </w:divBdr>
              <w:divsChild>
                <w:div w:id="555363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064760">
      <w:bodyDiv w:val="1"/>
      <w:marLeft w:val="0"/>
      <w:marRight w:val="0"/>
      <w:marTop w:val="0"/>
      <w:marBottom w:val="0"/>
      <w:divBdr>
        <w:top w:val="none" w:sz="0" w:space="0" w:color="auto"/>
        <w:left w:val="none" w:sz="0" w:space="0" w:color="auto"/>
        <w:bottom w:val="none" w:sz="0" w:space="0" w:color="auto"/>
        <w:right w:val="none" w:sz="0" w:space="0" w:color="auto"/>
      </w:divBdr>
    </w:div>
    <w:div w:id="1404379077">
      <w:bodyDiv w:val="1"/>
      <w:marLeft w:val="0"/>
      <w:marRight w:val="0"/>
      <w:marTop w:val="0"/>
      <w:marBottom w:val="0"/>
      <w:divBdr>
        <w:top w:val="none" w:sz="0" w:space="0" w:color="auto"/>
        <w:left w:val="none" w:sz="0" w:space="0" w:color="auto"/>
        <w:bottom w:val="none" w:sz="0" w:space="0" w:color="auto"/>
        <w:right w:val="none" w:sz="0" w:space="0" w:color="auto"/>
      </w:divBdr>
    </w:div>
    <w:div w:id="1407262454">
      <w:bodyDiv w:val="1"/>
      <w:marLeft w:val="0"/>
      <w:marRight w:val="0"/>
      <w:marTop w:val="0"/>
      <w:marBottom w:val="0"/>
      <w:divBdr>
        <w:top w:val="none" w:sz="0" w:space="0" w:color="auto"/>
        <w:left w:val="none" w:sz="0" w:space="0" w:color="auto"/>
        <w:bottom w:val="none" w:sz="0" w:space="0" w:color="auto"/>
        <w:right w:val="none" w:sz="0" w:space="0" w:color="auto"/>
      </w:divBdr>
    </w:div>
    <w:div w:id="1436637513">
      <w:bodyDiv w:val="1"/>
      <w:marLeft w:val="0"/>
      <w:marRight w:val="0"/>
      <w:marTop w:val="0"/>
      <w:marBottom w:val="0"/>
      <w:divBdr>
        <w:top w:val="none" w:sz="0" w:space="0" w:color="auto"/>
        <w:left w:val="none" w:sz="0" w:space="0" w:color="auto"/>
        <w:bottom w:val="none" w:sz="0" w:space="0" w:color="auto"/>
        <w:right w:val="none" w:sz="0" w:space="0" w:color="auto"/>
      </w:divBdr>
    </w:div>
    <w:div w:id="1456631397">
      <w:bodyDiv w:val="1"/>
      <w:marLeft w:val="0"/>
      <w:marRight w:val="0"/>
      <w:marTop w:val="0"/>
      <w:marBottom w:val="0"/>
      <w:divBdr>
        <w:top w:val="none" w:sz="0" w:space="0" w:color="auto"/>
        <w:left w:val="none" w:sz="0" w:space="0" w:color="auto"/>
        <w:bottom w:val="none" w:sz="0" w:space="0" w:color="auto"/>
        <w:right w:val="none" w:sz="0" w:space="0" w:color="auto"/>
      </w:divBdr>
    </w:div>
    <w:div w:id="1466268231">
      <w:bodyDiv w:val="1"/>
      <w:marLeft w:val="0"/>
      <w:marRight w:val="0"/>
      <w:marTop w:val="0"/>
      <w:marBottom w:val="0"/>
      <w:divBdr>
        <w:top w:val="none" w:sz="0" w:space="0" w:color="auto"/>
        <w:left w:val="none" w:sz="0" w:space="0" w:color="auto"/>
        <w:bottom w:val="none" w:sz="0" w:space="0" w:color="auto"/>
        <w:right w:val="none" w:sz="0" w:space="0" w:color="auto"/>
      </w:divBdr>
      <w:divsChild>
        <w:div w:id="1589533479">
          <w:marLeft w:val="0"/>
          <w:marRight w:val="0"/>
          <w:marTop w:val="0"/>
          <w:marBottom w:val="0"/>
          <w:divBdr>
            <w:top w:val="none" w:sz="0" w:space="0" w:color="auto"/>
            <w:left w:val="none" w:sz="0" w:space="0" w:color="auto"/>
            <w:bottom w:val="none" w:sz="0" w:space="0" w:color="auto"/>
            <w:right w:val="none" w:sz="0" w:space="0" w:color="auto"/>
          </w:divBdr>
        </w:div>
        <w:div w:id="21974871">
          <w:marLeft w:val="0"/>
          <w:marRight w:val="0"/>
          <w:marTop w:val="0"/>
          <w:marBottom w:val="0"/>
          <w:divBdr>
            <w:top w:val="none" w:sz="0" w:space="0" w:color="auto"/>
            <w:left w:val="none" w:sz="0" w:space="0" w:color="auto"/>
            <w:bottom w:val="none" w:sz="0" w:space="0" w:color="auto"/>
            <w:right w:val="none" w:sz="0" w:space="0" w:color="auto"/>
          </w:divBdr>
        </w:div>
      </w:divsChild>
    </w:div>
    <w:div w:id="1508714074">
      <w:bodyDiv w:val="1"/>
      <w:marLeft w:val="0"/>
      <w:marRight w:val="0"/>
      <w:marTop w:val="0"/>
      <w:marBottom w:val="0"/>
      <w:divBdr>
        <w:top w:val="none" w:sz="0" w:space="0" w:color="auto"/>
        <w:left w:val="none" w:sz="0" w:space="0" w:color="auto"/>
        <w:bottom w:val="none" w:sz="0" w:space="0" w:color="auto"/>
        <w:right w:val="none" w:sz="0" w:space="0" w:color="auto"/>
      </w:divBdr>
    </w:div>
    <w:div w:id="1512642704">
      <w:bodyDiv w:val="1"/>
      <w:marLeft w:val="0"/>
      <w:marRight w:val="0"/>
      <w:marTop w:val="0"/>
      <w:marBottom w:val="0"/>
      <w:divBdr>
        <w:top w:val="none" w:sz="0" w:space="0" w:color="auto"/>
        <w:left w:val="none" w:sz="0" w:space="0" w:color="auto"/>
        <w:bottom w:val="none" w:sz="0" w:space="0" w:color="auto"/>
        <w:right w:val="none" w:sz="0" w:space="0" w:color="auto"/>
      </w:divBdr>
    </w:div>
    <w:div w:id="1519080427">
      <w:bodyDiv w:val="1"/>
      <w:marLeft w:val="0"/>
      <w:marRight w:val="0"/>
      <w:marTop w:val="0"/>
      <w:marBottom w:val="0"/>
      <w:divBdr>
        <w:top w:val="none" w:sz="0" w:space="0" w:color="auto"/>
        <w:left w:val="none" w:sz="0" w:space="0" w:color="auto"/>
        <w:bottom w:val="none" w:sz="0" w:space="0" w:color="auto"/>
        <w:right w:val="none" w:sz="0" w:space="0" w:color="auto"/>
      </w:divBdr>
    </w:div>
    <w:div w:id="1552761997">
      <w:bodyDiv w:val="1"/>
      <w:marLeft w:val="0"/>
      <w:marRight w:val="0"/>
      <w:marTop w:val="0"/>
      <w:marBottom w:val="0"/>
      <w:divBdr>
        <w:top w:val="none" w:sz="0" w:space="0" w:color="auto"/>
        <w:left w:val="none" w:sz="0" w:space="0" w:color="auto"/>
        <w:bottom w:val="none" w:sz="0" w:space="0" w:color="auto"/>
        <w:right w:val="none" w:sz="0" w:space="0" w:color="auto"/>
      </w:divBdr>
    </w:div>
    <w:div w:id="1558855666">
      <w:bodyDiv w:val="1"/>
      <w:marLeft w:val="0"/>
      <w:marRight w:val="0"/>
      <w:marTop w:val="0"/>
      <w:marBottom w:val="0"/>
      <w:divBdr>
        <w:top w:val="none" w:sz="0" w:space="0" w:color="auto"/>
        <w:left w:val="none" w:sz="0" w:space="0" w:color="auto"/>
        <w:bottom w:val="none" w:sz="0" w:space="0" w:color="auto"/>
        <w:right w:val="none" w:sz="0" w:space="0" w:color="auto"/>
      </w:divBdr>
    </w:div>
    <w:div w:id="1561478622">
      <w:bodyDiv w:val="1"/>
      <w:marLeft w:val="0"/>
      <w:marRight w:val="0"/>
      <w:marTop w:val="0"/>
      <w:marBottom w:val="0"/>
      <w:divBdr>
        <w:top w:val="none" w:sz="0" w:space="0" w:color="auto"/>
        <w:left w:val="none" w:sz="0" w:space="0" w:color="auto"/>
        <w:bottom w:val="none" w:sz="0" w:space="0" w:color="auto"/>
        <w:right w:val="none" w:sz="0" w:space="0" w:color="auto"/>
      </w:divBdr>
    </w:div>
    <w:div w:id="1591356374">
      <w:bodyDiv w:val="1"/>
      <w:marLeft w:val="0"/>
      <w:marRight w:val="0"/>
      <w:marTop w:val="0"/>
      <w:marBottom w:val="0"/>
      <w:divBdr>
        <w:top w:val="none" w:sz="0" w:space="0" w:color="auto"/>
        <w:left w:val="none" w:sz="0" w:space="0" w:color="auto"/>
        <w:bottom w:val="none" w:sz="0" w:space="0" w:color="auto"/>
        <w:right w:val="none" w:sz="0" w:space="0" w:color="auto"/>
      </w:divBdr>
    </w:div>
    <w:div w:id="1594313212">
      <w:bodyDiv w:val="1"/>
      <w:marLeft w:val="0"/>
      <w:marRight w:val="0"/>
      <w:marTop w:val="0"/>
      <w:marBottom w:val="0"/>
      <w:divBdr>
        <w:top w:val="none" w:sz="0" w:space="0" w:color="auto"/>
        <w:left w:val="none" w:sz="0" w:space="0" w:color="auto"/>
        <w:bottom w:val="none" w:sz="0" w:space="0" w:color="auto"/>
        <w:right w:val="none" w:sz="0" w:space="0" w:color="auto"/>
      </w:divBdr>
    </w:div>
    <w:div w:id="1615476829">
      <w:bodyDiv w:val="1"/>
      <w:marLeft w:val="0"/>
      <w:marRight w:val="0"/>
      <w:marTop w:val="0"/>
      <w:marBottom w:val="0"/>
      <w:divBdr>
        <w:top w:val="none" w:sz="0" w:space="0" w:color="auto"/>
        <w:left w:val="none" w:sz="0" w:space="0" w:color="auto"/>
        <w:bottom w:val="none" w:sz="0" w:space="0" w:color="auto"/>
        <w:right w:val="none" w:sz="0" w:space="0" w:color="auto"/>
      </w:divBdr>
      <w:divsChild>
        <w:div w:id="312562800">
          <w:marLeft w:val="446"/>
          <w:marRight w:val="0"/>
          <w:marTop w:val="0"/>
          <w:marBottom w:val="0"/>
          <w:divBdr>
            <w:top w:val="none" w:sz="0" w:space="0" w:color="auto"/>
            <w:left w:val="none" w:sz="0" w:space="0" w:color="auto"/>
            <w:bottom w:val="none" w:sz="0" w:space="0" w:color="auto"/>
            <w:right w:val="none" w:sz="0" w:space="0" w:color="auto"/>
          </w:divBdr>
        </w:div>
      </w:divsChild>
    </w:div>
    <w:div w:id="1623000442">
      <w:bodyDiv w:val="1"/>
      <w:marLeft w:val="0"/>
      <w:marRight w:val="0"/>
      <w:marTop w:val="0"/>
      <w:marBottom w:val="0"/>
      <w:divBdr>
        <w:top w:val="none" w:sz="0" w:space="0" w:color="auto"/>
        <w:left w:val="none" w:sz="0" w:space="0" w:color="auto"/>
        <w:bottom w:val="none" w:sz="0" w:space="0" w:color="auto"/>
        <w:right w:val="none" w:sz="0" w:space="0" w:color="auto"/>
      </w:divBdr>
    </w:div>
    <w:div w:id="1651717035">
      <w:bodyDiv w:val="1"/>
      <w:marLeft w:val="0"/>
      <w:marRight w:val="0"/>
      <w:marTop w:val="0"/>
      <w:marBottom w:val="0"/>
      <w:divBdr>
        <w:top w:val="none" w:sz="0" w:space="0" w:color="auto"/>
        <w:left w:val="none" w:sz="0" w:space="0" w:color="auto"/>
        <w:bottom w:val="none" w:sz="0" w:space="0" w:color="auto"/>
        <w:right w:val="none" w:sz="0" w:space="0" w:color="auto"/>
      </w:divBdr>
      <w:divsChild>
        <w:div w:id="1371417672">
          <w:marLeft w:val="0"/>
          <w:marRight w:val="0"/>
          <w:marTop w:val="0"/>
          <w:marBottom w:val="0"/>
          <w:divBdr>
            <w:top w:val="none" w:sz="0" w:space="0" w:color="auto"/>
            <w:left w:val="none" w:sz="0" w:space="0" w:color="auto"/>
            <w:bottom w:val="none" w:sz="0" w:space="0" w:color="auto"/>
            <w:right w:val="none" w:sz="0" w:space="0" w:color="auto"/>
          </w:divBdr>
          <w:divsChild>
            <w:div w:id="172032169">
              <w:marLeft w:val="0"/>
              <w:marRight w:val="0"/>
              <w:marTop w:val="0"/>
              <w:marBottom w:val="0"/>
              <w:divBdr>
                <w:top w:val="none" w:sz="0" w:space="0" w:color="auto"/>
                <w:left w:val="none" w:sz="0" w:space="0" w:color="auto"/>
                <w:bottom w:val="none" w:sz="0" w:space="0" w:color="auto"/>
                <w:right w:val="none" w:sz="0" w:space="0" w:color="auto"/>
              </w:divBdr>
              <w:divsChild>
                <w:div w:id="1724869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093502">
      <w:bodyDiv w:val="1"/>
      <w:marLeft w:val="0"/>
      <w:marRight w:val="0"/>
      <w:marTop w:val="0"/>
      <w:marBottom w:val="0"/>
      <w:divBdr>
        <w:top w:val="none" w:sz="0" w:space="0" w:color="auto"/>
        <w:left w:val="none" w:sz="0" w:space="0" w:color="auto"/>
        <w:bottom w:val="none" w:sz="0" w:space="0" w:color="auto"/>
        <w:right w:val="none" w:sz="0" w:space="0" w:color="auto"/>
      </w:divBdr>
    </w:div>
    <w:div w:id="1669408150">
      <w:bodyDiv w:val="1"/>
      <w:marLeft w:val="0"/>
      <w:marRight w:val="0"/>
      <w:marTop w:val="0"/>
      <w:marBottom w:val="0"/>
      <w:divBdr>
        <w:top w:val="none" w:sz="0" w:space="0" w:color="auto"/>
        <w:left w:val="none" w:sz="0" w:space="0" w:color="auto"/>
        <w:bottom w:val="none" w:sz="0" w:space="0" w:color="auto"/>
        <w:right w:val="none" w:sz="0" w:space="0" w:color="auto"/>
      </w:divBdr>
    </w:div>
    <w:div w:id="1684816857">
      <w:bodyDiv w:val="1"/>
      <w:marLeft w:val="0"/>
      <w:marRight w:val="0"/>
      <w:marTop w:val="0"/>
      <w:marBottom w:val="0"/>
      <w:divBdr>
        <w:top w:val="none" w:sz="0" w:space="0" w:color="auto"/>
        <w:left w:val="none" w:sz="0" w:space="0" w:color="auto"/>
        <w:bottom w:val="none" w:sz="0" w:space="0" w:color="auto"/>
        <w:right w:val="none" w:sz="0" w:space="0" w:color="auto"/>
      </w:divBdr>
    </w:div>
    <w:div w:id="1691952762">
      <w:bodyDiv w:val="1"/>
      <w:marLeft w:val="0"/>
      <w:marRight w:val="0"/>
      <w:marTop w:val="0"/>
      <w:marBottom w:val="0"/>
      <w:divBdr>
        <w:top w:val="none" w:sz="0" w:space="0" w:color="auto"/>
        <w:left w:val="none" w:sz="0" w:space="0" w:color="auto"/>
        <w:bottom w:val="none" w:sz="0" w:space="0" w:color="auto"/>
        <w:right w:val="none" w:sz="0" w:space="0" w:color="auto"/>
      </w:divBdr>
    </w:div>
    <w:div w:id="1693726021">
      <w:bodyDiv w:val="1"/>
      <w:marLeft w:val="0"/>
      <w:marRight w:val="0"/>
      <w:marTop w:val="0"/>
      <w:marBottom w:val="0"/>
      <w:divBdr>
        <w:top w:val="none" w:sz="0" w:space="0" w:color="auto"/>
        <w:left w:val="none" w:sz="0" w:space="0" w:color="auto"/>
        <w:bottom w:val="none" w:sz="0" w:space="0" w:color="auto"/>
        <w:right w:val="none" w:sz="0" w:space="0" w:color="auto"/>
      </w:divBdr>
    </w:div>
    <w:div w:id="1697078240">
      <w:bodyDiv w:val="1"/>
      <w:marLeft w:val="0"/>
      <w:marRight w:val="0"/>
      <w:marTop w:val="0"/>
      <w:marBottom w:val="0"/>
      <w:divBdr>
        <w:top w:val="none" w:sz="0" w:space="0" w:color="auto"/>
        <w:left w:val="none" w:sz="0" w:space="0" w:color="auto"/>
        <w:bottom w:val="none" w:sz="0" w:space="0" w:color="auto"/>
        <w:right w:val="none" w:sz="0" w:space="0" w:color="auto"/>
      </w:divBdr>
    </w:div>
    <w:div w:id="1707292401">
      <w:bodyDiv w:val="1"/>
      <w:marLeft w:val="0"/>
      <w:marRight w:val="0"/>
      <w:marTop w:val="0"/>
      <w:marBottom w:val="0"/>
      <w:divBdr>
        <w:top w:val="none" w:sz="0" w:space="0" w:color="auto"/>
        <w:left w:val="none" w:sz="0" w:space="0" w:color="auto"/>
        <w:bottom w:val="none" w:sz="0" w:space="0" w:color="auto"/>
        <w:right w:val="none" w:sz="0" w:space="0" w:color="auto"/>
      </w:divBdr>
    </w:div>
    <w:div w:id="1736926865">
      <w:bodyDiv w:val="1"/>
      <w:marLeft w:val="0"/>
      <w:marRight w:val="0"/>
      <w:marTop w:val="0"/>
      <w:marBottom w:val="0"/>
      <w:divBdr>
        <w:top w:val="none" w:sz="0" w:space="0" w:color="auto"/>
        <w:left w:val="none" w:sz="0" w:space="0" w:color="auto"/>
        <w:bottom w:val="none" w:sz="0" w:space="0" w:color="auto"/>
        <w:right w:val="none" w:sz="0" w:space="0" w:color="auto"/>
      </w:divBdr>
    </w:div>
    <w:div w:id="1740326341">
      <w:bodyDiv w:val="1"/>
      <w:marLeft w:val="0"/>
      <w:marRight w:val="0"/>
      <w:marTop w:val="0"/>
      <w:marBottom w:val="0"/>
      <w:divBdr>
        <w:top w:val="none" w:sz="0" w:space="0" w:color="auto"/>
        <w:left w:val="none" w:sz="0" w:space="0" w:color="auto"/>
        <w:bottom w:val="none" w:sz="0" w:space="0" w:color="auto"/>
        <w:right w:val="none" w:sz="0" w:space="0" w:color="auto"/>
      </w:divBdr>
    </w:div>
    <w:div w:id="1755274859">
      <w:bodyDiv w:val="1"/>
      <w:marLeft w:val="0"/>
      <w:marRight w:val="0"/>
      <w:marTop w:val="0"/>
      <w:marBottom w:val="0"/>
      <w:divBdr>
        <w:top w:val="none" w:sz="0" w:space="0" w:color="auto"/>
        <w:left w:val="none" w:sz="0" w:space="0" w:color="auto"/>
        <w:bottom w:val="none" w:sz="0" w:space="0" w:color="auto"/>
        <w:right w:val="none" w:sz="0" w:space="0" w:color="auto"/>
      </w:divBdr>
      <w:divsChild>
        <w:div w:id="1496607561">
          <w:marLeft w:val="0"/>
          <w:marRight w:val="0"/>
          <w:marTop w:val="0"/>
          <w:marBottom w:val="0"/>
          <w:divBdr>
            <w:top w:val="none" w:sz="0" w:space="0" w:color="auto"/>
            <w:left w:val="none" w:sz="0" w:space="0" w:color="auto"/>
            <w:bottom w:val="none" w:sz="0" w:space="0" w:color="auto"/>
            <w:right w:val="none" w:sz="0" w:space="0" w:color="auto"/>
          </w:divBdr>
          <w:divsChild>
            <w:div w:id="1505509102">
              <w:marLeft w:val="0"/>
              <w:marRight w:val="0"/>
              <w:marTop w:val="0"/>
              <w:marBottom w:val="0"/>
              <w:divBdr>
                <w:top w:val="none" w:sz="0" w:space="0" w:color="auto"/>
                <w:left w:val="none" w:sz="0" w:space="0" w:color="auto"/>
                <w:bottom w:val="none" w:sz="0" w:space="0" w:color="auto"/>
                <w:right w:val="none" w:sz="0" w:space="0" w:color="auto"/>
              </w:divBdr>
              <w:divsChild>
                <w:div w:id="981077597">
                  <w:marLeft w:val="0"/>
                  <w:marRight w:val="0"/>
                  <w:marTop w:val="0"/>
                  <w:marBottom w:val="0"/>
                  <w:divBdr>
                    <w:top w:val="none" w:sz="0" w:space="0" w:color="auto"/>
                    <w:left w:val="none" w:sz="0" w:space="0" w:color="auto"/>
                    <w:bottom w:val="none" w:sz="0" w:space="0" w:color="auto"/>
                    <w:right w:val="none" w:sz="0" w:space="0" w:color="auto"/>
                  </w:divBdr>
                  <w:divsChild>
                    <w:div w:id="1646617231">
                      <w:marLeft w:val="0"/>
                      <w:marRight w:val="0"/>
                      <w:marTop w:val="0"/>
                      <w:marBottom w:val="0"/>
                      <w:divBdr>
                        <w:top w:val="none" w:sz="0" w:space="0" w:color="auto"/>
                        <w:left w:val="none" w:sz="0" w:space="0" w:color="auto"/>
                        <w:bottom w:val="none" w:sz="0" w:space="0" w:color="auto"/>
                        <w:right w:val="none" w:sz="0" w:space="0" w:color="auto"/>
                      </w:divBdr>
                      <w:divsChild>
                        <w:div w:id="323512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980657">
                  <w:marLeft w:val="0"/>
                  <w:marRight w:val="0"/>
                  <w:marTop w:val="0"/>
                  <w:marBottom w:val="0"/>
                  <w:divBdr>
                    <w:top w:val="none" w:sz="0" w:space="0" w:color="auto"/>
                    <w:left w:val="none" w:sz="0" w:space="0" w:color="auto"/>
                    <w:bottom w:val="none" w:sz="0" w:space="0" w:color="auto"/>
                    <w:right w:val="none" w:sz="0" w:space="0" w:color="auto"/>
                  </w:divBdr>
                  <w:divsChild>
                    <w:div w:id="152919912">
                      <w:marLeft w:val="0"/>
                      <w:marRight w:val="0"/>
                      <w:marTop w:val="0"/>
                      <w:marBottom w:val="0"/>
                      <w:divBdr>
                        <w:top w:val="none" w:sz="0" w:space="0" w:color="auto"/>
                        <w:left w:val="none" w:sz="0" w:space="0" w:color="auto"/>
                        <w:bottom w:val="none" w:sz="0" w:space="0" w:color="auto"/>
                        <w:right w:val="none" w:sz="0" w:space="0" w:color="auto"/>
                      </w:divBdr>
                    </w:div>
                  </w:divsChild>
                </w:div>
                <w:div w:id="1605258930">
                  <w:marLeft w:val="0"/>
                  <w:marRight w:val="0"/>
                  <w:marTop w:val="0"/>
                  <w:marBottom w:val="0"/>
                  <w:divBdr>
                    <w:top w:val="none" w:sz="0" w:space="0" w:color="auto"/>
                    <w:left w:val="none" w:sz="0" w:space="0" w:color="auto"/>
                    <w:bottom w:val="none" w:sz="0" w:space="0" w:color="auto"/>
                    <w:right w:val="none" w:sz="0" w:space="0" w:color="auto"/>
                  </w:divBdr>
                  <w:divsChild>
                    <w:div w:id="1772313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437894">
      <w:bodyDiv w:val="1"/>
      <w:marLeft w:val="0"/>
      <w:marRight w:val="0"/>
      <w:marTop w:val="0"/>
      <w:marBottom w:val="0"/>
      <w:divBdr>
        <w:top w:val="none" w:sz="0" w:space="0" w:color="auto"/>
        <w:left w:val="none" w:sz="0" w:space="0" w:color="auto"/>
        <w:bottom w:val="none" w:sz="0" w:space="0" w:color="auto"/>
        <w:right w:val="none" w:sz="0" w:space="0" w:color="auto"/>
      </w:divBdr>
    </w:div>
    <w:div w:id="1779714218">
      <w:bodyDiv w:val="1"/>
      <w:marLeft w:val="0"/>
      <w:marRight w:val="0"/>
      <w:marTop w:val="0"/>
      <w:marBottom w:val="0"/>
      <w:divBdr>
        <w:top w:val="none" w:sz="0" w:space="0" w:color="auto"/>
        <w:left w:val="none" w:sz="0" w:space="0" w:color="auto"/>
        <w:bottom w:val="none" w:sz="0" w:space="0" w:color="auto"/>
        <w:right w:val="none" w:sz="0" w:space="0" w:color="auto"/>
      </w:divBdr>
    </w:div>
    <w:div w:id="1798059097">
      <w:bodyDiv w:val="1"/>
      <w:marLeft w:val="0"/>
      <w:marRight w:val="0"/>
      <w:marTop w:val="0"/>
      <w:marBottom w:val="0"/>
      <w:divBdr>
        <w:top w:val="none" w:sz="0" w:space="0" w:color="auto"/>
        <w:left w:val="none" w:sz="0" w:space="0" w:color="auto"/>
        <w:bottom w:val="none" w:sz="0" w:space="0" w:color="auto"/>
        <w:right w:val="none" w:sz="0" w:space="0" w:color="auto"/>
      </w:divBdr>
    </w:div>
    <w:div w:id="1815834294">
      <w:bodyDiv w:val="1"/>
      <w:marLeft w:val="0"/>
      <w:marRight w:val="0"/>
      <w:marTop w:val="0"/>
      <w:marBottom w:val="0"/>
      <w:divBdr>
        <w:top w:val="none" w:sz="0" w:space="0" w:color="auto"/>
        <w:left w:val="none" w:sz="0" w:space="0" w:color="auto"/>
        <w:bottom w:val="none" w:sz="0" w:space="0" w:color="auto"/>
        <w:right w:val="none" w:sz="0" w:space="0" w:color="auto"/>
      </w:divBdr>
    </w:div>
    <w:div w:id="1829666424">
      <w:bodyDiv w:val="1"/>
      <w:marLeft w:val="0"/>
      <w:marRight w:val="0"/>
      <w:marTop w:val="0"/>
      <w:marBottom w:val="0"/>
      <w:divBdr>
        <w:top w:val="none" w:sz="0" w:space="0" w:color="auto"/>
        <w:left w:val="none" w:sz="0" w:space="0" w:color="auto"/>
        <w:bottom w:val="none" w:sz="0" w:space="0" w:color="auto"/>
        <w:right w:val="none" w:sz="0" w:space="0" w:color="auto"/>
      </w:divBdr>
    </w:div>
    <w:div w:id="1846241141">
      <w:bodyDiv w:val="1"/>
      <w:marLeft w:val="0"/>
      <w:marRight w:val="0"/>
      <w:marTop w:val="0"/>
      <w:marBottom w:val="0"/>
      <w:divBdr>
        <w:top w:val="none" w:sz="0" w:space="0" w:color="auto"/>
        <w:left w:val="none" w:sz="0" w:space="0" w:color="auto"/>
        <w:bottom w:val="none" w:sz="0" w:space="0" w:color="auto"/>
        <w:right w:val="none" w:sz="0" w:space="0" w:color="auto"/>
      </w:divBdr>
    </w:div>
    <w:div w:id="1853907910">
      <w:bodyDiv w:val="1"/>
      <w:marLeft w:val="0"/>
      <w:marRight w:val="0"/>
      <w:marTop w:val="0"/>
      <w:marBottom w:val="0"/>
      <w:divBdr>
        <w:top w:val="none" w:sz="0" w:space="0" w:color="auto"/>
        <w:left w:val="none" w:sz="0" w:space="0" w:color="auto"/>
        <w:bottom w:val="none" w:sz="0" w:space="0" w:color="auto"/>
        <w:right w:val="none" w:sz="0" w:space="0" w:color="auto"/>
      </w:divBdr>
    </w:div>
    <w:div w:id="1920555622">
      <w:bodyDiv w:val="1"/>
      <w:marLeft w:val="0"/>
      <w:marRight w:val="0"/>
      <w:marTop w:val="0"/>
      <w:marBottom w:val="0"/>
      <w:divBdr>
        <w:top w:val="none" w:sz="0" w:space="0" w:color="auto"/>
        <w:left w:val="none" w:sz="0" w:space="0" w:color="auto"/>
        <w:bottom w:val="none" w:sz="0" w:space="0" w:color="auto"/>
        <w:right w:val="none" w:sz="0" w:space="0" w:color="auto"/>
      </w:divBdr>
    </w:div>
    <w:div w:id="1934436938">
      <w:bodyDiv w:val="1"/>
      <w:marLeft w:val="0"/>
      <w:marRight w:val="0"/>
      <w:marTop w:val="0"/>
      <w:marBottom w:val="0"/>
      <w:divBdr>
        <w:top w:val="none" w:sz="0" w:space="0" w:color="auto"/>
        <w:left w:val="none" w:sz="0" w:space="0" w:color="auto"/>
        <w:bottom w:val="none" w:sz="0" w:space="0" w:color="auto"/>
        <w:right w:val="none" w:sz="0" w:space="0" w:color="auto"/>
      </w:divBdr>
    </w:div>
    <w:div w:id="1938442476">
      <w:bodyDiv w:val="1"/>
      <w:marLeft w:val="0"/>
      <w:marRight w:val="0"/>
      <w:marTop w:val="0"/>
      <w:marBottom w:val="0"/>
      <w:divBdr>
        <w:top w:val="none" w:sz="0" w:space="0" w:color="auto"/>
        <w:left w:val="none" w:sz="0" w:space="0" w:color="auto"/>
        <w:bottom w:val="none" w:sz="0" w:space="0" w:color="auto"/>
        <w:right w:val="none" w:sz="0" w:space="0" w:color="auto"/>
      </w:divBdr>
    </w:div>
    <w:div w:id="1946106750">
      <w:bodyDiv w:val="1"/>
      <w:marLeft w:val="0"/>
      <w:marRight w:val="0"/>
      <w:marTop w:val="0"/>
      <w:marBottom w:val="0"/>
      <w:divBdr>
        <w:top w:val="none" w:sz="0" w:space="0" w:color="auto"/>
        <w:left w:val="none" w:sz="0" w:space="0" w:color="auto"/>
        <w:bottom w:val="none" w:sz="0" w:space="0" w:color="auto"/>
        <w:right w:val="none" w:sz="0" w:space="0" w:color="auto"/>
      </w:divBdr>
    </w:div>
    <w:div w:id="1976986066">
      <w:bodyDiv w:val="1"/>
      <w:marLeft w:val="0"/>
      <w:marRight w:val="0"/>
      <w:marTop w:val="0"/>
      <w:marBottom w:val="0"/>
      <w:divBdr>
        <w:top w:val="none" w:sz="0" w:space="0" w:color="auto"/>
        <w:left w:val="none" w:sz="0" w:space="0" w:color="auto"/>
        <w:bottom w:val="none" w:sz="0" w:space="0" w:color="auto"/>
        <w:right w:val="none" w:sz="0" w:space="0" w:color="auto"/>
      </w:divBdr>
    </w:div>
    <w:div w:id="2039315365">
      <w:bodyDiv w:val="1"/>
      <w:marLeft w:val="0"/>
      <w:marRight w:val="0"/>
      <w:marTop w:val="0"/>
      <w:marBottom w:val="0"/>
      <w:divBdr>
        <w:top w:val="none" w:sz="0" w:space="0" w:color="auto"/>
        <w:left w:val="none" w:sz="0" w:space="0" w:color="auto"/>
        <w:bottom w:val="none" w:sz="0" w:space="0" w:color="auto"/>
        <w:right w:val="none" w:sz="0" w:space="0" w:color="auto"/>
      </w:divBdr>
    </w:div>
    <w:div w:id="2039502749">
      <w:bodyDiv w:val="1"/>
      <w:marLeft w:val="0"/>
      <w:marRight w:val="0"/>
      <w:marTop w:val="0"/>
      <w:marBottom w:val="0"/>
      <w:divBdr>
        <w:top w:val="none" w:sz="0" w:space="0" w:color="auto"/>
        <w:left w:val="none" w:sz="0" w:space="0" w:color="auto"/>
        <w:bottom w:val="none" w:sz="0" w:space="0" w:color="auto"/>
        <w:right w:val="none" w:sz="0" w:space="0" w:color="auto"/>
      </w:divBdr>
    </w:div>
    <w:div w:id="2055420675">
      <w:bodyDiv w:val="1"/>
      <w:marLeft w:val="0"/>
      <w:marRight w:val="0"/>
      <w:marTop w:val="0"/>
      <w:marBottom w:val="0"/>
      <w:divBdr>
        <w:top w:val="none" w:sz="0" w:space="0" w:color="auto"/>
        <w:left w:val="none" w:sz="0" w:space="0" w:color="auto"/>
        <w:bottom w:val="none" w:sz="0" w:space="0" w:color="auto"/>
        <w:right w:val="none" w:sz="0" w:space="0" w:color="auto"/>
      </w:divBdr>
    </w:div>
    <w:div w:id="2076395904">
      <w:bodyDiv w:val="1"/>
      <w:marLeft w:val="0"/>
      <w:marRight w:val="0"/>
      <w:marTop w:val="0"/>
      <w:marBottom w:val="0"/>
      <w:divBdr>
        <w:top w:val="none" w:sz="0" w:space="0" w:color="auto"/>
        <w:left w:val="none" w:sz="0" w:space="0" w:color="auto"/>
        <w:bottom w:val="none" w:sz="0" w:space="0" w:color="auto"/>
        <w:right w:val="none" w:sz="0" w:space="0" w:color="auto"/>
      </w:divBdr>
    </w:div>
    <w:div w:id="2090806575">
      <w:bodyDiv w:val="1"/>
      <w:marLeft w:val="0"/>
      <w:marRight w:val="0"/>
      <w:marTop w:val="0"/>
      <w:marBottom w:val="0"/>
      <w:divBdr>
        <w:top w:val="none" w:sz="0" w:space="0" w:color="auto"/>
        <w:left w:val="none" w:sz="0" w:space="0" w:color="auto"/>
        <w:bottom w:val="none" w:sz="0" w:space="0" w:color="auto"/>
        <w:right w:val="none" w:sz="0" w:space="0" w:color="auto"/>
      </w:divBdr>
    </w:div>
    <w:div w:id="2092653388">
      <w:bodyDiv w:val="1"/>
      <w:marLeft w:val="0"/>
      <w:marRight w:val="0"/>
      <w:marTop w:val="0"/>
      <w:marBottom w:val="0"/>
      <w:divBdr>
        <w:top w:val="none" w:sz="0" w:space="0" w:color="auto"/>
        <w:left w:val="none" w:sz="0" w:space="0" w:color="auto"/>
        <w:bottom w:val="none" w:sz="0" w:space="0" w:color="auto"/>
        <w:right w:val="none" w:sz="0" w:space="0" w:color="auto"/>
      </w:divBdr>
    </w:div>
    <w:div w:id="21153199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UNE</b:Tag>
    <b:SourceType>InternetSite</b:SourceType>
    <b:Guid>{F142712D-729E-DB4E-9B8D-E353DF3C5CFE}</b:Guid>
    <b:Title>air</b:Title>
    <b:Author>
      <b:Author>
        <b:NameList>
          <b:Person>
            <b:Last>UNEP</b:Last>
          </b:Person>
        </b:NameList>
      </b:Author>
    </b:Author>
    <b:InternetSiteTitle>UNEP</b:InternetSiteTitle>
    <b:URL>https://www.unenvironment.org/explore-topics/air/why-does-air-matter</b:URL>
    <b:RefOrder>1</b:RefOrder>
  </b:Source>
  <b:Source>
    <b:Tag>Nor17</b:Tag>
    <b:SourceType>Report</b:SourceType>
    <b:Guid>{9CF6CF71-8DFF-AA4F-B083-7738725AA481}</b:Guid>
    <b:Title>Towards a Pollution-Free Planet (Rep.). </b:Title>
    <b:Year>2017</b:Year>
    <b:Author>
      <b:Author>
        <b:NameList>
          <b:Person>
            <b:Last>Noronha</b:Last>
            <b:First>L.,</b:First>
            <b:Middle>McGlade, J., Goverse, T., &amp; Demassieux, F.</b:Middle>
          </b:Person>
        </b:NameList>
      </b:Author>
    </b:Author>
    <b:Publisher>United Nations Environment Programme</b:Publisher>
    <b:City>Nairobi, Kenya</b:City>
    <b:RefOrder>2</b:RefOrder>
  </b:Source>
</b:Sources>
</file>

<file path=customXml/itemProps1.xml><?xml version="1.0" encoding="utf-8"?>
<ds:datastoreItem xmlns:ds="http://schemas.openxmlformats.org/officeDocument/2006/customXml" ds:itemID="{4BAA8DC3-B504-4D1E-8227-BA415462D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7676</TotalTime>
  <Pages>38</Pages>
  <Words>139597</Words>
  <Characters>795709</Characters>
  <Application>Microsoft Office Word</Application>
  <DocSecurity>0</DocSecurity>
  <Lines>6630</Lines>
  <Paragraphs>1866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933440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claudio.sassanelli@polimi.it</dc:creator>
  <cp:keywords/>
  <dc:description/>
  <cp:lastModifiedBy>Paolo Rosa</cp:lastModifiedBy>
  <cp:revision>1718</cp:revision>
  <cp:lastPrinted>2019-07-17T07:18:00Z</cp:lastPrinted>
  <dcterms:created xsi:type="dcterms:W3CDTF">2018-09-24T13:56:00Z</dcterms:created>
  <dcterms:modified xsi:type="dcterms:W3CDTF">2019-07-17T07:18:00Z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6th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10th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http://www.zotero.org/styles/journal-of-cleaner-production</vt:lpwstr>
  </property>
  <property fmtid="{D5CDD505-2E9C-101B-9397-08002B2CF9AE}" pid="18" name="Mendeley Recent Style Name 7_1">
    <vt:lpwstr>Journal of Cleaner Production</vt:lpwstr>
  </property>
  <property fmtid="{D5CDD505-2E9C-101B-9397-08002B2CF9AE}" pid="19" name="Mendeley Recent Style Id 8_1">
    <vt:lpwstr>http://www.zotero.org/styles/modern-humanities-research-association</vt:lpwstr>
  </property>
  <property fmtid="{D5CDD505-2E9C-101B-9397-08002B2CF9AE}" pid="20" name="Mendeley Recent Style Name 8_1">
    <vt:lpwstr>Modern Humanities Research Association 3rd edition (note with bibliography)</vt:lpwstr>
  </property>
  <property fmtid="{D5CDD505-2E9C-101B-9397-08002B2CF9AE}" pid="21" name="Mendeley Recent Style Id 9_1">
    <vt:lpwstr>http://www.zotero.org/styles/resources-conservation-and-recycling</vt:lpwstr>
  </property>
  <property fmtid="{D5CDD505-2E9C-101B-9397-08002B2CF9AE}" pid="22" name="Mendeley Recent Style Name 9_1">
    <vt:lpwstr>Resources, Conservation &amp; Recycling</vt:lpwstr>
  </property>
  <property fmtid="{D5CDD505-2E9C-101B-9397-08002B2CF9AE}" pid="23" name="Mendeley Citation Style_1">
    <vt:lpwstr>http://www.zotero.org/styles/journal-of-cleaner-production</vt:lpwstr>
  </property>
  <property fmtid="{D5CDD505-2E9C-101B-9397-08002B2CF9AE}" pid="24" name="Mendeley Unique User Id_1">
    <vt:lpwstr>ec4af90b-62f4-3bdc-912c-3c32a2533aee</vt:lpwstr>
  </property>
</Properties>
</file>