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5FF808" w14:textId="77777777" w:rsidR="001D1523" w:rsidRDefault="001D1523" w:rsidP="001D1523">
      <w:pPr>
        <w:pStyle w:val="Pidipagina"/>
        <w:rPr>
          <w:rFonts w:eastAsia="Times New Roman" w:cs="Helvetica Neue"/>
          <w:szCs w:val="20"/>
          <w:lang w:val="en-US" w:eastAsia="en-GB"/>
        </w:rPr>
      </w:pPr>
    </w:p>
    <w:p w14:paraId="7A5FF809" w14:textId="77777777" w:rsidR="001D1523" w:rsidRDefault="00DC3B1F" w:rsidP="001D1523">
      <w:pPr>
        <w:pStyle w:val="Pidipagina"/>
        <w:rPr>
          <w:rFonts w:eastAsia="Times New Roman" w:cs="Helvetica Neue"/>
          <w:szCs w:val="20"/>
          <w:lang w:val="en-US" w:eastAsia="en-GB"/>
        </w:rPr>
      </w:pPr>
      <w:r>
        <w:rPr>
          <w:noProof/>
          <w:lang w:val="it-IT" w:eastAsia="it-IT"/>
        </w:rPr>
        <w:drawing>
          <wp:inline distT="0" distB="0" distL="0" distR="0" wp14:anchorId="7A5FF863" wp14:editId="7A5FF864">
            <wp:extent cx="2171700" cy="2171700"/>
            <wp:effectExtent l="0" t="0" r="0" b="0"/>
            <wp:docPr id="2" name="Picture 1" descr="C:\Users\DIS_DESIGN\AppData\Local\Microsoft\Windows\INetCache\Content.Word\len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IS_DESIGN\AppData\Local\Microsoft\Windows\INetCache\Content.Word\lens-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71700" cy="2171700"/>
                    </a:xfrm>
                    <a:prstGeom prst="rect">
                      <a:avLst/>
                    </a:prstGeom>
                    <a:noFill/>
                    <a:ln>
                      <a:noFill/>
                    </a:ln>
                  </pic:spPr>
                </pic:pic>
              </a:graphicData>
            </a:graphic>
          </wp:inline>
        </w:drawing>
      </w:r>
    </w:p>
    <w:p w14:paraId="7A5FF80B" w14:textId="4238B831" w:rsidR="001D1523" w:rsidRDefault="001D1523" w:rsidP="00EB1B04">
      <w:pPr>
        <w:pStyle w:val="Pidipagina"/>
        <w:rPr>
          <w:rFonts w:ascii="MetaBold Bold" w:hAnsi="MetaBold Bold"/>
          <w:sz w:val="24"/>
        </w:rPr>
      </w:pPr>
      <w:r>
        <w:rPr>
          <w:rFonts w:ascii="AGaramond" w:hAnsi="AGaramond"/>
          <w:noProof/>
          <w:sz w:val="22"/>
          <w:szCs w:val="22"/>
          <w:lang w:val="it-IT" w:eastAsia="it-IT"/>
        </w:rPr>
        <w:drawing>
          <wp:anchor distT="0" distB="0" distL="114300" distR="114300" simplePos="0" relativeHeight="251649536" behindDoc="0" locked="0" layoutInCell="1" allowOverlap="1" wp14:anchorId="7A5FF865" wp14:editId="7A5FF866">
            <wp:simplePos x="0" y="0"/>
            <wp:positionH relativeFrom="column">
              <wp:posOffset>2540</wp:posOffset>
            </wp:positionH>
            <wp:positionV relativeFrom="paragraph">
              <wp:posOffset>635</wp:posOffset>
            </wp:positionV>
            <wp:extent cx="1254125" cy="447040"/>
            <wp:effectExtent l="0" t="0" r="0" b="10160"/>
            <wp:wrapSquare wrapText="bothSides"/>
            <wp:docPr id="1" name="Picture 1" descr="Macintosh HD:Users:emanueladelfino:Downloads:cc-butto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emanueladelfino:Downloads:cc-buttons.jpg"/>
                    <pic:cNvPicPr>
                      <a:picLocks noChangeAspect="1" noChangeArrowheads="1"/>
                    </pic:cNvPicPr>
                  </pic:nvPicPr>
                  <pic:blipFill rotWithShape="1">
                    <a:blip r:embed="rId9">
                      <a:extLst>
                        <a:ext uri="{28A0092B-C50C-407E-A947-70E740481C1C}">
                          <a14:useLocalDpi xmlns:a14="http://schemas.microsoft.com/office/drawing/2010/main" val="0"/>
                        </a:ext>
                      </a:extLst>
                    </a:blip>
                    <a:srcRect l="68362" t="54456"/>
                    <a:stretch/>
                  </pic:blipFill>
                  <pic:spPr bwMode="auto">
                    <a:xfrm>
                      <a:off x="0" y="0"/>
                      <a:ext cx="1254125" cy="447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C4026">
        <w:rPr>
          <w:rFonts w:eastAsia="Times New Roman" w:cs="Helvetica Neue"/>
          <w:szCs w:val="20"/>
          <w:lang w:val="en-US" w:eastAsia="en-GB"/>
        </w:rPr>
        <w:t xml:space="preserve">This work is licensed under a </w:t>
      </w:r>
      <w:hyperlink r:id="rId10" w:history="1">
        <w:r>
          <w:rPr>
            <w:rFonts w:eastAsia="Times New Roman" w:cs="Helvetica Neue"/>
            <w:color w:val="3576BE"/>
            <w:szCs w:val="20"/>
            <w:lang w:val="en-US" w:eastAsia="en-GB"/>
          </w:rPr>
          <w:t>Creative Commons Attribution-NonCommercial-ShareAlike 4.0 International License</w:t>
        </w:r>
      </w:hyperlink>
      <w:r w:rsidRPr="005C4026">
        <w:rPr>
          <w:rFonts w:eastAsia="Times New Roman" w:cs="Helvetica Neue"/>
          <w:szCs w:val="20"/>
          <w:lang w:val="en-US" w:eastAsia="en-GB"/>
        </w:rPr>
        <w:t>.</w:t>
      </w:r>
    </w:p>
    <w:p w14:paraId="77C03913" w14:textId="77777777" w:rsidR="000A52A2" w:rsidRDefault="000A52A2" w:rsidP="000A52A2">
      <w:pPr>
        <w:pStyle w:val="PapertitleX"/>
        <w:spacing w:before="0"/>
      </w:pPr>
    </w:p>
    <w:p w14:paraId="5AC502E2" w14:textId="4C52BF10" w:rsidR="000A52A2" w:rsidRDefault="000A52A2" w:rsidP="000A52A2">
      <w:pPr>
        <w:pStyle w:val="PapertitleX"/>
        <w:spacing w:before="0"/>
      </w:pPr>
    </w:p>
    <w:p w14:paraId="1D78A461" w14:textId="538FDB33" w:rsidR="00647FBE" w:rsidRDefault="00647FBE" w:rsidP="000A52A2">
      <w:pPr>
        <w:pStyle w:val="PapertitleX"/>
        <w:spacing w:before="0"/>
      </w:pPr>
    </w:p>
    <w:p w14:paraId="50D9208C" w14:textId="18F363A9" w:rsidR="00647FBE" w:rsidRDefault="00647FBE" w:rsidP="000A52A2">
      <w:pPr>
        <w:pStyle w:val="PapertitleX"/>
        <w:spacing w:before="0"/>
      </w:pPr>
    </w:p>
    <w:p w14:paraId="4C430CB5" w14:textId="0B6A2B17" w:rsidR="00647FBE" w:rsidRDefault="00647FBE" w:rsidP="000A52A2">
      <w:pPr>
        <w:pStyle w:val="PapertitleX"/>
        <w:spacing w:before="0"/>
      </w:pPr>
    </w:p>
    <w:p w14:paraId="0303BDDE" w14:textId="54AB6D55" w:rsidR="00647FBE" w:rsidRDefault="00647FBE" w:rsidP="000A52A2">
      <w:pPr>
        <w:pStyle w:val="PapertitleX"/>
        <w:spacing w:before="0"/>
      </w:pPr>
    </w:p>
    <w:p w14:paraId="4F8E34BD" w14:textId="77777777" w:rsidR="00647FBE" w:rsidRDefault="00647FBE" w:rsidP="000A52A2">
      <w:pPr>
        <w:pStyle w:val="PapertitleX"/>
        <w:spacing w:before="0"/>
      </w:pPr>
    </w:p>
    <w:p w14:paraId="7A5FF80C" w14:textId="50694448" w:rsidR="0074355B" w:rsidRPr="002E39CF" w:rsidRDefault="001A6C88" w:rsidP="000A52A2">
      <w:pPr>
        <w:pStyle w:val="PapertitleX"/>
        <w:spacing w:before="0"/>
      </w:pPr>
      <w:r w:rsidRPr="001A6C88">
        <w:t>Misleading Identities: do perceptual attributes of materials drive the disposal of single-use packaging in the correct waste stream?</w:t>
      </w:r>
    </w:p>
    <w:p w14:paraId="7A5FF80D" w14:textId="06FF0F21" w:rsidR="0074355B" w:rsidRPr="00CE0C49" w:rsidRDefault="00654A58" w:rsidP="007571CE">
      <w:pPr>
        <w:spacing w:line="240" w:lineRule="auto"/>
        <w:rPr>
          <w:rFonts w:ascii="AGaramond" w:hAnsi="AGaramond"/>
          <w:i/>
          <w:sz w:val="22"/>
          <w:szCs w:val="22"/>
          <w:lang w:val="it-IT"/>
        </w:rPr>
      </w:pPr>
      <w:r w:rsidRPr="00CE0C49">
        <w:rPr>
          <w:rFonts w:ascii="AGaramond" w:hAnsi="AGaramond"/>
          <w:i/>
          <w:sz w:val="22"/>
          <w:szCs w:val="22"/>
          <w:lang w:val="it-IT"/>
        </w:rPr>
        <w:t>Romina Santi</w:t>
      </w:r>
      <w:r w:rsidR="0074355B" w:rsidRPr="00CE0C49">
        <w:rPr>
          <w:rFonts w:ascii="AGaramond" w:hAnsi="AGaramond"/>
          <w:i/>
          <w:sz w:val="22"/>
          <w:szCs w:val="22"/>
          <w:lang w:val="it-IT"/>
        </w:rPr>
        <w:t xml:space="preserve"> </w:t>
      </w:r>
    </w:p>
    <w:p w14:paraId="7A5FF80E" w14:textId="52FC374C" w:rsidR="0074355B" w:rsidRDefault="00654A58" w:rsidP="008968B0">
      <w:pPr>
        <w:pStyle w:val="AffiliationX"/>
        <w:rPr>
          <w:lang w:val="it-IT"/>
        </w:rPr>
      </w:pPr>
      <w:r w:rsidRPr="00654A58">
        <w:rPr>
          <w:lang w:val="it-IT"/>
        </w:rPr>
        <w:t xml:space="preserve">Department of Design, Politecnico di Milano, </w:t>
      </w:r>
      <w:r>
        <w:rPr>
          <w:lang w:val="it-IT"/>
        </w:rPr>
        <w:t>Milan, Italy, romina.</w:t>
      </w:r>
      <w:r w:rsidRPr="00654A58">
        <w:rPr>
          <w:lang w:val="it-IT"/>
        </w:rPr>
        <w:t xml:space="preserve">santi@polimi.it </w:t>
      </w:r>
    </w:p>
    <w:p w14:paraId="03DF5387" w14:textId="49049E4B" w:rsidR="00CE0C49" w:rsidRPr="00647FBE" w:rsidRDefault="00CE0C49" w:rsidP="008968B0">
      <w:pPr>
        <w:pStyle w:val="AffiliationX"/>
        <w:rPr>
          <w:rFonts w:eastAsia="Cambria"/>
          <w:i/>
        </w:rPr>
      </w:pPr>
      <w:r w:rsidRPr="00647FBE">
        <w:rPr>
          <w:rFonts w:eastAsia="Cambria"/>
          <w:i/>
        </w:rPr>
        <w:t>Agnese Piselli</w:t>
      </w:r>
    </w:p>
    <w:p w14:paraId="6B6FD6A8" w14:textId="535C8B7A" w:rsidR="00CE0C49" w:rsidRPr="00647FBE" w:rsidRDefault="00CE0C49" w:rsidP="00F81B13">
      <w:pPr>
        <w:pStyle w:val="AffiliationX"/>
      </w:pPr>
      <w:r w:rsidRPr="00647FBE">
        <w:t>Department of Chemistry, Materials and Chemical Engineering, Politecnico di Milano, Milan, Italy.</w:t>
      </w:r>
      <w:r w:rsidR="00EB1B04" w:rsidRPr="00647FBE">
        <w:t xml:space="preserve"> agnese.piselli@polimi.it</w:t>
      </w:r>
    </w:p>
    <w:p w14:paraId="7A5FF80F" w14:textId="0F43E43A" w:rsidR="0074355B" w:rsidRPr="00654A58" w:rsidRDefault="00654A58" w:rsidP="00DE4439">
      <w:pPr>
        <w:pStyle w:val="AuthorX"/>
        <w:rPr>
          <w:lang w:val="it-IT"/>
        </w:rPr>
      </w:pPr>
      <w:r w:rsidRPr="00654A58">
        <w:rPr>
          <w:lang w:val="it-IT"/>
        </w:rPr>
        <w:t>Graziano Elegir</w:t>
      </w:r>
      <w:r w:rsidR="0074355B" w:rsidRPr="00654A58">
        <w:rPr>
          <w:lang w:val="it-IT"/>
        </w:rPr>
        <w:t xml:space="preserve"> </w:t>
      </w:r>
    </w:p>
    <w:p w14:paraId="7A5FF810" w14:textId="4F20AA07" w:rsidR="0074355B" w:rsidRPr="00654A58" w:rsidRDefault="00654A58" w:rsidP="008968B0">
      <w:pPr>
        <w:pStyle w:val="AffiliationX"/>
        <w:rPr>
          <w:lang w:val="it-IT"/>
        </w:rPr>
      </w:pPr>
      <w:r w:rsidRPr="00654A58">
        <w:rPr>
          <w:lang w:val="it-IT"/>
        </w:rPr>
        <w:t>Innovhub-SSI, Area Carta, Milano, Italy.</w:t>
      </w:r>
      <w:r>
        <w:rPr>
          <w:lang w:val="it-IT"/>
        </w:rPr>
        <w:t xml:space="preserve"> </w:t>
      </w:r>
      <w:r w:rsidRPr="00654A58">
        <w:rPr>
          <w:lang w:val="it-IT"/>
        </w:rPr>
        <w:t>graziano.elegir@mi.camcom.it</w:t>
      </w:r>
    </w:p>
    <w:p w14:paraId="7A5FF811" w14:textId="248A0138" w:rsidR="0074355B" w:rsidRDefault="00654A58" w:rsidP="00DE4439">
      <w:pPr>
        <w:pStyle w:val="AuthorX"/>
      </w:pPr>
      <w:r>
        <w:t>Barbara Del Curto</w:t>
      </w:r>
    </w:p>
    <w:p w14:paraId="558117C9" w14:textId="595BEA8B" w:rsidR="00EB1B04" w:rsidRDefault="00D911BD" w:rsidP="00647FBE">
      <w:pPr>
        <w:pStyle w:val="AffiliationX"/>
      </w:pPr>
      <w:r w:rsidRPr="00647FBE">
        <w:t xml:space="preserve">Department of Chemistry, Materials and Chemical Engineering, Politecnico di Milano, Milan, Italy. </w:t>
      </w:r>
      <w:hyperlink r:id="rId11" w:history="1">
        <w:r w:rsidR="00EB1B04" w:rsidRPr="00647FBE">
          <w:t>barbara.delcurto@polimi.it</w:t>
        </w:r>
      </w:hyperlink>
    </w:p>
    <w:p w14:paraId="7A5FF813" w14:textId="474C4F0A" w:rsidR="0074355B" w:rsidRDefault="0074355B" w:rsidP="00647FBE">
      <w:pPr>
        <w:pStyle w:val="PapertitleX"/>
      </w:pPr>
      <w:r>
        <w:t>ABSTRACT</w:t>
      </w:r>
      <w:r w:rsidRPr="000A514A">
        <w:t xml:space="preserve"> </w:t>
      </w:r>
    </w:p>
    <w:p w14:paraId="7EE24A31" w14:textId="37AF6580" w:rsidR="00AB4FEA" w:rsidRDefault="00AB4FEA" w:rsidP="00DE4439">
      <w:pPr>
        <w:pStyle w:val="ParagraphX"/>
      </w:pPr>
      <w:r w:rsidRPr="00AB4FEA">
        <w:t xml:space="preserve">In recent years, bioplastics have been massively introduced in the food-packaging field. However, users erroneously dispose them, causing the contamination of recycling chains. From this, emerged the need for a user centred research investigating: the gestures and senses involved in packaging exploration before disposal, the perceptual attributes of different packaging materials, the possible correlation between such attributes and waste streams. This research aims at expanding current knowledge of compostable materials perceptual attributes and </w:t>
      </w:r>
      <w:r w:rsidR="004B4708">
        <w:t>suggest</w:t>
      </w:r>
      <w:r w:rsidR="004B4708" w:rsidRPr="00AB4FEA">
        <w:t xml:space="preserve"> </w:t>
      </w:r>
      <w:r w:rsidRPr="00AB4FEA">
        <w:t xml:space="preserve">design </w:t>
      </w:r>
      <w:r w:rsidR="004B4708">
        <w:t xml:space="preserve">hints </w:t>
      </w:r>
      <w:r w:rsidRPr="00AB4FEA">
        <w:t xml:space="preserve">to encourage sustainable behaviour practices. The understandings led to a design that induces a sustainable allocation of waste of single-use products. Avoiding waste stream errors by recognisability of the packaging material and make the compostable </w:t>
      </w:r>
      <w:r w:rsidRPr="00AB4FEA">
        <w:lastRenderedPageBreak/>
        <w:t>packaging distinguishable for users through the perception of the</w:t>
      </w:r>
      <w:r w:rsidR="000E2549">
        <w:t>m</w:t>
      </w:r>
      <w:r w:rsidRPr="00AB4FEA">
        <w:t xml:space="preserve"> can contribute to</w:t>
      </w:r>
      <w:r w:rsidR="000E2549">
        <w:t xml:space="preserve"> reduce</w:t>
      </w:r>
      <w:r w:rsidRPr="00AB4FEA">
        <w:t xml:space="preserve"> the overall impact of single-use products.</w:t>
      </w:r>
      <w:r>
        <w:t xml:space="preserve"> </w:t>
      </w:r>
    </w:p>
    <w:p w14:paraId="4AFE1B26" w14:textId="06694D9C" w:rsidR="00EB1B04" w:rsidRDefault="0074355B" w:rsidP="00DE4439">
      <w:pPr>
        <w:pStyle w:val="ParagraphX"/>
      </w:pPr>
      <w:r w:rsidRPr="00C10347">
        <w:t>Key Words:</w:t>
      </w:r>
      <w:r w:rsidR="009254EF">
        <w:t xml:space="preserve"> </w:t>
      </w:r>
      <w:r w:rsidR="009073E8">
        <w:t>Single-Use P</w:t>
      </w:r>
      <w:r w:rsidR="009254EF">
        <w:t>roducts</w:t>
      </w:r>
      <w:r w:rsidR="009073E8">
        <w:t xml:space="preserve"> (SUPs)</w:t>
      </w:r>
      <w:r w:rsidR="009254EF">
        <w:t xml:space="preserve">, </w:t>
      </w:r>
      <w:r w:rsidR="009073E8">
        <w:t xml:space="preserve">compostable packaging, </w:t>
      </w:r>
      <w:r w:rsidR="009254EF">
        <w:t xml:space="preserve">materials perception, </w:t>
      </w:r>
      <w:r w:rsidR="004D161A">
        <w:t>users’</w:t>
      </w:r>
      <w:r w:rsidR="009254EF">
        <w:t xml:space="preserve"> behaviour</w:t>
      </w:r>
    </w:p>
    <w:p w14:paraId="7A5FF818" w14:textId="19BC00EB" w:rsidR="0074355B" w:rsidRDefault="0074355B" w:rsidP="008968B0">
      <w:pPr>
        <w:pStyle w:val="ParagraphHeadingX"/>
      </w:pPr>
      <w:r w:rsidRPr="000A514A">
        <w:t>1. INTRODUCTION</w:t>
      </w:r>
      <w:r w:rsidR="00701E22">
        <w:t xml:space="preserve"> </w:t>
      </w:r>
    </w:p>
    <w:p w14:paraId="727E9F5C" w14:textId="5503BE89" w:rsidR="00924AE7" w:rsidRDefault="00D42D7A" w:rsidP="002D54CC">
      <w:pPr>
        <w:pStyle w:val="ParagraphX"/>
      </w:pPr>
      <w:r w:rsidRPr="00D42D7A">
        <w:t>In the last XX years, a great concern arouse around the topic of plastic materials derived from fossils</w:t>
      </w:r>
      <w:r w:rsidR="00133336">
        <w:t xml:space="preserve"> </w:t>
      </w:r>
      <w:r w:rsidR="00133336">
        <w:fldChar w:fldCharType="begin" w:fldLock="1"/>
      </w:r>
      <w:r w:rsidR="00133336">
        <w:instrText>ADDIN CSL_CITATION {"citationItems":[{"id":"ITEM-1","itemData":{"DOI":"10.1016/j.scitotenv.2011.04.038","ISBN":"1879-1026 (Electronic)\\r0048-9697 (Linking)","ISSN":"00489697","PMID":"21663944","abstract":"Plastics constitute a large material group with a global annual production that has doubled in 15. years (245. million tonnes in 2008). Plastics are present everywhere in society and the environment, especially the marine environment, where large amounts of plastic waste accumulate. The knowledge of human and environmental hazards and risks from chemicals associated with the diversity of plastic products is very limited. Most chemicals used for producing plastic polymers are derived from non-renewable crude oil, and several are hazardous. These may be released during the production, use and disposal of the plastic product. In this study the environmental and health hazards of chemicals used in 55 thermoplastic and thermosetting polymers were identified and compiled. A hazard ranking model was developed for the hazard classes and categories in the EU classification and labelling (CLP) regulation which is based on the UN Globally Harmonized System. The polymers were ranked based on monomer hazard classifications, and initial assessments were made. The polymers that ranked as most hazardous are made of monomers classified as mutagenic and/or carcinogenic (category 1A or 1B). These belong to the polymer families of polyurethanes, polyacrylonitriles, polyvinyl chloride, epoxy resins, and styrenic copolymers. All have a large global annual production (1-37. million tonnes). A considerable number of polymers (31 out of 55) are made of monomers that belong to the two worst of the ranking model's five hazard levels, i.e. levels IV-V. The polymers that are made of level IV monomers and have a large global annual production (1-5. million tonnes) are phenol formaldehyde resins, unsaturated polyesters, polycarbonate, polymethyl methacrylate, and urea-formaldehyde resins. This study has identified hazardous substances used in polymer production for which the risks should be evaluated for decisions on the need for risk reduction measures, substitution, or even phase out. © 2011 Elsevier B.V.","author":[{"dropping-particle":"","family":"Lithner","given":"Delilah","non-dropping-particle":"","parse-names":false,"suffix":""},{"dropping-particle":"","family":"Larsson","given":"Ake","non-dropping-particle":"","parse-names":false,"suffix":""},{"dropping-particle":"","family":"Dave","given":"Göran","non-dropping-particle":"","parse-names":false,"suffix":""}],"container-title":"Science of the Total Environment","id":"ITEM-1","issue":"18","issued":{"date-parts":[["2011"]]},"page":"3309-3324","publisher":"Elsevier B.V.","title":"Environmental and health hazard ranking and assessment of plastic polymers based on chemical composition","type":"article-journal","volume":"409"},"uris":["http://www.mendeley.com/documents/?uuid=f8b63c5a-10c0-4fa4-853f-95c6cd37498d"]},{"id":"ITEM-2","itemData":{"DOI":"10.1098/rstb.2009.0054","ISBN":"0962-8436","ISSN":"14712970","PMID":"19528049","abstract":"Within the last few decades, plastics have revolutionized our daily lives. Globally we use in excess of 260 million tonnes of plastic per annum, accounting for approximately 8 per cent of world oil production. In this Theme Issue of Philosophical Transactions of the Royal Society, we describe current and future trends in usage, together with the many benefits that plastics bring to society. At the same time, we examine the environmental consequences resulting from the accumulation of waste plastic, the effects of plastic debris on wildlife and concerns for human health that arise from the production, usage and disposal of plastics. Finally, we consider some possible solutions to these problems together with the research and policy priorities necessary for their implementation.","author":[{"dropping-particle":"","family":"Thompson","given":"Richard C.","non-dropping-particle":"","parse-names":false,"suffix":""},{"dropping-particle":"","family":"Swan","given":"Shanna H.","non-dropping-particle":"","parse-names":false,"suffix":""},{"dropping-particle":"","family":"Moore","given":"Charles J.","non-dropping-particle":"","parse-names":false,"suffix":""},{"dropping-particle":"","family":"Saal","given":"Frederick S.","non-dropping-particle":"Vom","parse-names":false,"suffix":""}],"container-title":"Philosophical Transactions of the Royal Society B: Biological Sciences","id":"ITEM-2","issue":"1526","issued":{"date-parts":[["2009"]]},"page":"1973-1976","title":"Our plastic age","type":"article-journal","volume":"364"},"uris":["http://www.mendeley.com/documents/?uuid=0c2258cc-1c6a-48d9-9a57-ef37350df4cd"]}],"mendeley":{"formattedCitation":"(Lithner, Larsson, &amp; Dave, 2011; Thompson, Swan, Moore, &amp; Vom Saal, 2009)","plainTextFormattedCitation":"(Lithner, Larsson, &amp; Dave, 2011; Thompson, Swan, Moore, &amp; Vom Saal, 2009)","previouslyFormattedCitation":"(Lithner, Larsson, &amp; Dave, 2011; Thompson, Swan, Moore, &amp; Vom Saal, 2009)"},"properties":{"noteIndex":0},"schema":"https://github.com/citation-style-language/schema/raw/master/csl-citation.json"}</w:instrText>
      </w:r>
      <w:r w:rsidR="00133336">
        <w:fldChar w:fldCharType="separate"/>
      </w:r>
      <w:r w:rsidR="00133336" w:rsidRPr="00133336">
        <w:rPr>
          <w:noProof/>
        </w:rPr>
        <w:t>(Lithner, Larsson, &amp; Dave, 2011; Thompson, Swan, Moore, &amp; Vom Saal, 2009)</w:t>
      </w:r>
      <w:r w:rsidR="00133336">
        <w:fldChar w:fldCharType="end"/>
      </w:r>
      <w:r w:rsidR="004B4708">
        <w:t>.</w:t>
      </w:r>
      <w:r w:rsidR="001B02F2">
        <w:t xml:space="preserve"> </w:t>
      </w:r>
      <w:r w:rsidRPr="00D42D7A">
        <w:t xml:space="preserve">One of the major </w:t>
      </w:r>
      <w:r w:rsidR="004D161A" w:rsidRPr="00D42D7A">
        <w:t>macro phenomena</w:t>
      </w:r>
      <w:r w:rsidRPr="00D42D7A">
        <w:t xml:space="preserve"> studied by the scientific community is the one of marine litter</w:t>
      </w:r>
      <w:r w:rsidR="00133336">
        <w:t xml:space="preserve"> </w:t>
      </w:r>
      <w:r w:rsidR="00133336">
        <w:fldChar w:fldCharType="begin" w:fldLock="1"/>
      </w:r>
      <w:r w:rsidR="002B6F7A">
        <w:instrText>ADDIN CSL_CITATION {"citationItems":[{"id":"ITEM-1","itemData":{"DOI":"10.1016/S0025-326X(02)00220-5","ISBN":"0025-326X","ISSN":"0025-326X","PMID":"12405208","author":[{"dropping-particle":"","family":"Derraik","given":"José G.B.","non-dropping-particle":"","parse-names":false,"suffix":""}],"container-title":"Marine Pollution Bulletin","id":"ITEM-1","issued":{"date-parts":[["2002"]]},"page":"842-852","title":"The pollution of the marine environment by plastic debris : a review","type":"article-journal","volume":"44"},"uris":["http://www.mendeley.com/documents/?uuid=33427e3c-0386-4bef-84d4-b75e9a196b64"]},{"id":"ITEM-2","itemData":{"DOI":"10.1007/978-3-319-16510-3","ISBN":"978-3-319-16509-7","ISSN":"0308597X","PMID":"21894925","author":[{"dropping-particle":"","family":"Bergmann","given":"Melanie","non-dropping-particle":"","parse-names":false,"suffix":""}],"editor":[{"dropping-particle":"","family":"Bergmann","given":"Melanie","non-dropping-particle":"","parse-names":false,"suffix":""},{"dropping-particle":"","family":"Gutow","given":"Lars","non-dropping-particle":"","parse-names":false,"suffix":""},{"dropping-particle":"","family":"Klages","given":"Michael","non-dropping-particle":"","parse-names":false,"suffix":""}],"id":"ITEM-2","issued":{"date-parts":[["2015"]]},"publisher":"Springer International Publishing","publisher-place":"Cham","title":"Marine Anthropogenic Litter","type":"book"},"uris":["http://www.mendeley.com/documents/?uuid=1be1de8c-dbd4-4ace-b859-3d5050069590"]},{"id":"ITEM-3","itemData":{"DOI":"10.1016/j.marenvres.2013.10.002","ISBN":"0141-1136","ISSN":"18790291","PMID":"24157269","abstract":"On June 2013 a workshop at the University of Siena (Italy) was organized to review current knowledge and to clarify what is known, and what remains to be investigated, concerning plastic litter in the sea. The content of the workshop was designed to contribute further to the European Marine Strategy Framework Directive (MSFD) following an inaugural workshop in 2012. Here we report a number of statements relevant to policymakers and scientists that was overwhelming agreement from the participants. Many might view this as already providing sufficient grounds for policy action. At the very least, this early warning of the problems that lie ahead should be taken seriously, and serve as a stimulus for further research.© 2013 Elsevier Ltd.","author":[{"dropping-particle":"","family":"Depledge","given":"M. H.","non-dropping-particle":"","parse-names":false,"suffix":""},{"dropping-particle":"","family":"Galgani","given":"F.","non-dropping-particle":"","parse-names":false,"suffix":""},{"dropping-particle":"","family":"Panti","given":"C.","non-dropping-particle":"","parse-names":false,"suffix":""},{"dropping-particle":"","family":"Caliani","given":"I.","non-dropping-particle":"","parse-names":false,"suffix":""},{"dropping-particle":"","family":"Casini","given":"S.","non-dropping-particle":"","parse-names":false,"suffix":""},{"dropping-particle":"","family":"Fossi","given":"M. C.","non-dropping-particle":"","parse-names":false,"suffix":""}],"container-title":"Marine Environmental Research","id":"ITEM-3","issued":{"date-parts":[["2013"]]},"page":"279-281","publisher":"Elsevier Ltd","title":"Plastic litter in the sea","type":"article-journal","volume":"92"},"uris":["http://www.mendeley.com/documents/?uuid=da252996-a027-4838-8eb5-9769c0da39a2"]},{"id":"ITEM-4","itemData":{"DOI":"10.1016/j.envpol.2013.02.031","ISBN":"0269-7491","ISSN":"02697491","PMID":"23545014","abstract":"Plastic debris at the micro-, and potentially also the nano-scale, are widespread in the environment. Microplastics have accumulated in oceans and sediments worldwide in recent years, with maximum concentrations reaching 100??000 particles m3. Due to their small size, microplastics may be ingested by low trophic fauna, with uncertain consequences for the health of the organism. This review focuses on marine invertebrates and their susceptibility to the physical impacts of microplastic uptake. Some of the main points discussed are (1) an evaluation of the factors contributing to the bioavailability of microplastics including size and density; (2) an assessment of the relative susceptibility of different feeding guilds; (3) an overview of the factors most likely to influence the physical impacts of microplastics such as accumulation and translocation; and (4) the trophic transfer of microplastics. These findings are important in guiding future marine litter research and management strategies. ?? 2013 Elsevier Ltd. All rights reserved.","author":[{"dropping-particle":"","family":"Wright","given":"Stephanie L.","non-dropping-particle":"","parse-names":false,"suffix":""},{"dropping-particle":"","family":"Thompson","given":"Richard C.","non-dropping-particle":"","parse-names":false,"suffix":""},{"dropping-particle":"","family":"Galloway","given":"Tamara S.","non-dropping-particle":"","parse-names":false,"suffix":""}],"container-title":"Environmental Pollution","id":"ITEM-4","issued":{"date-parts":[["2013"]]},"page":"483-492","publisher":"Elsevier Ltd","title":"The physical impacts of microplastics on marine organisms: A review","type":"article-journal","volume":"178"},"uris":["http://www.mendeley.com/documents/?uuid=cc9ddbb3-969b-4240-844b-bf3c9de30ad9"]}],"mendeley":{"formattedCitation":"(Bergmann, 2015; Depledge et al., 2013; Derraik, 2002; Wright, Thompson, &amp; Galloway, 2013)","plainTextFormattedCitation":"(Bergmann, 2015; Depledge et al., 2013; Derraik, 2002; Wright, Thompson, &amp; Galloway, 2013)","previouslyFormattedCitation":"(Bergmann, 2015; Depledge et al., 2013; Derraik, 2002; Wright, Thompson, &amp; Galloway, 2013)"},"properties":{"noteIndex":0},"schema":"https://github.com/citation-style-language/schema/raw/master/csl-citation.json"}</w:instrText>
      </w:r>
      <w:r w:rsidR="00133336">
        <w:fldChar w:fldCharType="separate"/>
      </w:r>
      <w:r w:rsidR="00133336" w:rsidRPr="00133336">
        <w:rPr>
          <w:noProof/>
        </w:rPr>
        <w:t>(Bergmann, 2015; Depledge et al., 2013; Derraik, 2002; Wright, Thompson, &amp; Galloway, 2013)</w:t>
      </w:r>
      <w:r w:rsidR="00133336">
        <w:fldChar w:fldCharType="end"/>
      </w:r>
      <w:r w:rsidRPr="00D42D7A">
        <w:t>.</w:t>
      </w:r>
      <w:r>
        <w:t xml:space="preserve"> </w:t>
      </w:r>
      <w:r w:rsidR="00CE0C49" w:rsidRPr="00CE0C49">
        <w:t xml:space="preserve">In May 2018, the European Commission put forward a legislative proposal seeking to address the issue of </w:t>
      </w:r>
      <w:r w:rsidR="008C6F7C" w:rsidRPr="00CE0C49">
        <w:t>plastic</w:t>
      </w:r>
      <w:r w:rsidR="008C6F7C">
        <w:t xml:space="preserve"> marine litter</w:t>
      </w:r>
      <w:r w:rsidR="002B6F7A">
        <w:t xml:space="preserve"> </w:t>
      </w:r>
      <w:r w:rsidR="002B6F7A">
        <w:fldChar w:fldCharType="begin" w:fldLock="1"/>
      </w:r>
      <w:r w:rsidR="00A70A80">
        <w:instrText>ADDIN CSL_CITATION {"citationItems":[{"id":"ITEM-1","itemData":{"DOI":"10.2779/500175","ISBN":"9789279928987","author":[{"dropping-particle":"","family":"ICF","given":"","non-dropping-particle":"","parse-names":false,"suffix":""},{"dropping-particle":"","family":"Eunomia Research &amp; Consulting","given":"","non-dropping-particle":"","parse-names":false,"suffix":""}],"id":"ITEM-1","issue":"May","issued":{"date-parts":[["2018"]]},"title":"Assessment of measures to reduce marine litter from single use plastics","type":"book"},"uris":["http://www.mendeley.com/documents/?uuid=2093417d-4440-4d0e-b976-f440e88af7c8"]}],"mendeley":{"formattedCitation":"(ICF &amp; Eunomia Research &amp; Consulting, 2018)","plainTextFormattedCitation":"(ICF &amp; Eunomia Research &amp; Consulting, 2018)","previouslyFormattedCitation":"(ICF &amp; Eunomia Research &amp; Consulting, 2018)"},"properties":{"noteIndex":0},"schema":"https://github.com/citation-style-language/schema/raw/master/csl-citation.json"}</w:instrText>
      </w:r>
      <w:r w:rsidR="002B6F7A">
        <w:fldChar w:fldCharType="separate"/>
      </w:r>
      <w:r w:rsidR="002B6F7A" w:rsidRPr="002B6F7A">
        <w:rPr>
          <w:noProof/>
        </w:rPr>
        <w:t>(ICF &amp; Eunomia Research &amp; Consulting, 2018)</w:t>
      </w:r>
      <w:r w:rsidR="002B6F7A">
        <w:fldChar w:fldCharType="end"/>
      </w:r>
      <w:r w:rsidR="00CE0C49" w:rsidRPr="00CE0C49">
        <w:t>.</w:t>
      </w:r>
      <w:r>
        <w:t xml:space="preserve"> </w:t>
      </w:r>
      <w:r w:rsidR="00A70A80">
        <w:t>S</w:t>
      </w:r>
      <w:r w:rsidR="00FD15F4">
        <w:t>ingle Use P</w:t>
      </w:r>
      <w:r w:rsidR="0031641A">
        <w:t xml:space="preserve">lastics (SUPs) </w:t>
      </w:r>
      <w:r w:rsidRPr="00D42D7A">
        <w:t xml:space="preserve">products </w:t>
      </w:r>
      <w:r w:rsidR="0031641A" w:rsidRPr="0031641A">
        <w:t>are a broad category, encompassing a wide variety of packaging and non-packaging items</w:t>
      </w:r>
      <w:r w:rsidR="0031641A" w:rsidRPr="0031641A" w:rsidDel="0031641A">
        <w:t xml:space="preserve"> </w:t>
      </w:r>
      <w:r w:rsidR="0031641A">
        <w:t xml:space="preserve">used and prevalence in everyday life varies significantly. </w:t>
      </w:r>
      <w:r w:rsidR="00A70A80" w:rsidRPr="00A70A80">
        <w:t xml:space="preserve">The </w:t>
      </w:r>
      <w:r w:rsidR="005B0F87" w:rsidRPr="005B0F87">
        <w:t>European Commission's Joint Research Centre (JRC)</w:t>
      </w:r>
      <w:r w:rsidR="00A70A80" w:rsidRPr="00A70A80">
        <w:t xml:space="preserve"> Technical Report, Top Marine Beach Litter Items in Europe (JRC108181</w:t>
      </w:r>
      <w:r w:rsidR="00A70A80">
        <w:t xml:space="preserve">) lists marine litter items collected in the year 2016 from 276 beaches across 17 EU Member States, covering 4 Regional Seas. These data have been used by </w:t>
      </w:r>
      <w:r w:rsidR="00A70A80">
        <w:fldChar w:fldCharType="begin" w:fldLock="1"/>
      </w:r>
      <w:r w:rsidR="00FD15F4">
        <w:instrText>ADDIN CSL_CITATION {"citationItems":[{"id":"ITEM-1","itemData":{"DOI":"10.2779/500175","ISBN":"9789279928987","author":[{"dropping-particle":"","family":"ICF","given":"","non-dropping-particle":"","parse-names":false,"suffix":""},{"dropping-particle":"","family":"Eunomia Research &amp; Consulting","given":"","non-dropping-particle":"","parse-names":false,"suffix":""}],"id":"ITEM-1","issue":"May","issued":{"date-parts":[["2018"]]},"title":"Assessment of measures to reduce marine litter from single use plastics","type":"book"},"uris":["http://www.mendeley.com/documents/?uuid=2093417d-4440-4d0e-b976-f440e88af7c8"]}],"mendeley":{"formattedCitation":"(ICF &amp; Eunomia Research &amp; Consulting, 2018)","manualFormatting":"ICF &amp; Eunomia Research &amp; Consulting, 2018","plainTextFormattedCitation":"(ICF &amp; Eunomia Research &amp; Consulting, 2018)","previouslyFormattedCitation":"(ICF &amp; Eunomia Research &amp; Consulting, 2018)"},"properties":{"noteIndex":0},"schema":"https://github.com/citation-style-language/schema/raw/master/csl-citation.json"}</w:instrText>
      </w:r>
      <w:r w:rsidR="00A70A80">
        <w:fldChar w:fldCharType="separate"/>
      </w:r>
      <w:r w:rsidR="00A70A80" w:rsidRPr="00A70A80">
        <w:rPr>
          <w:noProof/>
        </w:rPr>
        <w:t>ICF &amp; Eunomia Research &amp; Consulting, 2018</w:t>
      </w:r>
      <w:r w:rsidR="00A70A80">
        <w:fldChar w:fldCharType="end"/>
      </w:r>
      <w:r w:rsidR="00A70A80">
        <w:t xml:space="preserve"> to highlight the top ten SUP items: </w:t>
      </w:r>
      <w:r w:rsidRPr="00D42D7A">
        <w:t>as</w:t>
      </w:r>
      <w:r w:rsidR="0031641A">
        <w:t xml:space="preserve"> d</w:t>
      </w:r>
      <w:r w:rsidR="0031641A" w:rsidRPr="0031641A">
        <w:t>rinks bottles, caps and lids</w:t>
      </w:r>
      <w:r w:rsidR="0031641A">
        <w:t>, f</w:t>
      </w:r>
      <w:r w:rsidR="0031641A" w:rsidRPr="0031641A">
        <w:t>ood containers</w:t>
      </w:r>
      <w:r w:rsidR="0031641A">
        <w:t>,</w:t>
      </w:r>
      <w:r w:rsidRPr="00D42D7A">
        <w:t xml:space="preserve"> </w:t>
      </w:r>
      <w:r w:rsidR="0031641A">
        <w:t>c</w:t>
      </w:r>
      <w:r w:rsidR="0031641A" w:rsidRPr="0031641A">
        <w:t>utlery</w:t>
      </w:r>
      <w:r w:rsidRPr="00D42D7A">
        <w:t>,</w:t>
      </w:r>
      <w:r w:rsidR="0031641A">
        <w:t xml:space="preserve"> s</w:t>
      </w:r>
      <w:r w:rsidR="0031641A" w:rsidRPr="0031641A">
        <w:t>traws and stirrers</w:t>
      </w:r>
      <w:r w:rsidR="0031641A">
        <w:t>, crisps packets/</w:t>
      </w:r>
      <w:r w:rsidR="0031641A" w:rsidRPr="0031641A">
        <w:t>sweet wrappers</w:t>
      </w:r>
      <w:r w:rsidR="00A70A80">
        <w:t>, p</w:t>
      </w:r>
      <w:r w:rsidR="00A70A80" w:rsidRPr="00A70A80">
        <w:t>lastic bags</w:t>
      </w:r>
      <w:r w:rsidR="0031641A">
        <w:t xml:space="preserve"> </w:t>
      </w:r>
      <w:r w:rsidR="00DF26DF">
        <w:t>(packaging</w:t>
      </w:r>
      <w:r w:rsidR="00A70A80">
        <w:t xml:space="preserve">) </w:t>
      </w:r>
      <w:r w:rsidR="0031641A">
        <w:t>but also</w:t>
      </w:r>
      <w:r w:rsidR="00A70A80">
        <w:t xml:space="preserve"> non-packaging items like: </w:t>
      </w:r>
      <w:r w:rsidR="0031641A">
        <w:t>wet wipes, cigarette filters, cotton bud sticks</w:t>
      </w:r>
      <w:r w:rsidR="00A70A80">
        <w:t>, b</w:t>
      </w:r>
      <w:r w:rsidR="00A70A80" w:rsidRPr="00A70A80">
        <w:t>alloons and balloon sticks</w:t>
      </w:r>
      <w:r w:rsidRPr="00D42D7A">
        <w:t>,</w:t>
      </w:r>
      <w:r w:rsidR="00A70A80">
        <w:t xml:space="preserve"> sanitary applications. This </w:t>
      </w:r>
      <w:r w:rsidRPr="00D42D7A">
        <w:t>have been recognized as</w:t>
      </w:r>
      <w:r w:rsidR="008D2B44">
        <w:t xml:space="preserve"> </w:t>
      </w:r>
      <w:r w:rsidRPr="00D42D7A">
        <w:t xml:space="preserve">the most </w:t>
      </w:r>
      <w:r w:rsidR="00FD15F4">
        <w:t>abounding</w:t>
      </w:r>
      <w:r w:rsidR="00A70A80" w:rsidRPr="00D42D7A">
        <w:t xml:space="preserve"> </w:t>
      </w:r>
      <w:r w:rsidR="00FD15F4">
        <w:t>products</w:t>
      </w:r>
      <w:r w:rsidR="00FD15F4" w:rsidRPr="00D42D7A">
        <w:t xml:space="preserve"> </w:t>
      </w:r>
      <w:r w:rsidRPr="00D42D7A">
        <w:t>that causes</w:t>
      </w:r>
      <w:r w:rsidR="00FD15F4">
        <w:t xml:space="preserve"> plastic</w:t>
      </w:r>
      <w:r w:rsidRPr="00D42D7A">
        <w:t xml:space="preserve"> marine litte</w:t>
      </w:r>
      <w:r w:rsidRPr="00A70A80">
        <w:t>r</w:t>
      </w:r>
      <w:r w:rsidRPr="009821DA">
        <w:t>.</w:t>
      </w:r>
      <w:r w:rsidR="00CE0C49" w:rsidRPr="009821DA">
        <w:t xml:space="preserve"> </w:t>
      </w:r>
      <w:r w:rsidR="00FD15F4">
        <w:t>EU</w:t>
      </w:r>
      <w:r>
        <w:t xml:space="preserve"> </w:t>
      </w:r>
      <w:r w:rsidR="00FD15F4">
        <w:t>set a series of measures to reduce the environmental issue</w:t>
      </w:r>
      <w:r w:rsidR="008D2B44">
        <w:t xml:space="preserve"> of</w:t>
      </w:r>
      <w:r w:rsidR="00FD15F4">
        <w:t xml:space="preserve"> </w:t>
      </w:r>
      <w:r w:rsidR="008D2B44">
        <w:t xml:space="preserve">SUPs </w:t>
      </w:r>
      <w:r w:rsidR="00CE0C49" w:rsidRPr="009821DA">
        <w:t>like</w:t>
      </w:r>
      <w:r w:rsidR="00CE0C49" w:rsidRPr="00FD15F4">
        <w:t>:</w:t>
      </w:r>
      <w:r w:rsidR="00CE0C49" w:rsidRPr="00CE0C49">
        <w:t xml:space="preserve"> </w:t>
      </w:r>
      <w:r w:rsidR="00FD15F4">
        <w:t xml:space="preserve">reduce the consumption, provide </w:t>
      </w:r>
      <w:r w:rsidR="00CE0C49" w:rsidRPr="00CE0C49">
        <w:t>market restriction, product</w:t>
      </w:r>
      <w:r w:rsidR="00FD15F4">
        <w:t xml:space="preserve"> eco-design</w:t>
      </w:r>
      <w:r w:rsidR="00CE0C49" w:rsidRPr="00CE0C49">
        <w:t xml:space="preserve"> requirements, extended producer </w:t>
      </w:r>
      <w:r w:rsidR="000F0701" w:rsidRPr="00CE0C49">
        <w:t>responsibility</w:t>
      </w:r>
      <w:r w:rsidR="00CE0C49" w:rsidRPr="00CE0C49">
        <w:t xml:space="preserve">, separate collection objective and </w:t>
      </w:r>
      <w:r w:rsidR="009254EF" w:rsidRPr="00CE0C49">
        <w:t>awareness</w:t>
      </w:r>
      <w:r w:rsidR="00CE0C49" w:rsidRPr="00CE0C49">
        <w:t xml:space="preserve"> raising measures. The EU Plastics Strategy </w:t>
      </w:r>
      <w:r w:rsidR="00FD15F4">
        <w:fldChar w:fldCharType="begin" w:fldLock="1"/>
      </w:r>
      <w:r w:rsidR="008D2B44">
        <w:instrText>ADDIN CSL_CITATION {"citationItems":[{"id":"ITEM-1","itemData":{"DOI":"10.2779/500175","ISBN":"9789279928987","author":[{"dropping-particle":"","family":"ICF","given":"","non-dropping-particle":"","parse-names":false,"suffix":""},{"dropping-particle":"","family":"Eunomia Research &amp; Consulting","given":"","non-dropping-particle":"","parse-names":false,"suffix":""}],"id":"ITEM-1","issue":"May","issued":{"date-parts":[["2018"]]},"title":"Assessment of measures to reduce marine litter from single use plastics","type":"book"},"uris":["http://www.mendeley.com/documents/?uuid=2093417d-4440-4d0e-b976-f440e88af7c8"]}],"mendeley":{"formattedCitation":"(ICF &amp; Eunomia Research &amp; Consulting, 2018)","plainTextFormattedCitation":"(ICF &amp; Eunomia Research &amp; Consulting, 2018)","previouslyFormattedCitation":"(ICF &amp; Eunomia Research &amp; Consulting, 2018)"},"properties":{"noteIndex":0},"schema":"https://github.com/citation-style-language/schema/raw/master/csl-citation.json"}</w:instrText>
      </w:r>
      <w:r w:rsidR="00FD15F4">
        <w:fldChar w:fldCharType="separate"/>
      </w:r>
      <w:r w:rsidR="00FD15F4" w:rsidRPr="00FD15F4">
        <w:rPr>
          <w:noProof/>
        </w:rPr>
        <w:t>(ICF &amp; Eunomia Research &amp; Consulting, 2018)</w:t>
      </w:r>
      <w:r w:rsidR="00FD15F4">
        <w:fldChar w:fldCharType="end"/>
      </w:r>
      <w:r w:rsidR="00FD15F4">
        <w:t xml:space="preserve"> </w:t>
      </w:r>
      <w:r w:rsidR="00CE0C49" w:rsidRPr="00CE0C49">
        <w:t xml:space="preserve">aims to </w:t>
      </w:r>
      <w:r w:rsidR="00FD68AF">
        <w:t>find</w:t>
      </w:r>
      <w:r w:rsidR="00FD68AF" w:rsidRPr="00CE0C49">
        <w:t xml:space="preserve"> </w:t>
      </w:r>
      <w:r w:rsidR="00CE0C49" w:rsidRPr="00CE0C49">
        <w:t>alternative materials in substitution to fossil-based towards an effective Circular Economy</w:t>
      </w:r>
      <w:r w:rsidR="00FD68AF">
        <w:t xml:space="preserve"> approach/practice</w:t>
      </w:r>
      <w:r w:rsidR="00CE0C49" w:rsidRPr="00CE0C49">
        <w:t xml:space="preserve">. </w:t>
      </w:r>
      <w:r w:rsidR="008D2B44">
        <w:t xml:space="preserve">SUPs, for </w:t>
      </w:r>
      <w:r w:rsidR="00DF26DF">
        <w:t>example</w:t>
      </w:r>
      <w:r w:rsidR="008D2B44">
        <w:t xml:space="preserve"> </w:t>
      </w:r>
      <w:r w:rsidR="00FD68AF">
        <w:t xml:space="preserve">food </w:t>
      </w:r>
      <w:r w:rsidR="008D2B44">
        <w:t xml:space="preserve">packaging, </w:t>
      </w:r>
      <w:r w:rsidR="008C6F7C" w:rsidRPr="008C6F7C">
        <w:t>are progressively being replaced on the market with products in bioplastic materials.</w:t>
      </w:r>
      <w:r w:rsidR="00E2464A">
        <w:t xml:space="preserve"> According to European Bioplastics</w:t>
      </w:r>
      <w:r w:rsidR="00CE71D9">
        <w:rPr>
          <w:rStyle w:val="Rimandonotaapidipagina"/>
        </w:rPr>
        <w:footnoteReference w:id="1"/>
      </w:r>
      <w:r w:rsidR="00E2464A">
        <w:t xml:space="preserve"> definition, </w:t>
      </w:r>
      <w:r w:rsidR="00E2464A" w:rsidRPr="00E2464A">
        <w:t>a plastic material is defined as a bioplastic if it is either bio</w:t>
      </w:r>
      <w:r w:rsidR="004D161A">
        <w:t>-</w:t>
      </w:r>
      <w:r w:rsidR="00E2464A" w:rsidRPr="00E2464A">
        <w:t>based, biodegradable, or features both properties</w:t>
      </w:r>
      <w:r w:rsidR="00E2464A">
        <w:t xml:space="preserve">. </w:t>
      </w:r>
      <w:r w:rsidR="00E2464A" w:rsidRPr="00E2464A">
        <w:t>Bioplastics are driving the evolution of plastics, entering with their properties and peculiarities for their replacement. There are two main advantages of bioplastic products compared to their conventional versions: the use of biomass instead of fossil resources and the possible biodegradability, which is an additional property of some types of bioplastic</w:t>
      </w:r>
      <w:r w:rsidR="008D2B44">
        <w:t xml:space="preserve"> </w:t>
      </w:r>
      <w:r w:rsidR="008D2B44">
        <w:fldChar w:fldCharType="begin" w:fldLock="1"/>
      </w:r>
      <w:r w:rsidR="00930B76">
        <w:instrText>ADDIN CSL_CITATION {"citationItems":[{"id":"ITEM-1","itemData":{"author":[{"dropping-particle":"","family":"European bioplastics","given":"","non-dropping-particle":"","parse-names":false,"suffix":""}],"id":"ITEM-1","issued":{"date-parts":[["2017"]]},"title":"What are bioplastics? Material types, terminology, and labels – an introduction Bioplastics","type":"article-journal"},"uris":["http://www.mendeley.com/documents/?uuid=9e02574d-badd-4090-9945-8882a277e216"]}],"mendeley":{"formattedCitation":"(European bioplastics, 2017)","plainTextFormattedCitation":"(European bioplastics, 2017)","previouslyFormattedCitation":"(European bioplastics, 2017)"},"properties":{"noteIndex":0},"schema":"https://github.com/citation-style-language/schema/raw/master/csl-citation.json"}</w:instrText>
      </w:r>
      <w:r w:rsidR="008D2B44">
        <w:fldChar w:fldCharType="separate"/>
      </w:r>
      <w:r w:rsidR="009538F0" w:rsidRPr="009538F0">
        <w:rPr>
          <w:noProof/>
        </w:rPr>
        <w:t>(European bioplastics, 2017)</w:t>
      </w:r>
      <w:r w:rsidR="008D2B44">
        <w:fldChar w:fldCharType="end"/>
      </w:r>
      <w:r w:rsidR="00E2464A" w:rsidRPr="00E2464A">
        <w:t>.</w:t>
      </w:r>
      <w:r w:rsidR="00924AE7">
        <w:t xml:space="preserve"> </w:t>
      </w:r>
      <w:r w:rsidR="00E2464A" w:rsidRPr="00E2464A">
        <w:t>Compostability is a further level, in fact it exploits the biodegradability of starting materials to turn them into a final product that takes the name of compost. Not all biodegradable biopolymers are also compostable</w:t>
      </w:r>
      <w:r w:rsidR="00924AE7">
        <w:t xml:space="preserve"> and they must</w:t>
      </w:r>
      <w:r w:rsidR="00E2464A" w:rsidRPr="00E2464A">
        <w:t xml:space="preserve"> pass the tests are performed according to the UNI EN 13432</w:t>
      </w:r>
      <w:r w:rsidR="00924AE7">
        <w:t xml:space="preserve"> to be certified</w:t>
      </w:r>
      <w:r w:rsidR="00E2464A" w:rsidRPr="00E2464A">
        <w:t>.</w:t>
      </w:r>
      <w:r w:rsidR="00924AE7">
        <w:t xml:space="preserve"> </w:t>
      </w:r>
    </w:p>
    <w:p w14:paraId="4DC97F1D" w14:textId="133C17FA" w:rsidR="00930B76" w:rsidRDefault="008A08D7" w:rsidP="002D54CC">
      <w:pPr>
        <w:pStyle w:val="ParagraphX"/>
      </w:pPr>
      <w:r>
        <w:t xml:space="preserve">The introduction of </w:t>
      </w:r>
      <w:r w:rsidR="00FD68AF">
        <w:t xml:space="preserve">a </w:t>
      </w:r>
      <w:r>
        <w:t xml:space="preserve">new material into consumer </w:t>
      </w:r>
      <w:r w:rsidR="00FD68AF">
        <w:t xml:space="preserve">products represents </w:t>
      </w:r>
      <w:r>
        <w:t xml:space="preserve">a critical </w:t>
      </w:r>
      <w:r w:rsidR="00FD68AF">
        <w:t xml:space="preserve">issue </w:t>
      </w:r>
      <w:r w:rsidR="004D161A">
        <w:t>for both producers and consumers</w:t>
      </w:r>
      <w:r>
        <w:t>.</w:t>
      </w:r>
      <w:r w:rsidR="00D42D7A">
        <w:t xml:space="preserve"> </w:t>
      </w:r>
      <w:r w:rsidR="00930B76">
        <w:t>T</w:t>
      </w:r>
      <w:r w:rsidR="00930B76" w:rsidRPr="00930B76">
        <w:t>he manufacturer aims at establishing a market and refine the technical feasibility, while the material is faced with the public assessment for the first time</w:t>
      </w:r>
      <w:r w:rsidR="00930B76">
        <w:t xml:space="preserve"> </w:t>
      </w:r>
      <w:r w:rsidR="00930B76">
        <w:fldChar w:fldCharType="begin" w:fldLock="1"/>
      </w:r>
      <w:r w:rsidR="009821DA">
        <w:instrText>ADDIN CSL_CITATION {"citationItems":[{"id":"ITEM-1","itemData":{"DOI":"10.21278/idc.2018.0455","abstract":"This paper seeks to understand how users appraise and perceive sustainable materials. Using thinking aloud sessions, appraisals of sustainable materials embodied in commercial products were collected from users and categorised. To account for the appraisal of systemic features of materials we have extended a previous categorisation of material appraisals. We have also investigated the relationships between the appraisal themes of sustainable materials. The results stress the influence of material origin in the appraisal. This understanding is useful to facilitate the uptake of the materials. sustainable design, user experience, multisensory product experience","author":[{"dropping-particle":"","family":"Bahrudin","given":"Fadzli Irwan","non-dropping-particle":"","parse-names":false,"suffix":""},{"dropping-particle":"","family":"Aurisicchio","given":"Marco","non-dropping-particle":"","parse-names":false,"suffix":""}],"container-title":"International Design Conference (DESIGN 2018)","id":"ITEM-1","issued":{"date-parts":[["2018"]]},"page":"2575-2584","title":"THE APPRAISAL OF SUSTAINABLE MATERIALS","type":"paper-conference"},"uris":["http://www.mendeley.com/documents/?uuid=3690b194-de06-4da1-8fa1-45c74bc3b137"]}],"mendeley":{"formattedCitation":"(Bahrudin &amp; Aurisicchio, 2018)","plainTextFormattedCitation":"(Bahrudin &amp; Aurisicchio, 2018)","previouslyFormattedCitation":"(Bahrudin &amp; Aurisicchio, 2018)"},"properties":{"noteIndex":0},"schema":"https://github.com/citation-style-language/schema/raw/master/csl-citation.json"}</w:instrText>
      </w:r>
      <w:r w:rsidR="00930B76">
        <w:fldChar w:fldCharType="separate"/>
      </w:r>
      <w:r w:rsidR="00930B76" w:rsidRPr="00930B76">
        <w:rPr>
          <w:noProof/>
        </w:rPr>
        <w:t>(Bahrudin &amp; Aurisicchio, 2018)</w:t>
      </w:r>
      <w:r w:rsidR="00930B76">
        <w:fldChar w:fldCharType="end"/>
      </w:r>
      <w:r w:rsidR="00930B76" w:rsidRPr="00930B76">
        <w:t>.</w:t>
      </w:r>
      <w:r w:rsidR="00930B76">
        <w:t xml:space="preserve"> </w:t>
      </w:r>
    </w:p>
    <w:p w14:paraId="270B1859" w14:textId="5CAF7D26" w:rsidR="004052CD" w:rsidRDefault="00EA0112" w:rsidP="002D54CC">
      <w:pPr>
        <w:pStyle w:val="ParagraphX"/>
      </w:pPr>
      <w:r>
        <w:t xml:space="preserve">Consumers </w:t>
      </w:r>
      <w:r w:rsidRPr="00EA0112">
        <w:t>can be perceived</w:t>
      </w:r>
      <w:r>
        <w:t xml:space="preserve"> new materials</w:t>
      </w:r>
      <w:r w:rsidRPr="00EA0112">
        <w:t xml:space="preserve"> in different ways</w:t>
      </w:r>
      <w:r>
        <w:t xml:space="preserve">: </w:t>
      </w:r>
      <w:r w:rsidRPr="00EA0112">
        <w:t xml:space="preserve">appreciate them or </w:t>
      </w:r>
      <w:r>
        <w:t>feel</w:t>
      </w:r>
      <w:r w:rsidRPr="00EA0112">
        <w:t xml:space="preserve"> them unattractive</w:t>
      </w:r>
      <w:r>
        <w:t xml:space="preserve"> </w:t>
      </w:r>
      <w:r w:rsidRPr="00EA0112">
        <w:t>also through their previous perceptual knowledge.</w:t>
      </w:r>
      <w:r w:rsidRPr="00EA0112" w:rsidDel="00EA0112">
        <w:t xml:space="preserve"> </w:t>
      </w:r>
      <w:r w:rsidR="00BA3F40">
        <w:t xml:space="preserve"> </w:t>
      </w:r>
      <w:r w:rsidR="00DF65B7">
        <w:t>T</w:t>
      </w:r>
      <w:r w:rsidR="00DF65B7" w:rsidRPr="00DF65B7">
        <w:t>hink about how difficult now is to recognise leather by fake leather or a pure cotton t-shirt by a synthetic textile made one?</w:t>
      </w:r>
      <w:r w:rsidR="00DF65B7">
        <w:t xml:space="preserve"> </w:t>
      </w:r>
      <w:r w:rsidR="00A33BE3">
        <w:t>In recent years, s</w:t>
      </w:r>
      <w:r w:rsidR="008A08D7">
        <w:t xml:space="preserve">everal studies </w:t>
      </w:r>
      <w:r w:rsidR="00A33BE3">
        <w:t>investigated how consumers perceive products by exploring the expressive-sensorial characteristics</w:t>
      </w:r>
      <w:r w:rsidR="008A08D7">
        <w:t xml:space="preserve"> </w:t>
      </w:r>
      <w:r w:rsidR="00A33BE3">
        <w:t xml:space="preserve">of the material they are made of </w:t>
      </w:r>
      <w:r w:rsidR="00A33BE3">
        <w:fldChar w:fldCharType="begin" w:fldLock="1"/>
      </w:r>
      <w:r w:rsidR="004B4708">
        <w:instrText>ADDIN CSL_CITATION {"citationItems":[{"id":"ITEM-1","itemData":{"DOI":"10.1016/j.foodqual.2016.06.006","ISBN":"0001-6837 (Print)\\n0001-6837 (Linking)","ISSN":"09503293","PMID":"19172857","abstract":"In this paper, we test the influence of packaging sustainability on consumers’ perceived quality of food products using two experiments featuring raisins, chocolate bars and coffee. First, the results show that the perceived quality of a food product is more positive when it is packed in a sustainable packaging than when it is packed in a conventional packaging. Next, we demonstrate that product sustainability moderates the influence of packaging sustainability. Finally, we show that the perceived naturalness of the product induced by package and product sustainability explains the perception of product quality.","author":[{"dropping-particle":"","family":"Magnier","given":"Lise","non-dropping-particle":"","parse-names":false,"suffix":""},{"dropping-particle":"","family":"Schoormans","given":"Jan","non-dropping-particle":"","parse-names":false,"suffix":""},{"dropping-particle":"","family":"Mugge","given":"Ruth","non-dropping-particle":"","parse-names":false,"suffix":""}],"container-title":"Food Quality and Preference","id":"ITEM-1","issued":{"date-parts":[["2016"]]},"page":"132-142","title":"Judging a product by its cover: Packaging sustainability and perceptions of quality in food products","type":"article-journal","volume":"53"},"uris":["http://www.mendeley.com/documents/?uuid=7507484a-b755-42e4-8be3-bd289b74bf1c"]},{"id":"ITEM-2","itemData":{"DOI":"10.1016/j.foodqual.2012.06.009","ISBN":"0950-3293","ISSN":"09503293","abstract":"Previous research exploring the impact of consumer expectations induced by packaging on food perception was mainly focussed on visual cues (e.g. written communication, pictures, shape) but few studies were dedicated to the role of tactile and sound properties. In the present study we selected a range of different materials and the first objective was to validate the sensory diversity of the materials and to obtain a sensory characterization by performing a descriptive analysis with a trained panel. The second objective was to explore the contribution of visual, tactile and auditory packaging material properties on expected naturalness for a dehydrated soup and to understand the role of sensory interactions between visual, tactile and auditory sensory modalities. For this purpose 120 consumers rated their expectation for naturalness of the food based on packaging material evaluation conducted under two test conditions: (1) a 'unimodal' condition whereby consumers assessed separately the visual, tactile and auditory stimuli from the materials; and (2) a 'trimodal' condition whereby consumers simultaneously assessed the visual, tactile and auditory stimuli from the materials. The third objective was to identify material sensory characteristics of naturalness impacting consumer food naturalness expectation. Our finding demonstrated that expected food naturalness was impacted not only by visual cues, as already widely demonstrated in the literature but also by tactile and to a lesser extent by auditory cues. Roughness, suppleness and low sound intensity were the material sensory characteristics impacting expected food naturalness. Results did not demonstrate perceptual interactions between visual, auditory and tactile stimulations on expected naturalness. This may suggest that information from the three different perceptual systems may be redundant so it might not have any added-value for integration. Further research should be performed in a shopping environment with package prototypes developed following our findings to confirm the role of tactile and auditory perception in food packaging experience. ?? 2012 Elsevier Ltd.","author":[{"dropping-particle":"","family":"Labbe","given":"D.","non-dropping-particle":"","parse-names":false,"suffix":""},{"dropping-particle":"","family":"Pineau","given":"N.","non-dropping-particle":"","parse-names":false,"suffix":""},{"dropping-particle":"","family":"Martin","given":"N.","non-dropping-particle":"","parse-names":false,"suffix":""}],"container-title":"Food Quality and Preference","id":"ITEM-2","issue":"2","issued":{"date-parts":[["2013"]]},"page":"170-178","publisher":"Elsevier Ltd","title":"Food expected naturalness: Impact of visual, tactile and auditory packaging material properties and role of perceptual interactions","type":"article-journal","volume":"27"},"uris":["http://www.mendeley.com/documents/?uuid=d7ba24ea-6b8f-49ec-9efe-2cb77141e988","http://www.mendeley.com/documents/?uuid=ecea3c36-8beb-4332-b052-4163857103d2"]},{"id":"ITEM-3","itemData":{"author":[{"dropping-particle":"","family":"Thackston","given":"Emily","non-dropping-particle":"","parse-names":false,"suffix":""}],"id":"ITEM-3","issued":{"date-parts":[["2013"]]},"publisher":"Clemson University","title":"the Effect of Packaging Material Properties on Consumer Food Quality Perception in Quick- Service Restaurants","type":"thesis"},"uris":["http://www.mendeley.com/documents/?uuid=1e44dcc1-7e4d-4b0f-ac73-5e8b268c66e1","http://www.mendeley.com/documents/?uuid=7be88306-c4ce-4fd3-a415-4d11d965203f"]},{"id":"ITEM-4","itemData":{"DOI":"10.1016/j.jclepro.2017.06.036","ISBN":"09596526","ISSN":"09596526","abstract":"Building on theories of cue utilization, this paper investigates whether and how packaging sustainability influences consumer perceptions, inferences and attitudes towards packaged products. A framework is tested in an empirical study among 249 students using soup products varying in packaging material and graphics. The findings show that (packaging) sustainability is a highly salient association but is only moderately important for consumer attitudes. A comparison between consumer judgments and life-cycle assessment indicates that consumers rely on misleading, inaccurate lay beliefs to judge packaging sustainability and are therefore susceptible to making ineffective environmental decisions. The research also demonstrates the power of packaging in shaping perceptions of food products. Particularly, it shows that changes in actual environmental impacts (by altering packaging materials) affect not only sustainability perceptions but also several other benefits, such as perceived taste and quality. At the same time, consumers' sustainability assessments are also highly influenced by mere graphical packaging cues that have no obvious actual sustainability consequences.","author":[{"dropping-particle":"","family":"Steenis","given":"Nigel D.","non-dropping-particle":"","parse-names":false,"suffix":""},{"dropping-particle":"","family":"Herpen","given":"Erica","non-dropping-particle":"van","parse-names":false,"suffix":""},{"dropping-particle":"","family":"Lans","given":"Ivo A.","non-dropping-particle":"van der","parse-names":false,"suffix":""},{"dropping-particle":"","family":"Ligthart","given":"Tom N.","non-dropping-particle":"","parse-names":false,"suffix":""},{"dropping-particle":"","family":"Trijp","given":"Hans C.M.","non-dropping-particle":"van","parse-names":false,"suffix":""}],"container-title":"Journal of Cleaner Production","id":"ITEM-4","issued":{"date-parts":[["2017"]]},"page":"286-298","publisher":"Elsevier Ltd","title":"Consumer response to packaging design: The role of packaging materials and graphics in sustainability perceptions and product evaluations","type":"article-journal","volume":"162"},"uris":["http://www.mendeley.com/documents/?uuid=341e2716-bb9d-4830-989d-eb81ab98a601"]},{"id":"ITEM-5","itemData":{"DOI":"10.1016/j.foodqual.2008.11.003","ISBN":"0950-3293","ISSN":"09503293","abstract":"Fluid food products are always consumed from a container: a package, a cup, a bowl, and so on. The properties of this container may affect how the food is experienced. In the present study, we develop a method to study the effects of container properties on the experience of drinking beverages. Participants either evaluated empty cups made from different materials, or they evaluated the experience of drinking hot tea or a chilled softdrink from these cups. In all three conditions, the same set of attributes was used. The results suggest that for many attributes the drinking experience followed the experience of the cups. However, some deviations were also evident. Ratings on the cold-warm item increased when hot tea was consumed from some of the cups, probably related to the increase of the outside temperature of the cup. Differences between conditions for other items (e.g., robust-fragile, strong-weak), however, do not seem to be related to physical changes of the cup and may have a semantic or emotional origin. ?? 2008 Elsevier Ltd. All rights reserved.","author":[{"dropping-particle":"","family":"Schifferstein","given":"Hendrik N J","non-dropping-particle":"","parse-names":false,"suffix":""}],"container-title":"Food Quality and Preference","id":"ITEM-5","issue":"3","issued":{"date-parts":[["2009"]]},"page":"268-276","publisher":"Elsevier Ltd","title":"The drinking experience: Cup or content?","type":"article-journal","volume":"20"},"uris":["http://www.mendeley.com/documents/?uuid=d4389854-ed45-43b9-bb3a-2bd8750986ca","http://www.mendeley.com/documents/?uuid=90e9a2b0-7846-4410-949b-6362005ccb9c"]},{"id":"ITEM-6","itemData":{"DOI":"10.1016/j.foodqual.2014.07.007","ISBN":"0950-3293","ISSN":"09503293","abstract":"Drinking, unlike eating, always involves direct contact with the container in which a drink happens to be held. In our everyday lives, we typically consume beverages from glasses, cups, mugs, cans, bottles, and via straws. In this article, we consider the impact that the physical and sensory properties of a drink's container can have on people's perception of the contents. We investigate what happens to the perception of a beverage when the appropriateness of the container (to the contents) is varied. Furthermore, we also review the latest evidence showing that people's consumption behaviours can be influenced by the shape of the cup or glass. The vessel in which a drink is consumed has been shown to affect everything from a consumer's hedonic response to the beverage through to how refreshing they find it. Taken together, then, the available evidence currently supports the view that the vessels from which we drink exert a far greater influence over our perception of the sensory and hedonic qualities of the contents, and on our consumption behaviours, than is often realized. Finally, some of the current marketing opportunities in the area of branded and sensorially enhanced glassware are highlighted. ?? 2014 Elsevier Ltd.","author":[{"dropping-particle":"","family":"Spence","given":"Charles","non-dropping-particle":"","parse-names":false,"suffix":""},{"dropping-particle":"","family":"Wan","given":"Xiaoang","non-dropping-particle":"","parse-names":false,"suffix":""}],"container-title":"Food Quality and Preference","id":"ITEM-6","issued":{"date-parts":[["2015"]]},"page":"131-140","publisher":"Elsevier Ltd","title":"Beverage perception and consumption: The influence of the container on the perception of the contents","type":"article-journal","volume":"39"},"uris":["http://www.mendeley.com/documents/?uuid=8b7b7c69-34a5-47d0-b338-72fddfbe3b5d","http://www.mendeley.com/documents/?uuid=c9caf7eb-fe83-4a02-ad34-5133a71c6b26"]}],"mendeley":{"formattedCitation":"(Labbe, Pineau, &amp; Martin, 2013; Magnier, Schoormans, &amp; Mugge, 2016; Schifferstein, 2009; Spence &amp; Wan, 2015; Steenis, van Herpen, van der Lans, Ligthart, &amp; van Trijp, 2017; Thackston, 2013)","plainTextFormattedCitation":"(Labbe, Pineau, &amp; Martin, 2013; Magnier, Schoormans, &amp; Mugge, 2016; Schifferstein, 2009; Spence &amp; Wan, 2015; Steenis, van Herpen, van der Lans, Ligthart, &amp; van Trijp, 2017; Thackston, 2013)","previouslyFormattedCitation":"(Labbe, Pineau, &amp; Martin, 2013; Magnier, Schoormans, &amp; Mugge, 2016; Schifferstein, 2009; Spence &amp; Wan, 2015; Steenis, van Herpen, van der Lans, Ligthart, &amp; van Trijp, 2017; Thackston, 2013)"},"properties":{"noteIndex":0},"schema":"https://github.com/citation-style-language/schema/raw/master/csl-citation.json"}</w:instrText>
      </w:r>
      <w:r w:rsidR="00A33BE3">
        <w:fldChar w:fldCharType="separate"/>
      </w:r>
      <w:r w:rsidR="00A33BE3" w:rsidRPr="00A33BE3">
        <w:rPr>
          <w:noProof/>
        </w:rPr>
        <w:t>(Labbe, Pineau, &amp; Martin, 2013; Magnier, Schoormans, &amp; Mugge, 2016; Schifferstein, 2009; Spence &amp; Wan, 2015; Steenis, van Herpen, van der Lans, Ligthart, &amp; van Trijp, 2017; Thackston, 2013)</w:t>
      </w:r>
      <w:r w:rsidR="00A33BE3">
        <w:fldChar w:fldCharType="end"/>
      </w:r>
      <w:r w:rsidR="00A33BE3">
        <w:t xml:space="preserve">. </w:t>
      </w:r>
      <w:r w:rsidR="00BA3F40">
        <w:t>E</w:t>
      </w:r>
      <w:r w:rsidR="00A33BE3">
        <w:t>xpressive-sensorial properties of materials</w:t>
      </w:r>
      <w:r w:rsidR="00BA3F40">
        <w:t xml:space="preserve"> </w:t>
      </w:r>
      <w:r w:rsidR="00BA3F40">
        <w:fldChar w:fldCharType="begin" w:fldLock="1"/>
      </w:r>
      <w:r w:rsidR="004B4708">
        <w:instrText>ADDIN CSL_CITATION {"citationItems":[{"id":"ITEM-1","itemData":{"DOI":"10.1016/j.matdes.2018.04.081","ISSN":"18734197","abstract":"© 2018 Elsevier Ltd In the materials selection process, the use of different tools, languages and perspectives frequently causes disagreement between engineers and industrial designers. The aim of the paper is to define an integrated method for materials selection that provides industrial designers with measurable data to support and explain aesthetic decisions on materials. A new method for materials selection consisting of multiple tools structured in a two-step framework is presented. The method is tested through a case study of professional kitchen appliances where metal components are replaced with polymers. The first step involved the application of an established technique to identify polymeric bulk solutions, based on their technical properties. The second step employed a sensory analysis test to choose suitable finishes. Thirty-seven individuals performed the test: the subjects highlighted their main perceptions of metal and metal-look polymer finishes. The research demonstrates that the proposed method is suitable for the evaluation of both technical and sensorial properties of materials. In particular, Mapping test represents a rapid, low cost and effective tool to help industrial designers justify Colour Materials and Finish (CMF) choices with quantifiable information.","author":[{"dropping-particle":"","family":"Piselli","given":"A.","non-dropping-particle":"","parse-names":false,"suffix":""},{"dropping-particle":"","family":"Baxter","given":"W.","non-dropping-particle":"","parse-names":false,"suffix":""},{"dropping-particle":"","family":"Simonato","given":"M.","non-dropping-particle":"","parse-names":false,"suffix":""},{"dropping-particle":"","family":"Curto","given":"B.","non-dropping-particle":"Del","parse-names":false,"suffix":""},{"dropping-particle":"","family":"Aurisicchio","given":"M.","non-dropping-particle":"","parse-names":false,"suffix":""}],"container-title":"Materials and Design","id":"ITEM-1","issued":{"date-parts":[["2018"]]},"title":"Development and evaluation of a methodology to integrate technical and sensorial properties in materials selection","type":"article-journal","volume":"153"},"uris":["http://www.mendeley.com/documents/?uuid=0df8a903-de5c-3ebe-9729-f0eb15e8cad0","http://www.mendeley.com/documents/?uuid=cd012c03-2f2c-4705-8929-d54bf8336fb0"]}],"mendeley":{"formattedCitation":"(Piselli, Baxter, Simonato, Del Curto, &amp; Aurisicchio, 2018)","plainTextFormattedCitation":"(Piselli, Baxter, Simonato, Del Curto, &amp; Aurisicchio, 2018)","previouslyFormattedCitation":"(Piselli, Baxter, Simonato, Del Curto, &amp; Aurisicchio, 2018)"},"properties":{"noteIndex":0},"schema":"https://github.com/citation-style-language/schema/raw/master/csl-citation.json"}</w:instrText>
      </w:r>
      <w:r w:rsidR="00BA3F40">
        <w:fldChar w:fldCharType="separate"/>
      </w:r>
      <w:r w:rsidR="00BA3F40" w:rsidRPr="00BA3F40">
        <w:rPr>
          <w:noProof/>
        </w:rPr>
        <w:t>(Piselli, Baxter, Simonato, Del Curto, &amp; Aurisicchio, 2018)</w:t>
      </w:r>
      <w:r w:rsidR="00BA3F40">
        <w:fldChar w:fldCharType="end"/>
      </w:r>
      <w:r w:rsidR="00BA3F40">
        <w:t xml:space="preserve"> </w:t>
      </w:r>
      <w:r w:rsidR="00A33BE3">
        <w:t xml:space="preserve">are not </w:t>
      </w:r>
      <w:r w:rsidR="00BA3F40">
        <w:t xml:space="preserve">only </w:t>
      </w:r>
      <w:r w:rsidR="00A33BE3">
        <w:t xml:space="preserve">relevant in purchasing </w:t>
      </w:r>
      <w:r w:rsidR="00BA3F40">
        <w:t>products by driving particular meaning, perceptions and associations. T</w:t>
      </w:r>
      <w:r w:rsidR="008A08D7">
        <w:t>he expressive-</w:t>
      </w:r>
      <w:r w:rsidR="00BA3F40">
        <w:t xml:space="preserve">sensorial </w:t>
      </w:r>
      <w:r w:rsidR="008A08D7">
        <w:t>characteristics</w:t>
      </w:r>
      <w:r w:rsidR="00BA3F40">
        <w:t>, for instance, can drive consumers to sustainable or unsustainable behaviours in the last phase of products use</w:t>
      </w:r>
      <w:r w:rsidR="008A08D7">
        <w:t>.</w:t>
      </w:r>
      <w:r w:rsidR="00713241">
        <w:t xml:space="preserve"> </w:t>
      </w:r>
      <w:r w:rsidR="003E341C">
        <w:t>In particular, t</w:t>
      </w:r>
      <w:r w:rsidR="008A08D7">
        <w:t xml:space="preserve">he </w:t>
      </w:r>
      <w:r w:rsidR="003E341C">
        <w:t>bioplastic</w:t>
      </w:r>
      <w:r w:rsidR="00573548">
        <w:t>s</w:t>
      </w:r>
      <w:r w:rsidR="003E341C">
        <w:t xml:space="preserve"> material </w:t>
      </w:r>
      <w:r w:rsidR="008A08D7">
        <w:t xml:space="preserve">expressiveness </w:t>
      </w:r>
      <w:r w:rsidR="003E341C">
        <w:t>has been recently studied from different perspectives (</w:t>
      </w:r>
      <w:r w:rsidR="008A08D7">
        <w:t xml:space="preserve">meaning </w:t>
      </w:r>
      <w:r w:rsidR="003E341C">
        <w:t>creation, sustainability and ethical consumption association</w:t>
      </w:r>
      <w:r w:rsidR="008A08D7">
        <w:t xml:space="preserve"> </w:t>
      </w:r>
      <w:r w:rsidR="008A08D7">
        <w:fldChar w:fldCharType="begin" w:fldLock="1"/>
      </w:r>
      <w:r w:rsidR="004B4708">
        <w:instrText>ADDIN CSL_CITATION {"citationItems":[{"id":"ITEM-1","itemData":{"DOI":"10.1016/j.jclepro.2012.07.034","ISBN":"0959-6526","ISSN":"09596526","abstract":"Over the past decade, the deployment of sustainable product design has led to a dramatic increase in the use of bio-plastics as an environmentally sensitive substitute to regular petroleum-based ones. Published literature has explored the environmental performance and their suitability as an alternative for regular plastics. However, the reception of these materials by users, who come into contact with these materials embodied in consumer products, has not been researched and published. Even though the principle of using such materials with improved environmental credentials is sound, it is down to the users' appreciation of those materials that ultimately determine their commercial success. A significant challenge faced by material developers and product designers is to facilitate the appraisal of bio-plastics as a natural alternative to regular plastics, whilst at the same time meeting users' perceptions of quality. Drawing on the results of an empirical study this paper discusses when a material is perceived as 'natural' and/or 'high- quality'. The study concludes that there are more contradictory aspects than congruent aspects when evoking these two meanings. Imposition of new aesthetic values and uniqueness are discussed as critical strategies to elicit the desired meanings. ©2012 Elsevier Ltd. All rights reserved.","author":[{"dropping-particle":"","family":"Karana","given":"Elvin","non-dropping-particle":"","parse-names":false,"suffix":""}],"container-title":"Journal of Cleaner Production","id":"ITEM-1","issued":{"date-parts":[["2012","12"]]},"page":"316-325","publisher":"Elsevier Ltd","title":"Characterization of ‘natural’ and ‘high-quality’ materials to improve perception of bio-plastics","type":"article-journal","volume":"37"},"uris":["http://www.mendeley.com/documents/?uuid=7bd555cf-3ddb-4355-bd57-6282dba299f8"]},{"id":"ITEM-2","itemData":{"DOI":"10.21278/idc.2018.0455","abstract":"This paper seeks to understand how users appraise and perceive sustainable materials. Using thinking aloud sessions, appraisals of sustainable materials embodied in commercial products were collected from users and categorised. To account for the appraisal of systemic features of materials we have extended a previous categorisation of material appraisals. We have also investigated the relationships between the appraisal themes of sustainable materials. The results stress the influence of material origin in the appraisal. This understanding is useful to facilitate the uptake of the materials. sustainable design, user experience, multisensory product experience","author":[{"dropping-particle":"","family":"Bahrudin","given":"Fadzli Irwan","non-dropping-particle":"","parse-names":false,"suffix":""},{"dropping-particle":"","family":"Aurisicchio","given":"Marco","non-dropping-particle":"","parse-names":false,"suffix":""}],"container-title":"International Design Conference (DESIGN 2018)","id":"ITEM-2","issued":{"date-parts":[["2018"]]},"page":"2575-2584","title":"THE APPRAISAL OF SUSTAINABLE MATERIALS","type":"paper-conference"},"uris":["http://www.mendeley.com/documents/?uuid=3690b194-de06-4da1-8fa1-45c74bc3b137","http://www.mendeley.com/documents/?uuid=f522a3ff-2292-4dad-b757-fc27ebb6b70b"]},{"id":"ITEM-3","itemData":{"author":[{"dropping-particle":"","family":"Bahrudin","given":"Fadzli Irwan","non-dropping-particle":"","parse-names":false,"suffix":""},{"dropping-particle":"","family":"Aurisicchio","given":"Marco","non-dropping-particle":"","parse-names":false,"suffix":""},{"dropping-particle":"","family":"Baxter","given":"Weston L","non-dropping-particle":"","parse-names":false,"suffix":""}],"container-title":"Alive. Active. Adaptive: Proceedings of International Conference on Experiential Knowledge and Emerging Materials (EKSIG 2017)","id":"ITEM-3","issue":"June","issued":{"date-parts":[["2017"]]},"page":"194-207","title":"Sustainable materials in design projects","type":"article-journal"},"uris":["http://www.mendeley.com/documents/?uuid=9546fbd8-c0c5-4ac5-b764-369493e97f45","http://www.mendeley.com/documents/?uuid=98c3d217-c21a-4842-9bf0-a24f4decbdca"]},{"id":"ITEM-4","itemData":{"DOI":"10.1016/j.resconrec.2016.08.021","ISBN":"09213449","ISSN":"18790658","abstract":"An increase in the amount of packaging consumed in the U.S. has put pressure on companies to take responsibility for the entire life-cycle of their product. This study uses discrete choice experiments to assess consumer willingness to pay (WTP) for packaging materials and recyclability of a beverage product. A between-subject design was used to analyze the effectiveness of indirect questioning in addressing issues of social desirability bias as well as the effects of information on consumer behavior. Consumer WTP for packaging material was highest for plastic packaging, followed by glass, carton and aluminum. Our empirical analysis reveals that indirect questioning results in WTP values for packaging recyclability that are 60% lower than those obtained from direct questioning. We find that information from a video treatment had a significant and positive effect on consumer preferences and demand for packaging recyclability. Our results suggest that more scrutiny should be placed on studies that do not address social desirability bias when evaluating recycling behavior.","author":[{"dropping-particle":"","family":"Klaiman","given":"Kimberly","non-dropping-particle":"","parse-names":false,"suffix":""},{"dropping-particle":"","family":"Ortega","given":"David L","non-dropping-particle":"","parse-names":false,"suffix":""},{"dropping-particle":"","family":"Garnache","given":"Cloé","non-dropping-particle":"","parse-names":false,"suffix":""}],"container-title":"Resources, Conservation and Recycling","id":"ITEM-4","issued":{"date-parts":[["2016"]]},"page":"1-8","publisher":"Elsevier B.V.","title":"Consumer preferences and demand for packaging material and recyclability","type":"article-journal","volume":"115"},"uris":["http://www.mendeley.com/documents/?uuid=f1cc1ad8-69e0-4435-90d3-e81530d6ff97","http://www.mendeley.com/documents/?uuid=9384f701-b979-4e2d-9b88-1c2ce17c23b2"]},{"id":"ITEM-5","itemData":{"DOI":"10.1016/j.jclepro.2018.05.106","ISSN":"09596526","abstract":"Growing awareness of the environmental damage associated with conventional product packaging has led to keen interest in ‘green’ ‘environmentally friendly’ or ‘sustainable’ packaging. Research tells us a great deal about how the ‘environmental friendliness’ of a package may influence a consumer purchasing decision, but we have little scientific insight into the attributes that shape consumer perceptions of ’environmental friendliness. Hence, we examined how the interplay of environmentally friendly packaging attributes influences an overall evaluation of environmental friendliness, surveying attitudes from three Western consumer cultures: Germany, France, and the U.S. We found that consumers focus predominantly on end-of-life attributes of packaging, although the cultures differ in how they weigh the relative value of recyclability, reusability and biodegradability. We found that consumers concern themselves less with renewable origins, and almost not at all with activities relating to production, transport and retail use. We also found that widespread misunderstanding of biomethane continues to exist; further, the fact that biomethane is ‘biobased’ counts little in consumer ratings if the product is not also ‘biodegradable’. Ethical concerns about the use of agricultural land to produce biogas substrates are raised primarily by German consumers. A comparison with results from LCA studies of packaging revealed a number of discrepancies between consumer perception and facts on the environmental impact of different packaging options. Brand owners advancing environmentally friendly packaging initiatives are advised to feature those eco-advantages that pertain to the post-use phase and to differentiate packaging strategies across countries.","author":[{"dropping-particle":"","family":"Herbes","given":"Carsten","non-dropping-particle":"","parse-names":false,"suffix":""},{"dropping-particle":"","family":"Beuthner","given":"Christoph","non-dropping-particle":"","parse-names":false,"suffix":""},{"dropping-particle":"","family":"Ramme","given":"Iris","non-dropping-particle":"","parse-names":false,"suffix":""}],"container-title":"Journal of Cleaner Production","id":"ITEM-5","issued":{"date-parts":[["2018"]]},"page":"203-218","publisher":"Elsevier Ltd","title":"Consumer attitudes towards biobased packaging – A cross-cultural comparative study","type":"article-journal","volume":"194"},"uris":["http://www.mendeley.com/documents/?uuid=59671cd6-351b-41a3-ac88-2195c5d3832e","http://www.mendeley.com/documents/?uuid=5893f917-48d5-4444-be42-4905a5afff59"]},{"id":"ITEM-6","itemData":{"DOI":"10.1002/mabi.200600168","ISBN":"1616-5187","ISSN":"16165187","PMID":"17370278","abstract":"Packaging waste accounted for 78.81 million tons or 31.6% of the total municipal solid waste (MSW) in 2003 in the USA, 56.3 million tons or 25% of the MSW in 2005 in Europe, and 3.3 million tons or 10% of the MSW in 2004 in Australia. Currently, in the USA the dominant method of packaging waste disposal is landfill, followed by recycling, incineration, and composting. Since landfill occupies valuable space and results in the generation of greenhouse gases and contaminants, recovery methods such as reuse, recycling and/or composting are encouraged as a way of reducing packaging waste disposal. Most of the common materials used in packaging (i.e., steel, aluminum, glass, paper, paperboard, plastics, and wood) can be efficiently recovered by recycling; however, if packaging materials are soiled with foods or other biological substances, physical recycling of these materials may be impractical. Therefore, composting some of these packaging materials is a promising way to reduce MSW. As biopolymers are developed and increasingly used in applications such as food, pharmaceutical, and consumer goods packaging, composting could become one of the prevailing methods for disposal of packaging waste provided that industry, governments, and consumers encourage and embrace this alternative. The main objective of this article is to provide an overview of the current situation of packaging compostability, to describe the main mechanisms that make a biopolymer compostable, to delineate the main methods to compost these biomaterials, and to explain the main standards for assessing compostability, and the current status of biopolymer labeling. Biopolymers such as polylactide and poly(hydroxybutyrate) are increasingly becoming available for use in food, medical, and consumer goods packaging applications. The main claims of these new biomaterials are that they are obtained from renewable resources and that they can be biodegraded in biological environments such as soil and compost. Although recycling could be energetically more favorable than composting for these materials, it may not be practical because of excessive sorting and cleaning requirements. Therefore, the main focus is to dispose them by composting. So far, there is no formal agreement between companies, governments and consumers as to how this packaging composting will take place; therefore, the main drivers for their use have been green marketing and pseudo-environmental consciousness related to high fuel pric…","author":[{"dropping-particle":"","family":"Kale","given":"Gaurav","non-dropping-particle":"","parse-names":false,"suffix":""},{"dropping-particle":"","family":"Kijchavengkul","given":"Thitisilp","non-dropping-particle":"","parse-names":false,"suffix":""},{"dropping-particle":"","family":"Auras","given":"Rafael","non-dropping-particle":"","parse-names":false,"suffix":""},{"dropping-particle":"","family":"Rubino","given":"Maria","non-dropping-pa</w:instrText>
      </w:r>
      <w:r w:rsidR="004B4708" w:rsidRPr="009821DA">
        <w:rPr>
          <w:lang w:val="it-IT"/>
        </w:rPr>
        <w:instrText>rticle":"","parse-names":false,"suffix":""},{"dropping-particle":"","family":"Selke","given":"Susan E.","non-dropping-particle":"","parse-names":false,"suffix":""},{"dropping-particle":"","family":"Singh","given":"Sher Paul","non-dropping-particle":"","parse-names":false,"suffix":""}],"container-title":"Macromolecular Bioscience","id":"ITEM-6","issue":"3","issued":{"date-parts":[["2007"]]},"page":"255-277","title":"Compostability of bioplastic packaging materials: An overview","type":"article-journal","volume":"7"},"uris":["http://www.mendeley.com/documents/?uuid=bb25d20b-264b-4736-b385-1e6fea041885","http://www.mendeley.com/documents/?uuid=5be6d157-0ba6-4d05-a2dc-db6156b42df0","http://www.mendeley.com/documents/?uuid=54926927-9b68-4bb4-9c2b-9b8f69e1b8f1"]}],"mendeley":{"formattedCitation":"(Bahrudin &amp; Aurisicchio, 2018; Bahrudin, Aurisicchio, &amp; Baxter, 2017; Herbes, Beuthner, &amp; Ramme, 2018; Kale et al., 2007; Karana, 2012; Klaiman, Ortega, &amp; Garnache, 2016)","plainTextFormattedCitation":"(Bahrudin &amp; Aurisicchio, 2018; Bahrudin, Aurisicchio, &amp; Baxter, 2017; Herbes, Beuthner, &amp; Ramme, 2018; Kale et al., 2007; Karana, 2012; Klaiman, Ortega, &amp; Garnache, 2016)","previouslyFormattedCitation":"(Bahrudin &amp; Aurisicchio, 2018; Bahrudin, Aurisicchio, &amp; Baxter, 2017; Herbes, Beuthner, &amp; Ramme, 2018; Kale et al., 2007; Karana, 2012; Klaiman, Ortega, &amp; Garnache, 2016)"},"properties":{"noteIndex":0},"schema":"https://github.com/citation-style-language/schema/raw/master/csl-citation.json"}</w:instrText>
      </w:r>
      <w:r w:rsidR="008A08D7">
        <w:fldChar w:fldCharType="separate"/>
      </w:r>
      <w:r w:rsidR="008A08D7" w:rsidRPr="008A08D7">
        <w:rPr>
          <w:noProof/>
          <w:lang w:val="it-IT"/>
        </w:rPr>
        <w:t>(Bahrudin &amp; Aurisicchio, 2018; Bahrudin, Aurisicchio, &amp; Baxter, 2017; Herbes, Beuthner, &amp; Ramme, 2018; Kale et al., 2007; Karana, 2012; Klaiman, Ortega, &amp; Garnache, 2016)</w:t>
      </w:r>
      <w:r w:rsidR="008A08D7">
        <w:fldChar w:fldCharType="end"/>
      </w:r>
      <w:r w:rsidR="008A08D7" w:rsidRPr="008A08D7">
        <w:rPr>
          <w:lang w:val="it-IT"/>
        </w:rPr>
        <w:t xml:space="preserve">. </w:t>
      </w:r>
      <w:r w:rsidR="008A08D7">
        <w:t xml:space="preserve">Furthermore, </w:t>
      </w:r>
      <w:r w:rsidR="00945FCF">
        <w:t>r</w:t>
      </w:r>
      <w:r w:rsidR="008A08D7">
        <w:t xml:space="preserve">ecognizing </w:t>
      </w:r>
      <w:r w:rsidR="003E341C">
        <w:t>bioplastic</w:t>
      </w:r>
      <w:r w:rsidR="00945FCF">
        <w:t>s</w:t>
      </w:r>
      <w:r w:rsidR="003E341C">
        <w:t xml:space="preserve"> as different from fossil-based </w:t>
      </w:r>
      <w:r w:rsidR="00945FCF">
        <w:t>materials represent</w:t>
      </w:r>
      <w:r w:rsidR="008A08D7">
        <w:t xml:space="preserve"> a </w:t>
      </w:r>
      <w:r w:rsidR="00945FCF">
        <w:t xml:space="preserve">key </w:t>
      </w:r>
      <w:r w:rsidR="008A08D7">
        <w:t xml:space="preserve">factor </w:t>
      </w:r>
      <w:r w:rsidR="00945FCF">
        <w:t xml:space="preserve">in the </w:t>
      </w:r>
      <w:r w:rsidR="004D161A">
        <w:t>food-packaging</w:t>
      </w:r>
      <w:r w:rsidR="00945FCF">
        <w:t xml:space="preserve"> field. Bioplastics, indeed, are generally used </w:t>
      </w:r>
      <w:r w:rsidR="00C17A06">
        <w:t>in packaging if compostable</w:t>
      </w:r>
      <w:r w:rsidR="00945FCF">
        <w:t xml:space="preserve"> and because of this</w:t>
      </w:r>
      <w:r w:rsidR="00C17A06">
        <w:t xml:space="preserve"> disposed in the “organic fraction” of waste collection</w:t>
      </w:r>
      <w:r w:rsidR="008A08D7">
        <w:t xml:space="preserve">. </w:t>
      </w:r>
      <w:r w:rsidR="00AB4FEA" w:rsidRPr="00AB4FEA">
        <w:t xml:space="preserve">Although there </w:t>
      </w:r>
      <w:r w:rsidR="004D161A">
        <w:t>is</w:t>
      </w:r>
      <w:r w:rsidR="00AB4FEA" w:rsidRPr="00AB4FEA">
        <w:t xml:space="preserve"> no evidence </w:t>
      </w:r>
      <w:r w:rsidR="00AB4FEA">
        <w:t xml:space="preserve">in </w:t>
      </w:r>
      <w:r w:rsidR="00AB4FEA">
        <w:lastRenderedPageBreak/>
        <w:t xml:space="preserve">literature </w:t>
      </w:r>
      <w:r w:rsidR="00AB4FEA" w:rsidRPr="00AB4FEA">
        <w:t xml:space="preserve">regarding the possible correlation of materials attributes in driving food packaging disposal </w:t>
      </w:r>
      <w:r w:rsidR="004052CD">
        <w:t>to</w:t>
      </w:r>
      <w:r w:rsidR="004052CD" w:rsidRPr="00AB4FEA">
        <w:t xml:space="preserve"> </w:t>
      </w:r>
      <w:r w:rsidR="00AB4FEA" w:rsidRPr="00AB4FEA">
        <w:t>the correct waste stream.</w:t>
      </w:r>
      <w:r w:rsidR="00713241">
        <w:t xml:space="preserve"> </w:t>
      </w:r>
      <w:r w:rsidR="004052CD" w:rsidRPr="00CE0C49">
        <w:t>However</w:t>
      </w:r>
      <w:r w:rsidR="004052CD">
        <w:t xml:space="preserve">, </w:t>
      </w:r>
      <w:r w:rsidR="00CE0C49" w:rsidRPr="00CE0C49">
        <w:t xml:space="preserve">new bioplastics </w:t>
      </w:r>
      <w:r w:rsidR="00C17A06">
        <w:t>SUPs</w:t>
      </w:r>
      <w:r w:rsidR="00CE0C49" w:rsidRPr="00CE0C49">
        <w:t xml:space="preserve"> are often indistinguishable from traditional ones. A critical is</w:t>
      </w:r>
      <w:r w:rsidR="00187C5C">
        <w:t>s</w:t>
      </w:r>
      <w:r w:rsidR="00CE0C49" w:rsidRPr="00CE0C49">
        <w:t xml:space="preserve">ue in this context is that bioplastics </w:t>
      </w:r>
      <w:r w:rsidR="00C17A06">
        <w:t>SUPs</w:t>
      </w:r>
      <w:r w:rsidR="00CE0C49" w:rsidRPr="00CE0C49">
        <w:t xml:space="preserve"> (</w:t>
      </w:r>
      <w:r w:rsidR="00C17A06">
        <w:t>in particular</w:t>
      </w:r>
      <w:r w:rsidR="00CE0C49" w:rsidRPr="00CE0C49">
        <w:t xml:space="preserve"> food packaging) are not recognized and are therefore erroneously conferred causing the contamination of traditional recycling chains an</w:t>
      </w:r>
      <w:r w:rsidR="008C6F7C">
        <w:t xml:space="preserve">d not </w:t>
      </w:r>
      <w:r w:rsidR="00187C5C">
        <w:t>increasing</w:t>
      </w:r>
      <w:r w:rsidR="008C6F7C">
        <w:t xml:space="preserve"> organic recovery.</w:t>
      </w:r>
      <w:r w:rsidR="0074355B" w:rsidRPr="007571CE">
        <w:t xml:space="preserve"> </w:t>
      </w:r>
    </w:p>
    <w:p w14:paraId="21CE129D" w14:textId="0A0C38A0" w:rsidR="003A6572" w:rsidRDefault="003073F1" w:rsidP="00DF65B7">
      <w:pPr>
        <w:pStyle w:val="ParagraphX"/>
      </w:pPr>
      <w:r w:rsidRPr="003073F1">
        <w:t>In the case of this work, the reference context is Italy's collection and differentiation system</w:t>
      </w:r>
      <w:r>
        <w:t xml:space="preserve">, in which compostable products have to be given to the “organic fraction collection”. </w:t>
      </w:r>
      <w:r>
        <w:rPr>
          <w:rFonts w:ascii="Roboto" w:hAnsi="Roboto"/>
          <w:color w:val="000000"/>
          <w:sz w:val="21"/>
          <w:szCs w:val="21"/>
          <w:shd w:val="clear" w:color="auto" w:fill="FFFFFF"/>
        </w:rPr>
        <w:t>CONAI</w:t>
      </w:r>
      <w:r>
        <w:rPr>
          <w:rStyle w:val="Rimandonotaapidipagina"/>
          <w:color w:val="000000"/>
          <w:sz w:val="21"/>
          <w:szCs w:val="21"/>
          <w:shd w:val="clear" w:color="auto" w:fill="FFFFFF"/>
        </w:rPr>
        <w:footnoteReference w:id="2"/>
      </w:r>
      <w:r>
        <w:rPr>
          <w:rFonts w:ascii="Roboto" w:hAnsi="Roboto"/>
          <w:color w:val="000000"/>
          <w:sz w:val="21"/>
          <w:szCs w:val="21"/>
          <w:shd w:val="clear" w:color="auto" w:fill="FFFFFF"/>
        </w:rPr>
        <w:t xml:space="preserve">, the National Packaging Consortium </w:t>
      </w:r>
      <w:r w:rsidR="005875A1" w:rsidRPr="005875A1">
        <w:t>shows us that the maximum quota of compostable bioplastics sustainable by the Italian plastic system is estimated at 10% of the total volume of treated plastic packaging.</w:t>
      </w:r>
      <w:r w:rsidR="005875A1">
        <w:t xml:space="preserve"> </w:t>
      </w:r>
      <w:r w:rsidR="00A77BC4" w:rsidRPr="00A77BC4">
        <w:t>At the end of 2018</w:t>
      </w:r>
      <w:r w:rsidR="004052CD">
        <w:t>,</w:t>
      </w:r>
      <w:r w:rsidR="00A77BC4" w:rsidRPr="00A77BC4">
        <w:t xml:space="preserve"> new supply chain consortium</w:t>
      </w:r>
      <w:r w:rsidR="004052CD">
        <w:t xml:space="preserve"> born</w:t>
      </w:r>
      <w:r w:rsidR="004052CD" w:rsidRPr="004052CD">
        <w:t xml:space="preserve"> </w:t>
      </w:r>
      <w:r w:rsidR="004052CD" w:rsidRPr="00A77BC4">
        <w:t>in Italy</w:t>
      </w:r>
      <w:r w:rsidR="00A77BC4" w:rsidRPr="00A77BC4">
        <w:t xml:space="preserve">: Biorepack </w:t>
      </w:r>
      <w:r>
        <w:t>(</w:t>
      </w:r>
      <w:r w:rsidRPr="003073F1">
        <w:t>ongoing project</w:t>
      </w:r>
      <w:r>
        <w:t xml:space="preserve">) </w:t>
      </w:r>
      <w:r w:rsidR="00A77BC4" w:rsidRPr="00A77BC4">
        <w:t>for the end-of-life management of biodegradable and compostable packaging collected with the organic waste fraction and transformed, with specific industrial treatment, into compost or biogas.</w:t>
      </w:r>
      <w:r w:rsidR="00A77BC4">
        <w:t xml:space="preserve"> </w:t>
      </w:r>
      <w:r>
        <w:t>T</w:t>
      </w:r>
      <w:r w:rsidR="004052CD">
        <w:t xml:space="preserve">herefore, it becomes more and more important </w:t>
      </w:r>
      <w:r w:rsidR="00434DF6">
        <w:t>to understand if</w:t>
      </w:r>
      <w:r w:rsidR="00A77BC4" w:rsidRPr="00A77BC4">
        <w:t xml:space="preserve"> bioplastic packaging </w:t>
      </w:r>
      <w:r w:rsidR="00434DF6">
        <w:t xml:space="preserve">are </w:t>
      </w:r>
      <w:r w:rsidR="00A77BC4" w:rsidRPr="00A77BC4">
        <w:t>recognized by users in order to achieve sustainability of their life cycle.</w:t>
      </w:r>
      <w:r w:rsidR="00EB1B04">
        <w:t xml:space="preserve"> </w:t>
      </w:r>
    </w:p>
    <w:p w14:paraId="7A5FF81C" w14:textId="42EAF948" w:rsidR="0074355B" w:rsidRDefault="0074355B" w:rsidP="00DE4439">
      <w:pPr>
        <w:pStyle w:val="ParagraphHeadingX"/>
      </w:pPr>
      <w:r w:rsidRPr="00701E22">
        <w:t xml:space="preserve">2. </w:t>
      </w:r>
      <w:r w:rsidR="00B8250C">
        <w:t>THEORETICAL</w:t>
      </w:r>
      <w:r w:rsidR="002D54CC">
        <w:t xml:space="preserve"> BACKGROUND</w:t>
      </w:r>
      <w:r w:rsidR="00701E22" w:rsidRPr="00701E22">
        <w:t xml:space="preserve"> </w:t>
      </w:r>
    </w:p>
    <w:p w14:paraId="6A79F25D" w14:textId="360B0D73" w:rsidR="002060DB" w:rsidRDefault="00974BCF" w:rsidP="00EE3922">
      <w:pPr>
        <w:pStyle w:val="ParagraphX"/>
      </w:pPr>
      <w:r w:rsidRPr="00974BCF">
        <w:t>To design increasingly sustainable products, it is essential to study and understand the dynamics of user interaction with products.</w:t>
      </w:r>
      <w:r>
        <w:t xml:space="preserve"> I</w:t>
      </w:r>
      <w:r w:rsidRPr="00974BCF">
        <w:t>n designing sustainable products, the designer has the fundamental role of combining the shape, the material and the communication of the product in order to "design" even the user's behavio</w:t>
      </w:r>
      <w:r w:rsidR="00DB72D0">
        <w:t>u</w:t>
      </w:r>
      <w:r w:rsidRPr="00974BCF">
        <w:t>r.</w:t>
      </w:r>
      <w:r w:rsidRPr="009821DA">
        <w:t xml:space="preserve"> </w:t>
      </w:r>
      <w:r w:rsidRPr="00184256">
        <w:t xml:space="preserve">Related to this, a discipline of product design has recently born: </w:t>
      </w:r>
      <w:r w:rsidRPr="009821DA">
        <w:t>Design for Sustainable Behaviour (DfSB).</w:t>
      </w:r>
      <w:r w:rsidRPr="00E85A6B">
        <w:t xml:space="preserve"> </w:t>
      </w:r>
      <w:r w:rsidRPr="00E42AFD">
        <w:t xml:space="preserve">DfSB </w:t>
      </w:r>
      <w:r>
        <w:t>aims</w:t>
      </w:r>
      <w:r w:rsidRPr="00E42AFD">
        <w:t xml:space="preserve"> specifically on reducing the environmental impact caused by the way people interact with products</w:t>
      </w:r>
      <w:r>
        <w:t xml:space="preserve"> </w:t>
      </w:r>
      <w:r>
        <w:fldChar w:fldCharType="begin" w:fldLock="1"/>
      </w:r>
      <w:r>
        <w:instrText>ADDIN CSL_CITATION {"citationItems":[{"id":"ITEM-1","itemData":{"DOI":"10.1007/978-981-10-0471-1","ISBN":"978-981-10-0469-8","ISSN":"22146296","PMID":"84540683","abstract":"The ecological impact of energy production and consumption is often relegated in analytical accounts of the evolution of energy systems, where production and consumption patterns are analysed as the interaction of social, economic and technological factors. Ecological and social-ecological dynamics are, we argue, critical in the context of imperatives for access to modern energy services that are inadequate for significant sections of the world's population. The ecological impacts of energy use are often analysed as a set of externalities, many of which are uncertain or unquantifiable, particularly if they stem from earth system change such as anthropogenic climate change. Here we outline the benefits from analysing energy systems as social-ecological systems. We review the extensive literature from ecology and resilience theories, and compare the analytical domains, major findings and emphasis of social-ecological systems with socio-technical transition research. We illustrate these differences with the example of the multi-scale impacts of biofuel expansion. We show that social-ecological systems research combines analysis of interactions with ecological systems and power relations between actors in energy systems, and has the potential to do so across production, distribution and consumption domains whilst illustrating the dynamics of such energy systems, identifying potential trade-offs and regime shifts. ?? 2014 Elsevier Ltd.","author":[{"dropping-particle":"","family":"Boks","given":"Casper","non-dropping-particle":"","parse-names":false,"suffix":""},{"dropping-particle":"","family":"Lilley","given":"Debra","non-dropping-particle":"","parse-names":false,"suffix":""},{"dropping-particle":"","family":"Pettersen","given":"Ida Nilstad","non-dropping-particle":"","parse-names":false,"suffix":""}],"id":"ITEM-1","issue":"April","issued":{"date-parts":[["2017"]]},"title":"Sustainability Through Innovation in Product Life Cycle Design","type":"article-journal"},"uris":["http://www.mendeley.com/documents/?uuid=f5f1d170-9011-4286-8fb0-08036d6d9ff3","http://www.mendeley.com/documents/?uuid=3c9535d6-bf7c-4fca-9c8a-4e076516d9a9"]},{"id":"ITEM-2","itemData":{"DOI":"10.1016/j.apergo.2009.09.001","ISBN":"1872-9126 (Electronic)\\n0003-6870 (Linking)","ISSN":"00036870","PMID":"19822311","abstract":"Using product and system design to influence user behaviour offers potential for improving performance and reducing user error, yet little guidance is available at the concept generation stage for design teams briefed with influencing user behaviour. This article presents the Design with Intent Method, an innovation tool for designers working in this area, illustrated via application to an everyday human-technology interaction problem: reducing the likelihood of a customer leaving his or her card in an automatic teller machine. The example application results in a range of feasible design concepts which are comparable to existing developments in ATM design, demonstrating that the method has potential for development and application as part of a user-centred design process. © 2009 Elsevier Ltd.","author":[{"dropping-particle":"","family":"Lockton","given":"Dan","non-dropping-particle":"","parse-names":false,"suffix":""},{"dropping-particle":"","family":"Harrison","given":"David","non-dropping-particle":"","parse-names":false,"suffix":""},{"dropping-particle":"","family":"Stanton","given":"Neville A.","non-dropping-particle":"","parse-names":false,"suffix":""}],"container-title":"Applied Ergonomics","id":"ITEM-2","issue":"3","issued":{"date-parts":[["2010"]]},"page":"382-392","publisher":"Elsevier Ltd","title":"The Design with Intent Method: A design tool for influencing user behaviour","type":"article-journal","volume":"41"},"uris":["http://www.mendeley.com/documents/?uuid=c1867c99-ab27-4843-b78b-282fc17b4c33","http://www.mendeley.com/documents/?uuid=91f3b6e4-37b9-404b-a712-6a7c023e03f6"]}],"mendeley":{"formattedCitation":"(Boks, Lilley, &amp; Pettersen, 2017; Lockton, Harrison, &amp; Stanton, 2010)","plainTextFormattedCitation":"(Boks, Lilley, &amp; Pettersen, 2017; Lockton, Harrison, &amp; Stanton, 2010)","previouslyFormattedCitation":"(Boks, Lilley, &amp; Pettersen, 2017; Lockton, Harrison, &amp; Stanton, 2010)"},"properties":{"noteIndex":0},"schema":"https://github.com/citation-style-language/schema/raw/master/csl-citation.json"}</w:instrText>
      </w:r>
      <w:r>
        <w:fldChar w:fldCharType="separate"/>
      </w:r>
      <w:r w:rsidRPr="00E42AFD">
        <w:rPr>
          <w:noProof/>
        </w:rPr>
        <w:t>(Boks, Lilley, &amp; Pettersen, 2017; Lockton, Harrison, &amp; Stanton, 2010)</w:t>
      </w:r>
      <w:r>
        <w:fldChar w:fldCharType="end"/>
      </w:r>
      <w:r>
        <w:t xml:space="preserve">. </w:t>
      </w:r>
      <w:r w:rsidRPr="00A45482">
        <w:t>Strategies have been developed on how to induce purchasing choices of sustainable products, reduce food waste, life-time extension, reduction of energy use, and littering behaviour</w:t>
      </w:r>
      <w:r>
        <w:t xml:space="preserve"> </w:t>
      </w:r>
      <w:r>
        <w:fldChar w:fldCharType="begin" w:fldLock="1"/>
      </w:r>
      <w:r>
        <w:instrText>ADDIN CSL_CITATION {"citationItems":[{"id":"ITEM-1","itemData":{"DOI":"10.1002/pts","ISSN":"09729380","abstract":"Littering is a packaging-related problem where the environmental, social and economic aspects of sustain- ability meet. Litter is likely to be harmful for wildlife, looks untidy and is expensive to clean up. Research into reducing litter has focused primarily on the litterer and on the surroundings in which the littering occurs, but the infl uence of the littered object has so far been ill addressed. This research focused on understanding how the characteristics of an object infl uence its probability of being littered and how this insight can be used to improve the design of these objects, in particular packaging. Both eco-feedback and scripting approaches were examined in four experimental setups. It was found that the design of a packag- ing does have a signifi cant infl uence on waste behaviour of consumers. However, applying this insight to packaging design in order to reduce littering was found to be less than straightforward. Copyright © 2010 John","author":[{"dropping-particle":"","family":"R. Wever","given":"1","non-dropping-particle":"","parse-names":false,"suffix":""},{"dropping-particle":"","family":"* L. van Onselen","given":"1 S. Silvester1 and C. Boks2","non-dropping-particle":"","parse-names":false,"suffix":""}],"container-title":"International Journal of Economic Research","id":"ITEM-1","issue":"16","issued":{"date-parts":[["2017"]]},"page":"165-182","title":"Influence of Packaging Design on Littering and Waste Behaviour","type":"article-journal","volume":"14"},"uris":["http://www.mendeley.com/documents/?uuid=de954abd-bba7-4483-b6a4-bce1e1073f0b","http://www.mendeley.com/documents/?uuid=f72b5dfd-8fa5-4d5e-90a4-ac18a28f12fc"]},{"id":"ITEM-2","itemData":{"ISBN":"9788570291363","abstract":"Efforts promoting proper disposal of packaging generally focus on infrastructure and messaging. Significantly less attention has been given to how the attributes of packaging can be used to change disposal behaviour. This research shows how changes","author":[{"dropping-particle":"","family":"Baxter","given":"Weston L","non-dropping-particle":"","parse-names":false,"suffix":""},{"dropping-particle":"","family":"Aurisicchio","given":"Marco","non-dropping-particle":"","parse-names":false,"suffix":""},{"dropping-particle":"","family":"Childs","given":"Peter R N","non-dropping-particle":"","parse-names":false,"suffix":""}],"container-title":"20th IAPRI World Conference on Packaging","id":"ITEM-2","issued":{"date-parts":[["2016"]]},"page":"1-11","title":"Tear Here: the Impact of Object Transformations on Proper Disposal","type":"article-journal"},"uris":["http://www.mendeley.com/documents/?uuid=16c325f2-d511-4659-8a63-b693f6f40bd6"]},{"id":"ITEM-3","itemData":{"DOI":"10.1016/j.jclepro.2016.07.097","author":[{"dropping-particle":"","family":"Williams","given":"H","non-dropping-particle":"","parse-names":false,"suffix":""},{"dropping-particle":"","family":"Venkatesh","given":"G","non-dropping-particle":"","parse-names":false,"suffix":""},{"dropping-particle":"","family":"Wikstr","given":"F","non-dropping-particle":"","parse-names":false,"suffix":""}],"id":"ITEM-3","issued":{"date-parts":[["2016"]]},"page":"895-902","title":"The in fl uence of packaging attributes on recycling and food waste behaviour e An environmental comparison of two packaging alternatives","type":"article-journal","volume":"137"},"uris":["http://www.mendeley.com/documents/?uuid=77110262-2421-4fe1-822c-d4eab4c2fa6c","http://www.mendeley.com/documents/?uuid=2ad888e2-5da9-4f6a-9e08-01a31e829446"]},{"id":"ITEM-4","itemData":{"DOI":"10.1016/j.jclepro.2013.10.042","ISBN":"0959-6526","ISSN":"09596526","PMID":"1982425","abstract":"Purpose The choice of a sustainable packaging alternative is a key issue for the improvement of the environmental performances of a product, both from a production perspective and end-of-life management. The present study is focused on the life cycle assessment (LCA) of two packaging alternatives of a poultry product, in particular a polystyrene-based tray and an aluminum bowl (70 wt% primary and 30 wt% secondary aluminum) were considered. Methods The LCA was performed according to ISO 14040-44 and following a “from-cradle-to-grave” perspective. The following stages were considered: production, use phase (i.e., cooking), and end-of-life. Different end-of-life scenarios were hypothesized. Greenhouse Gas Protocol, Cumulative Energy Demand, and ILCD midpoint method were used in the impact assessment (LCIA). Results and discussion The aluminum bowl was carefully designed in order to allow its use during the cooking stage of the poultry product in the oven and to reduce the cooking time (40 min instead of 50 min needed when using a conventional bowl) at 200 °C: cooking time reduction allows electric energy savings equal to 0.21 kWh (1.38 kWh instead of 1.59 kWh). Electric energy savings become of primary importance to reduce overall emissions, in particular CO2 eq emissions, especially in those countries such as Italy and Germany where there is a predominance of fossil fuels in the electric energy country mix. Conclusions Over the entire life cycle of the two alternatives considered (taking into account production, transport, cooking, and end-of-life), cooking stage has the most impact; so, the specific design of the packaging bowl/tray can allow significant lowering of the overall CO2 eq emissions. In addition, when designing an aluminum-based packaging, the content of the secondary material can be significantly increased in order to reach higher sustainability during the production stage.","author":[{"dropping-particle":"","family":"Zafarmand","given":"Seyed Javad","non-dropping-particle":"","parse-names":false,"suffix":""},{"dropping-particle":"","family":"Sugiyama","given":"Kazuo","non-dropping-particle":"","parse-names":false,"suffix":""},{"dropping-particle":"","family":"Watanabe","given":"Makoto","non-dropping-particle":"","parse-names":false,"suffix":""},{"dropping-particle":"","family":"Wikström","given":"Fredrik","non-dropping-particle":"","parse-names":false,"suffix":""},{"dropping-particle":"","family":"Williams","given":"Helén","non-dropping-particle":"","parse-names":false,"suffix":""},{"dropping-particle":"","family":"Venkatesh","given":"G","non-dropping-particle":"","parse-names":false,"suffix":""},{"dropping-particle":"","family":"Verghese","given":"Karli","non-dropping-particle":"","parse-names":false,"suffix":""},{"dropping-particle":"","family":"Clune","given":"Stephen","non-dropping-particle":"","parse-names":false,"suffix":""},{"dropping-particle":"","family":"Wikström","given":"Fredrik","non-dropping-particle":"","parse-names":false,"suffix":""},{"dropping-particle":"","family":"Löfgren","given":"Martin","non-dropping-particle":"","parse-names":false,"suffix":""},{"dropping-particle":"","family":"Zampori","given":"Luca","non-dropping-particle":"","parse-names":false,"suffix":""},{"dropping-particle":"","family":"Dotelli","given":"Giovanni","non-dropping-particle":"","parse-names":false,"suffix":""},{"dropping-particle":"","family":"Singh","given":"Jagdeep","non-dropping-particle":"","parse-names":false,"suffix":""},{"dropping-particle":"","family":"Ordoñez","given":"Isabel","non-dropping-particle":"","parse-names":false,"suffix":""},{"dropping-particle":"","family":"Karana","given":"Elvin","non-dropping-particle":"","parse-names":false,"suffix":""},{"dropping-particle":"","family":"Klaiman","given":"Kimberly","non-dropping-particle":"","parse-names":false,"suffix":""},{"dropping-particle":"","family":"Ortega","given":"David L","non-dropping-particle":"","parse-names":false,"suffix":""},{"dropping-particle":"","family":"Garnache","given":"Cloé","non-dropping-particle":"","parse-names":false,"suffix":""},{"dropping-particle":"","family":"Krishna","given":"Aradhna","non-dropping-particle":"","parse-names":false,"suffix":""},{"dropping-particle":"","family":"Cian","given":"Luca","non-dropping-particle":"","parse-names":false,"suffix":""},{"dropping-particle":"","family":"Ayd</w:instrText>
      </w:r>
      <w:r>
        <w:rPr>
          <w:rFonts w:hint="eastAsia"/>
        </w:rPr>
        <w:instrText>ı</w:instrText>
      </w:r>
      <w:r>
        <w:instrText>no</w:instrText>
      </w:r>
      <w:r>
        <w:rPr>
          <w:rFonts w:ascii="Cambria" w:hAnsi="Cambria" w:cs="Cambria"/>
        </w:rPr>
        <w:instrText>ğ</w:instrText>
      </w:r>
      <w:r>
        <w:instrText>lu","given":"Nilüfer Z","non-dropping-particle":"","parse-names":false,"suffix":""}],"container-title":"Journal of Cleaner Production","id":"ITEM-4","issue":"1","issued":{"date-parts":[["2016"]]},"page":"43-48","publisher":"Elsevier Ltd","title":"A life cycle perspective on environmental effects of customer focused packaging development","type":"article-journal","volume":"19"},"uris":["http://www.mendeley.com/documents/?uuid=f82042fc-375e-4380-b278-e7cb76d0b4ef","http://www.mendeley.com/documents/?uuid=fe539632-c32c-4cc6-abd7-ca374440caec"]}],"mendeley":{"formattedCitation":"(Baxter, Aurisicchio, &amp; Childs, 2016; R. Wever &amp; * L. van Onselen, 2017; Williams, Venkatesh, &amp; Wikstr, 2016; Zafarmand et al., 2016)","plainTextFormattedCitation":"(Baxter, Aurisicchio, &amp; Childs, 2016; R. Wever &amp; * L. van Onselen, 2017; Williams, Venkatesh, &amp; Wikstr, 2016; Zafarmand et al., 2016)","previouslyFormattedCitation":"(Baxter, Aurisicchio, &amp; Childs, 2016; R. Wever &amp; * L. van Onselen, 2017; Williams, Venkatesh, &amp; Wikstr, 2016; Zafarmand et al., 2016)"},"properties":{"noteIndex":0},"schema":"https://github.com/citation-style-language/schema/raw/master/csl-citation.json"}</w:instrText>
      </w:r>
      <w:r>
        <w:fldChar w:fldCharType="separate"/>
      </w:r>
      <w:r w:rsidRPr="00A45482">
        <w:rPr>
          <w:noProof/>
        </w:rPr>
        <w:t>(Baxter, Aurisicchio, &amp; Childs, 2016; R. Wever &amp; * L. van Onselen, 2017; Williams, Venkatesh, &amp; Wikstr, 2016; Zafarmand et al., 2016)</w:t>
      </w:r>
      <w:r>
        <w:fldChar w:fldCharType="end"/>
      </w:r>
      <w:r w:rsidRPr="00A45482">
        <w:t>.</w:t>
      </w:r>
      <w:r>
        <w:t xml:space="preserve"> </w:t>
      </w:r>
      <w:r w:rsidRPr="00974BCF">
        <w:t>In the field of sustainable packaging, much has already been explore</w:t>
      </w:r>
      <w:r>
        <w:t>d, because packaging</w:t>
      </w:r>
      <w:r w:rsidRPr="00974BCF">
        <w:t xml:space="preserve"> is a "fast" product, which has the particularity of making its content prefer</w:t>
      </w:r>
      <w:r>
        <w:t>able over an analysis that is first</w:t>
      </w:r>
      <w:r w:rsidRPr="00974BCF">
        <w:t xml:space="preserve"> sensorial and qualitative. With the same speed with it is preferred, it is thrown and these two parts of its life cycle are crucial for sustainability.</w:t>
      </w:r>
      <w:r w:rsidR="00DB72D0">
        <w:t xml:space="preserve"> </w:t>
      </w:r>
      <w:r>
        <w:t>D</w:t>
      </w:r>
      <w:r w:rsidR="00AA166D" w:rsidRPr="00AA166D">
        <w:t>ifferent studies</w:t>
      </w:r>
      <w:r w:rsidR="004052CD">
        <w:t>,</w:t>
      </w:r>
      <w:r w:rsidR="00AA166D" w:rsidRPr="00AA166D">
        <w:t xml:space="preserve"> based on a quantitative </w:t>
      </w:r>
      <w:r w:rsidR="004052CD">
        <w:t xml:space="preserve">research </w:t>
      </w:r>
      <w:r w:rsidR="00AA166D" w:rsidRPr="00AA166D">
        <w:t xml:space="preserve">approach </w:t>
      </w:r>
      <w:r w:rsidR="00F85739">
        <w:fldChar w:fldCharType="begin" w:fldLock="1"/>
      </w:r>
      <w:r w:rsidR="004B4708">
        <w:instrText>ADDIN CSL_CITATION {"citationItems":[{"id":"ITEM-1","itemData":{"DOI":"10.1016/j.foodqual.2016.11.010","ISBN":"09503293","ISSN":"09503293","PMID":"9537391","abstract":"Images of food constitute salient visual stimuli in the mind of the consumer. They are capable of promoting both feelings of hunger and the desire for food. It should not, then, come as any surprise that many product packages present the food contained within as a salient aspect of their visual design. Conventionally, this has been achieved primarily by the use of attractive visual imagery showing the product on the outside of the packaging. Nowadays, however, developments in packaging are increasingly enabling designers to add transparent elements, thus allowing consumers to directly see the product before purchase. Yet relatively little is known about the effectiveness of product imagery as compared with transparent packaging. In this review, we address the various ways in which seeing (images of) food influences the consumer. The implications for packaging designs which include: (a) images of food, and (b) transparent elements, are investigated. Guidelines are also provided for designers and brands on the ways in which to take advantage of these effects of being able to see the food.","author":[{"dropping-particle":"","family":"Simmonds","given":"Gregory","non-dropping-particle":"","parse-names":false,"suffix":""},{"dropping-particle":"","family":"Spence","given":"Charles","non-dropping-particle":"","parse-names":false,"suffix":""}],"container-title":"Food Quality and Preference","id":"ITEM-1","issued":{"date-parts":[["2017"]]},"page":"340-351","publisher":"Elsevier Ltd","title":"Thinking inside the box: How seeing products on, or through, the packaging influences consumer perceptions and purchase behaviour","type":"article-journal","volume":"62"},"uris":["http://www.mendeley.com/documents/?uuid=a548b1a1-f736-4564-ad00-ad4d66a1d178","http://www.mendeley.com/documents/?uuid=2b3c5b38-ed87-414e-a3d6-c821440e40a9"]},{"id":"ITEM-2","itemData":{"DOI":"10.1016/j.jclepro.2017.06.036","ISBN":"09596526","ISSN":"09596526","abstract":"Building on theories of cue utilization, this paper investigates whether and how packaging sustainability influences consumer perceptions, inferences and attitudes towards packaged products. A framework is tested in an empirical study among 249 students using soup products varying in packaging material and graphics. The findings show that (packaging) sustainability is a highly salient association but is only moderately important for consumer attitudes. A comparison between consumer judgments and life-cycle assessment indicates that consumers rely on misleading, inaccurate lay beliefs to judge packaging sustainability and are therefore susceptible to making ineffective environmental decisions. The research also demonstrates the power of packaging in shaping perceptions of food products. Particularly, it shows that changes in actual environmental impacts (by altering packaging materials) affect not only sustainability perceptions but also several other benefits, such as perceived taste and quality. At the same time, consumers' sustainability assessments are also highly influenced by mere graphical packaging cues that have no obvious actual sustainability consequences.","author":[{"dropping-particle":"","family":"Steenis","given":"Nigel D.","non-dropping-particle":"","parse-names":false,"suffix":""},{"dropping-particle":"","family":"Herpen","given":"Erica","non-dropping-particle":"van","parse-names":false,"suffix":""},{"dropping-particle":"","family":"Lans","given":"Ivo A.","non-dropping-particle":"van der","parse-names":false,"suffix":""},{"dropping-particle":"","family":"Ligthart","given":"Tom N.","non-dropping-particle":"","parse-names":false,"suffix":""},{"dropping-particle":"","family":"Trijp","given":"Hans C.M.","non-dropping-particle":"van","parse-names":false,"suffix":""}],"container-title":"Journal of Cleaner Production","id":"ITEM-2","issued":{"date-parts":[["2017"]]},"page":"286-298","publisher":"Elsevier Ltd","title":"Consumer response to packaging design: The role of packaging materials and graphics in sustainability perceptions and product evaluations","type":"article-journal","volume":"162"},"uris":["http://www.mendeley.com/documents/?uuid=dd045cbe-a665-49a7-9ee7-cf45d9d3e30b","http://www.mendeley.com/documents/?uuid=341e2716-bb9d-4830-989d-eb81ab98a601","http://www.mendeley.com/documents/?uuid=02d5e138-43fc-4faa-8e60-73bdb0077984"]},{"id":"ITEM-3","itemData":{"DOI":"10.1016/j.foodqual.2016.06.006","ISBN":"0001-6837 (Print)\\n0001-6837 (Linking)","ISSN":"09503293","PMID":"19172857","abstract":"In this paper, we test the influence of packaging sustainability on consumers’ perceived quality of food products using two experiments featuring raisins, chocolate bars and coffee. First, the results show that the perceived quality of a food product is more positive when it is packed in a sustainable packaging than when it is packed in a conventional packaging. Next, we demonstrate that product sustainability moderates the influence of packaging sustainability. Finally, we show that the perceived naturalness of the product induced by package and product sustainability explains the perception of product quality.","author":[{"dropping-particle":"","family":"Magnier","given":"Lise","non-dropping-particle":"","parse-names":false,"suffix":""},{"dropping-particle":"","family":"Schoormans","given":"Jan","non-dropping-particle":"","parse-names":false,"suffix":""},{"dropping-particle":"","family":"Mugge","given":"Ruth","non-dropping-particle":"","parse-names":false,"suffix":""}],"container-title":"Food Quality and Preference","id":"ITEM-3","issued":{"date-parts":[["2016"]]},"page":"132-142","title":"Judging a product by its cover: Packaging sustainability and perceptions of quality in food products","type":"article-journal","volume":"53"},"uris":["http://www.mendeley.com/documents/?uuid=7507484a-b755-42e4-8be3-bd289b74bf1c"]}],"mendeley":{"formattedCitation":"(Magnier et al., 2016; Simmonds &amp; Spence, 2017; Steenis et al., 2017)","plainTextFormattedCitation":"(Magnier et al., 2016; Simmonds &amp; Spence, 2017; Steenis et al., 2017)","previouslyFormattedCitation":"(Magnier et al., 2016; Simmonds &amp; Spence, 2017; Steenis et al., 2017)"},"properties":{"noteIndex":0},"schema":"https://github.com/citation-style-language/schema/raw/master/csl-citation.json"}</w:instrText>
      </w:r>
      <w:r w:rsidR="00F85739">
        <w:fldChar w:fldCharType="separate"/>
      </w:r>
      <w:r w:rsidR="00A33BE3" w:rsidRPr="00A33BE3">
        <w:rPr>
          <w:noProof/>
        </w:rPr>
        <w:t>(Magnier et al., 2016; Simmonds &amp; Spence, 2017; Steenis et al., 2017)</w:t>
      </w:r>
      <w:r w:rsidR="00F85739">
        <w:fldChar w:fldCharType="end"/>
      </w:r>
      <w:r w:rsidR="00AA166D" w:rsidRPr="00AA166D">
        <w:t xml:space="preserve"> established how structural (material type, shape, size, weight and texture), graphical (colours, imagery, graphics and typewriting) and verbal (explicit textual information available on the package) elements can be drivers for a sustainable implicit and explicit message to the user.</w:t>
      </w:r>
      <w:r w:rsidR="00AA166D">
        <w:t xml:space="preserve"> </w:t>
      </w:r>
      <w:r w:rsidR="004D67D4">
        <w:fldChar w:fldCharType="begin" w:fldLock="1"/>
      </w:r>
      <w:r w:rsidR="004B4708">
        <w:instrText>ADDIN CSL_CITATION {"citationItems":[{"id":"ITEM-1","itemData":{"DOI":"10.1016/j.jclepro.2017.06.036","ISBN":"09596526","ISSN":"09596526","abstract":"Building on theories of cue utilization, this paper investigates whether and how packaging sustainability influences consumer perceptions, inferences and attitudes towards packaged products. A framework is tested in an empirical study among 249 students using soup products varying in packaging material and graphics. The findings show that (packaging) sustainability is a highly salient association but is only moderately important for consumer attitudes. A comparison between consumer judgments and life-cycle assessment indicates that consumers rely on misleading, inaccurate lay beliefs to judge packaging sustainability and are therefore susceptible to making ineffective environmental decisions. The research also demonstrates the power of packaging in shaping perceptions of food products. Particularly, it shows that changes in actual environmental impacts (by altering packaging materials) affect not only sustainability perceptions but also several other benefits, such as perceived taste and quality. At the same time, consumers' sustainability assessments are also highly influenced by mere graphical packaging cues that have no obvious actual sustainability consequences.","author":[{"dropping-particle":"","family":"Steenis","given":"Nigel D.","non-dropping-particle":"","parse-names":false,"suffix":""},{"dropping-particle":"","family":"Herpen","given":"Erica","non-dropping-particle":"van","parse-names":false,"suffix":""},{"dropping-particle":"","family":"Lans","given":"Ivo A.","non-dropping-particle":"van der","parse-names":false,"suffix":""},{"dropping-particle":"","family":"Ligthart","given":"Tom N.","non-dropping-particle":"","parse-names":false,"suffix":""},{"dropping-particle":"","family":"Trijp","given":"Hans C.M.","non-dropping-particle":"van","parse-names":false,"suffix":""}],"container-title":"Journal of Cleaner Production","id":"ITEM-1","issued":{"date-parts":[["2017"]]},"page":"286-298","publisher":"Elsevier Ltd","title":"Consumer response to packaging design: The role of packaging materials and graphics in sustainability perceptions and product evaluations","type":"article-journal","volume":"162"},"uris":["http://www.mendeley.com/documents/?uuid=dd045cbe-a665-49a7-9ee7-cf45d9d3e30b","http://www.mendeley.com/documents/?uuid=341e2716-bb9d-4830-989d-eb81ab98a601"]}],"mendeley":{"formattedCitation":"(Steenis et al., 2017)","manualFormatting":"Steenis et al.","plainTextFormattedCitation":"(Steenis et al., 2017)","previouslyFormattedCitation":"(Steenis et al., 2017)"},"properties":{"noteIndex":0},"schema":"https://github.com/citation-style-language/schema/raw/master/csl-citation.json"}</w:instrText>
      </w:r>
      <w:r w:rsidR="004D67D4">
        <w:fldChar w:fldCharType="separate"/>
      </w:r>
      <w:r w:rsidR="004D67D4" w:rsidRPr="004D67D4">
        <w:rPr>
          <w:noProof/>
        </w:rPr>
        <w:t>Steenis et al.</w:t>
      </w:r>
      <w:r w:rsidR="004D67D4">
        <w:fldChar w:fldCharType="end"/>
      </w:r>
      <w:r>
        <w:t xml:space="preserve"> 2017</w:t>
      </w:r>
      <w:r w:rsidR="004D67D4">
        <w:t xml:space="preserve"> </w:t>
      </w:r>
      <w:r w:rsidR="00AA166D" w:rsidRPr="00AA166D">
        <w:t xml:space="preserve">investigated the </w:t>
      </w:r>
      <w:r w:rsidR="007B6373">
        <w:t xml:space="preserve">product </w:t>
      </w:r>
      <w:r w:rsidR="00AA166D" w:rsidRPr="00AA166D">
        <w:t xml:space="preserve">features that </w:t>
      </w:r>
      <w:r w:rsidR="00563EA5">
        <w:t>drives</w:t>
      </w:r>
      <w:r w:rsidR="00563EA5" w:rsidRPr="00AA166D">
        <w:t xml:space="preserve"> </w:t>
      </w:r>
      <w:r w:rsidR="00AA166D" w:rsidRPr="00AA166D">
        <w:t xml:space="preserve">consumers to </w:t>
      </w:r>
      <w:r>
        <w:t>purchase</w:t>
      </w:r>
      <w:r w:rsidR="007B6373">
        <w:t xml:space="preserve"> </w:t>
      </w:r>
      <w:r w:rsidR="00AA166D" w:rsidRPr="00AA166D">
        <w:t xml:space="preserve">sustainable packaged products. The outcome of consumer </w:t>
      </w:r>
      <w:r w:rsidR="00563EA5">
        <w:t>associations</w:t>
      </w:r>
      <w:r w:rsidR="00563EA5" w:rsidRPr="00AA166D">
        <w:t xml:space="preserve"> </w:t>
      </w:r>
      <w:r w:rsidR="00AA166D" w:rsidRPr="00AA166D">
        <w:t>o</w:t>
      </w:r>
      <w:r w:rsidR="00563EA5">
        <w:t>n</w:t>
      </w:r>
      <w:r w:rsidR="00AA166D" w:rsidRPr="00AA166D">
        <w:t xml:space="preserve"> packaging sustainability were</w:t>
      </w:r>
      <w:r w:rsidR="00563EA5">
        <w:t xml:space="preserve"> then</w:t>
      </w:r>
      <w:r w:rsidR="00AA166D" w:rsidRPr="00AA166D">
        <w:t xml:space="preserve"> compared </w:t>
      </w:r>
      <w:r w:rsidR="00563EA5">
        <w:t>to</w:t>
      </w:r>
      <w:r w:rsidR="00AA166D" w:rsidRPr="00AA166D">
        <w:t xml:space="preserve"> </w:t>
      </w:r>
      <w:r w:rsidR="00563EA5">
        <w:t xml:space="preserve">the analysis of </w:t>
      </w:r>
      <w:r w:rsidR="00AA166D" w:rsidRPr="00AA166D">
        <w:t>Life Cycle Assessment (LCA)</w:t>
      </w:r>
      <w:r w:rsidR="00F85739">
        <w:t xml:space="preserve">. </w:t>
      </w:r>
      <w:r w:rsidR="00563EA5">
        <w:t xml:space="preserve">The results showed </w:t>
      </w:r>
      <w:r w:rsidR="00AA166D" w:rsidRPr="00AA166D">
        <w:t xml:space="preserve">that consumers </w:t>
      </w:r>
      <w:r w:rsidR="00563EA5">
        <w:t xml:space="preserve">were not able to </w:t>
      </w:r>
      <w:r w:rsidR="00AA166D" w:rsidRPr="00AA166D">
        <w:t xml:space="preserve">recognize the real </w:t>
      </w:r>
      <w:r w:rsidR="00563EA5">
        <w:t>range</w:t>
      </w:r>
      <w:r w:rsidR="00563EA5" w:rsidRPr="00AA166D">
        <w:t xml:space="preserve"> </w:t>
      </w:r>
      <w:r w:rsidR="00AA166D" w:rsidRPr="00AA166D">
        <w:t xml:space="preserve">of </w:t>
      </w:r>
      <w:r w:rsidR="00563EA5" w:rsidRPr="00AA166D">
        <w:t xml:space="preserve">product </w:t>
      </w:r>
      <w:r w:rsidR="00AA166D" w:rsidRPr="00AA166D">
        <w:t xml:space="preserve">sustainability and </w:t>
      </w:r>
      <w:r w:rsidR="007B6373" w:rsidRPr="00563EA5">
        <w:rPr>
          <w:lang w:val="en-US"/>
        </w:rPr>
        <w:t xml:space="preserve">their judgment was mainly drived by their perception </w:t>
      </w:r>
      <w:r w:rsidR="007B6373">
        <w:rPr>
          <w:lang w:val="en-US"/>
        </w:rPr>
        <w:t>about</w:t>
      </w:r>
      <w:r w:rsidR="004C3BCA">
        <w:rPr>
          <w:lang w:val="en-US"/>
        </w:rPr>
        <w:t xml:space="preserve"> packaging</w:t>
      </w:r>
      <w:r w:rsidR="007B6373">
        <w:rPr>
          <w:lang w:val="en-US"/>
        </w:rPr>
        <w:t xml:space="preserve"> material sustainability</w:t>
      </w:r>
      <w:r w:rsidR="00AA166D" w:rsidRPr="00AA166D">
        <w:t>.</w:t>
      </w:r>
      <w:r w:rsidR="00DB72D0">
        <w:t xml:space="preserve"> </w:t>
      </w:r>
      <w:r w:rsidR="002060DB">
        <w:t xml:space="preserve">Literature </w:t>
      </w:r>
      <w:r w:rsidR="00075871" w:rsidRPr="00075871">
        <w:t>analys</w:t>
      </w:r>
      <w:r w:rsidR="00075871">
        <w:t>is permitted</w:t>
      </w:r>
      <w:r w:rsidR="00075871" w:rsidRPr="00075871">
        <w:t xml:space="preserve"> to highlight </w:t>
      </w:r>
      <w:r w:rsidR="00434DF6" w:rsidRPr="009821DA">
        <w:t>a research gap</w:t>
      </w:r>
      <w:r w:rsidR="00434DF6">
        <w:t>.</w:t>
      </w:r>
      <w:r w:rsidR="00E85A6B">
        <w:t xml:space="preserve"> </w:t>
      </w:r>
      <w:r w:rsidR="00E85A6B" w:rsidRPr="008F7911">
        <w:t xml:space="preserve">This research aims at expanding current knowledge of compostable materials perceptual attributes and investigating </w:t>
      </w:r>
      <w:r w:rsidR="00184256" w:rsidRPr="009821DA">
        <w:t>the gestures and senses involved in packaging exploration before disposal.</w:t>
      </w:r>
      <w:r w:rsidR="00EE3922">
        <w:t xml:space="preserve"> </w:t>
      </w:r>
      <w:r w:rsidR="00184256" w:rsidRPr="009821DA">
        <w:t>This research presents the outcomes from a qualitative user testing activity conducted to answer these questions:</w:t>
      </w:r>
      <w:r w:rsidR="00DB72D0">
        <w:t xml:space="preserve"> </w:t>
      </w:r>
      <w:r w:rsidR="00075871">
        <w:t xml:space="preserve"> </w:t>
      </w:r>
    </w:p>
    <w:p w14:paraId="09A5F2BE" w14:textId="3B2BFA61" w:rsidR="00EE3922" w:rsidRDefault="002060DB" w:rsidP="00EE3922">
      <w:pPr>
        <w:pStyle w:val="ParagraphX"/>
      </w:pPr>
      <w:r>
        <w:t>RQ1:</w:t>
      </w:r>
      <w:r w:rsidR="00EE3922">
        <w:t xml:space="preserve"> </w:t>
      </w:r>
      <w:r w:rsidR="00292A75">
        <w:t>D</w:t>
      </w:r>
      <w:r w:rsidR="00292A75" w:rsidRPr="00A02E57">
        <w:t>o the materials</w:t>
      </w:r>
      <w:r w:rsidR="00292A75">
        <w:t xml:space="preserve"> </w:t>
      </w:r>
      <w:r w:rsidR="00292A75" w:rsidRPr="00075871">
        <w:t>(prove</w:t>
      </w:r>
      <w:r w:rsidR="00292A75">
        <w:t>n</w:t>
      </w:r>
      <w:r w:rsidR="00292A75" w:rsidRPr="00075871">
        <w:t xml:space="preserve"> to be a relevant factor </w:t>
      </w:r>
      <w:r w:rsidR="00292A75">
        <w:t>in</w:t>
      </w:r>
      <w:r w:rsidR="00292A75" w:rsidRPr="00075871">
        <w:t xml:space="preserve"> packaging perception) </w:t>
      </w:r>
      <w:r w:rsidR="00292A75" w:rsidRPr="00A02E57">
        <w:t>used in the packaging already have sensorial-littering correlations</w:t>
      </w:r>
      <w:r w:rsidR="00292A75">
        <w:t xml:space="preserve"> in consumers</w:t>
      </w:r>
      <w:r w:rsidR="00292A75" w:rsidRPr="00A02E57">
        <w:t>? Which?</w:t>
      </w:r>
      <w:r w:rsidR="00292A75">
        <w:t xml:space="preserve"> </w:t>
      </w:r>
    </w:p>
    <w:p w14:paraId="7E13A3E5" w14:textId="5F205F6C" w:rsidR="00EE3922" w:rsidRDefault="00A02E57" w:rsidP="00EE3922">
      <w:pPr>
        <w:pStyle w:val="ParagraphX"/>
      </w:pPr>
      <w:r>
        <w:t xml:space="preserve">RQ2: </w:t>
      </w:r>
      <w:r w:rsidR="00292A75">
        <w:t>H</w:t>
      </w:r>
      <w:r w:rsidR="00292A75" w:rsidRPr="00EE3922">
        <w:t>ow does the user analyze the pac</w:t>
      </w:r>
      <w:r w:rsidR="00292A75">
        <w:t>kaging before throwing it away? Which</w:t>
      </w:r>
      <w:r w:rsidR="00292A75" w:rsidRPr="00EE3922">
        <w:t xml:space="preserve"> are the senses involved and what are the assumptions that he makes in the association with the waste stream</w:t>
      </w:r>
      <w:r w:rsidR="00292A75">
        <w:t>?</w:t>
      </w:r>
    </w:p>
    <w:p w14:paraId="0EB8FFED" w14:textId="633A35F1" w:rsidR="00EE3922" w:rsidRDefault="002060DB" w:rsidP="00EE3922">
      <w:pPr>
        <w:pStyle w:val="ParagraphX"/>
        <w:rPr>
          <w:color w:val="FF0000"/>
        </w:rPr>
      </w:pPr>
      <w:r>
        <w:t>RQ</w:t>
      </w:r>
      <w:r w:rsidR="00A02E57">
        <w:t>3</w:t>
      </w:r>
      <w:r>
        <w:t xml:space="preserve">: </w:t>
      </w:r>
      <w:r w:rsidR="00A02E57" w:rsidRPr="00A02E57">
        <w:t xml:space="preserve">Do the new bioplastic </w:t>
      </w:r>
      <w:r w:rsidR="00A02E57">
        <w:t>packag</w:t>
      </w:r>
      <w:r w:rsidR="004A23B2">
        <w:t>es</w:t>
      </w:r>
      <w:r w:rsidR="00A02E57" w:rsidRPr="00A02E57">
        <w:t xml:space="preserve"> have this connotation of </w:t>
      </w:r>
      <w:r w:rsidR="00A02E57">
        <w:t>recognizability for the user? O</w:t>
      </w:r>
      <w:r w:rsidR="00A02E57" w:rsidRPr="00A02E57">
        <w:t>r are they associated with other waste streams?</w:t>
      </w:r>
      <w:r w:rsidR="00DB72D0">
        <w:t xml:space="preserve"> </w:t>
      </w:r>
    </w:p>
    <w:p w14:paraId="7A5FF81F" w14:textId="552C3C65" w:rsidR="0074355B" w:rsidRDefault="0074355B" w:rsidP="00DE4439">
      <w:pPr>
        <w:pStyle w:val="ParagraphHeadingX"/>
      </w:pPr>
      <w:r w:rsidRPr="00701E22">
        <w:t xml:space="preserve">3. </w:t>
      </w:r>
      <w:r w:rsidR="002D54CC">
        <w:t>RESEARCH METHOD</w:t>
      </w:r>
      <w:r w:rsidR="00701E22" w:rsidRPr="00701E22">
        <w:t xml:space="preserve"> </w:t>
      </w:r>
    </w:p>
    <w:p w14:paraId="445EA704" w14:textId="69C8731E" w:rsidR="004715EF" w:rsidRDefault="009133B9" w:rsidP="003A6572">
      <w:pPr>
        <w:pStyle w:val="ParagraphX"/>
      </w:pPr>
      <w:r>
        <w:fldChar w:fldCharType="begin" w:fldLock="1"/>
      </w:r>
      <w:r w:rsidR="004B4708">
        <w:instrText>ADDIN CSL_CITATION {"citationItems":[{"id":"ITEM-1","itemData":{"DOI":"10.1016/j.jenvp.2010.03.001","ISBN":"0272-4944","ISSN":"02724944","abstract":"This paper examines a first version of a Comprehensive Action Determination Model (CADM) of ecological behaviour that incorporates intentional, normative, situational, and habitual influences on environmentally friendly behaviour. The main assumptions of the theory of planned behaviour (TPB), the norm-activation model (NAM), the theoretical concept of habit and the ipsative theory of behaviour were integrated into a comprehensive model. The model was tested using a structural equation modelling approach on a sample of 389 students in the domain of travel mode choice and compared to established less comprehensive models (TPB, NAM and a combination of both). The results show that all compared models had a good to excellent model fit and explained a substantial amount of variation in travel mode choice. The CADM, however, explained the greatest degree of variation as compared with the other models, at 65%. Subjective and objective situational constraints were responsible for most of the variation in travel mode choice in the CADM, but intentions and habits also had a significant impact. The influence of social and personal norms was mediated by habits and intention, while habits moderated the relationship between intention and behaviour. The importance of the CADM as a framework for other domains of ecological behaviour is also discussed. © 2010 Elsevier Ltd.","author":[{"dropping-particle":"","family":"Klöckner","given":"Christian A.","non-dropping-particle":"","parse-names":false,"suffix":""},{"dropping-particle":"","family":"Blöbaum","given":"Anke","non-dropping-particle":"","parse-names":false,"suffix":""}],"container-title":"Journal of Environmental Psychology","id":"ITEM-1","issue":"4","issued":{"date-parts":[["2010"]]},"page":"574-586","publisher":"Elsevier Ltd","title":"A comprehensive action determination model: Toward a broader understanding of ecological behaviour using the example of travel mode choice","type":"article-journal","volume":"30"},"uris":["http://www.mendeley.com/documents/?uuid=aa49cd39-7f32-4536-9589-22e93525a6bb","http://www.mendeley.com/documents/?uuid=ad966388-ffb0-4621-8404-33b7879a4023"]}],"mendeley":{"formattedCitation":"(Klöckner &amp; Blöbaum, 2010)","manualFormatting":"Klöckner &amp; Blöbaum in 2010","plainTextFormattedCitation":"(Klöckner &amp; Blöbaum, 2010)","previouslyFormattedCitation":"(Klöckner &amp; Blöbaum, 2010)"},"properties":{"noteIndex":0},"schema":"https://github.com/citation-style-language/schema/raw/master/csl-citation.json"}</w:instrText>
      </w:r>
      <w:r>
        <w:fldChar w:fldCharType="separate"/>
      </w:r>
      <w:r w:rsidRPr="009133B9">
        <w:rPr>
          <w:noProof/>
        </w:rPr>
        <w:t>Klöckner &amp; Blöbaum</w:t>
      </w:r>
      <w:r>
        <w:rPr>
          <w:noProof/>
        </w:rPr>
        <w:t xml:space="preserve"> in</w:t>
      </w:r>
      <w:r w:rsidRPr="009133B9">
        <w:rPr>
          <w:noProof/>
        </w:rPr>
        <w:t xml:space="preserve"> 2010</w:t>
      </w:r>
      <w:r>
        <w:fldChar w:fldCharType="end"/>
      </w:r>
      <w:r>
        <w:t xml:space="preserve"> </w:t>
      </w:r>
      <w:r w:rsidRPr="009133B9">
        <w:t xml:space="preserve">presented a Comprehensive Action Determination Model (CADM) that systematizes the factors influencing an ecological </w:t>
      </w:r>
      <w:r w:rsidR="004A23B2" w:rsidRPr="009133B9">
        <w:t>behaviour</w:t>
      </w:r>
      <w:r w:rsidRPr="009133B9">
        <w:t xml:space="preserve">. This tool </w:t>
      </w:r>
      <w:r>
        <w:t>have been studied</w:t>
      </w:r>
      <w:r w:rsidRPr="009133B9">
        <w:t xml:space="preserve"> in this research </w:t>
      </w:r>
      <w:r w:rsidRPr="009133B9">
        <w:lastRenderedPageBreak/>
        <w:t>to select a user centred design appropriate method</w:t>
      </w:r>
      <w:r>
        <w:t xml:space="preserve"> for conducting the activities</w:t>
      </w:r>
      <w:r w:rsidRPr="009133B9">
        <w:t>.</w:t>
      </w:r>
      <w:r w:rsidR="004715EF">
        <w:t xml:space="preserve"> </w:t>
      </w:r>
      <w:r w:rsidR="004715EF" w:rsidRPr="004715EF">
        <w:t>Compar</w:t>
      </w:r>
      <w:r w:rsidR="004715EF">
        <w:t xml:space="preserve">ing User centred tools and the objectives of the study, is intended to explore </w:t>
      </w:r>
      <w:r w:rsidR="004715EF" w:rsidRPr="004715EF">
        <w:t xml:space="preserve">internal factors that is what people think and external </w:t>
      </w:r>
      <w:r w:rsidR="004715EF">
        <w:t xml:space="preserve">ones </w:t>
      </w:r>
      <w:r w:rsidR="004715EF" w:rsidRPr="004715EF">
        <w:t xml:space="preserve">to understand what </w:t>
      </w:r>
      <w:r w:rsidR="004715EF">
        <w:t>people do. T</w:t>
      </w:r>
      <w:r w:rsidR="004715EF" w:rsidRPr="004715EF">
        <w:t>herefore</w:t>
      </w:r>
      <w:r w:rsidR="004715EF">
        <w:t xml:space="preserve"> is </w:t>
      </w:r>
      <w:r w:rsidR="004715EF" w:rsidRPr="004715EF">
        <w:t xml:space="preserve">necessary to adopt two </w:t>
      </w:r>
      <w:r w:rsidR="004715EF">
        <w:t xml:space="preserve">main research </w:t>
      </w:r>
      <w:r w:rsidR="004715EF" w:rsidRPr="004715EF">
        <w:t xml:space="preserve">methods respectively: verbal protocol and user testing associated with </w:t>
      </w:r>
      <w:r w:rsidR="004715EF">
        <w:t xml:space="preserve">a </w:t>
      </w:r>
      <w:r w:rsidR="004715EF" w:rsidRPr="004715EF">
        <w:t xml:space="preserve">continuous observation. This </w:t>
      </w:r>
      <w:r w:rsidR="004715EF">
        <w:t>combination</w:t>
      </w:r>
      <w:r w:rsidR="004715EF" w:rsidRPr="004715EF">
        <w:t xml:space="preserve"> of tools will make it possible to study the user in his / her own: beliefs, attitudes, intentions, </w:t>
      </w:r>
      <w:r w:rsidR="004A23B2">
        <w:t>subjective</w:t>
      </w:r>
      <w:r w:rsidR="004715EF" w:rsidRPr="004715EF">
        <w:t xml:space="preserve"> constrains, social norms, personal norms, values (Verbal protocols), objective constraints (user testing and </w:t>
      </w:r>
      <w:r w:rsidR="000A52A2" w:rsidRPr="004715EF">
        <w:t>observation</w:t>
      </w:r>
      <w:r w:rsidR="004715EF" w:rsidRPr="004715EF">
        <w:t>)</w:t>
      </w:r>
      <w:r w:rsidR="004715EF">
        <w:t>.</w:t>
      </w:r>
      <w:r w:rsidR="00EB1B04">
        <w:t xml:space="preserve"> </w:t>
      </w:r>
    </w:p>
    <w:p w14:paraId="5008ED28" w14:textId="1136A5AC" w:rsidR="00FF26D2" w:rsidRDefault="00FF26D2" w:rsidP="00FF26D2">
      <w:pPr>
        <w:pStyle w:val="Heading2X"/>
        <w:jc w:val="left"/>
      </w:pPr>
      <w:r>
        <w:t>3</w:t>
      </w:r>
      <w:r w:rsidRPr="001E5E4D">
        <w:t xml:space="preserve">.1. </w:t>
      </w:r>
      <w:r w:rsidR="00B42FA6">
        <w:t>Test Setting</w:t>
      </w:r>
    </w:p>
    <w:p w14:paraId="3F75B3E0" w14:textId="30045822" w:rsidR="001203FA" w:rsidRDefault="00DE4CB3" w:rsidP="002D54CC">
      <w:pPr>
        <w:pStyle w:val="ParagraphX"/>
      </w:pPr>
      <w:r w:rsidRPr="001203FA">
        <w:t xml:space="preserve">15 </w:t>
      </w:r>
      <w:r w:rsidR="008035B0" w:rsidRPr="001203FA">
        <w:t xml:space="preserve">commercial </w:t>
      </w:r>
      <w:r w:rsidR="004A23B2" w:rsidRPr="001203FA">
        <w:t>food packaging</w:t>
      </w:r>
      <w:r w:rsidR="008035B0" w:rsidRPr="001203FA">
        <w:t>, made of different materials,</w:t>
      </w:r>
      <w:r w:rsidRPr="001203FA">
        <w:t xml:space="preserve"> were selected</w:t>
      </w:r>
      <w:r w:rsidR="004240B0" w:rsidRPr="001203FA">
        <w:t xml:space="preserve"> </w:t>
      </w:r>
      <w:r w:rsidR="001203FA">
        <w:t>among the SUPs typologies.</w:t>
      </w:r>
      <w:r w:rsidRPr="001203FA">
        <w:t xml:space="preserve"> </w:t>
      </w:r>
      <w:r w:rsidRPr="00DE4CB3">
        <w:t xml:space="preserve">These </w:t>
      </w:r>
      <w:r w:rsidR="004A23B2" w:rsidRPr="00DE4CB3">
        <w:t>products</w:t>
      </w:r>
      <w:r w:rsidRPr="00DE4CB3">
        <w:t xml:space="preserve"> have been categorized according to their destination at the end of their life</w:t>
      </w:r>
      <w:r w:rsidR="008035B0">
        <w:t>,</w:t>
      </w:r>
      <w:r w:rsidRPr="00DE4CB3">
        <w:t xml:space="preserve"> according to the provisions of the municipality of Milan</w:t>
      </w:r>
      <w:r w:rsidR="00980F5F">
        <w:t>. P</w:t>
      </w:r>
      <w:r w:rsidR="001203FA">
        <w:t>ackaging</w:t>
      </w:r>
      <w:r w:rsidR="008035B0">
        <w:t xml:space="preserve"> </w:t>
      </w:r>
      <w:r w:rsidR="001203FA">
        <w:t xml:space="preserve">were </w:t>
      </w:r>
      <w:r w:rsidR="00B455A8">
        <w:t>provided in their pristine condition</w:t>
      </w:r>
      <w:r w:rsidR="001203FA">
        <w:t xml:space="preserve">, </w:t>
      </w:r>
      <w:r w:rsidR="001203FA" w:rsidRPr="001203FA">
        <w:t xml:space="preserve">clean and free of </w:t>
      </w:r>
      <w:r w:rsidR="001203FA">
        <w:t xml:space="preserve">printed </w:t>
      </w:r>
      <w:r w:rsidR="001203FA" w:rsidRPr="001203FA">
        <w:t>graphics</w:t>
      </w:r>
      <w:r w:rsidR="001203FA">
        <w:t xml:space="preserve"> elements</w:t>
      </w:r>
      <w:r w:rsidR="008E4CED">
        <w:t xml:space="preserve"> (Figure 1)</w:t>
      </w:r>
      <w:r w:rsidR="001203FA" w:rsidRPr="001203FA">
        <w:t>.</w:t>
      </w:r>
      <w:r w:rsidR="001203FA">
        <w:t xml:space="preserve"> The 15 products (i.e. P1, P2 …) in</w:t>
      </w:r>
      <w:r w:rsidR="00B455A8">
        <w:t xml:space="preserve"> randomised order, could be put into 4 different bins:</w:t>
      </w:r>
      <w:r w:rsidRPr="00DE4CB3">
        <w:t xml:space="preserve"> plastic</w:t>
      </w:r>
      <w:r w:rsidR="00B36FEA">
        <w:t xml:space="preserve"> (n=6)</w:t>
      </w:r>
      <w:r w:rsidRPr="00DE4CB3">
        <w:t>, paper</w:t>
      </w:r>
      <w:r w:rsidR="00B36FEA">
        <w:t xml:space="preserve"> (n=2)</w:t>
      </w:r>
      <w:r w:rsidRPr="00DE4CB3">
        <w:t>, compostable</w:t>
      </w:r>
      <w:r w:rsidR="00B36FEA">
        <w:t xml:space="preserve"> (n=6)</w:t>
      </w:r>
      <w:r w:rsidRPr="00DE4CB3">
        <w:t xml:space="preserve"> </w:t>
      </w:r>
      <w:r w:rsidR="008035B0">
        <w:t>and</w:t>
      </w:r>
      <w:r w:rsidR="008035B0" w:rsidRPr="00DE4CB3">
        <w:t xml:space="preserve"> </w:t>
      </w:r>
      <w:r w:rsidRPr="00DE4CB3">
        <w:t>generic waste</w:t>
      </w:r>
      <w:r w:rsidR="00B36FEA">
        <w:t xml:space="preserve"> (n</w:t>
      </w:r>
      <w:r w:rsidR="00B36FEA" w:rsidRPr="001203FA">
        <w:t>=1)</w:t>
      </w:r>
      <w:r w:rsidR="008E4CED">
        <w:t>, their specific information about materials and disposal are provided in Table 1</w:t>
      </w:r>
      <w:r w:rsidR="001203FA" w:rsidRPr="001203FA">
        <w:t>.</w:t>
      </w:r>
      <w:r w:rsidR="008E4CED">
        <w:t xml:space="preserve"> </w:t>
      </w:r>
    </w:p>
    <w:p w14:paraId="27E3FEC9" w14:textId="45F21ED7" w:rsidR="00DB72D0" w:rsidRDefault="00DB72D0" w:rsidP="002D54CC">
      <w:pPr>
        <w:pStyle w:val="ParagraphX"/>
      </w:pPr>
    </w:p>
    <w:p w14:paraId="7495EC1A" w14:textId="0921F128" w:rsidR="00DB72D0" w:rsidRDefault="00DB72D0" w:rsidP="00DB72D0">
      <w:pPr>
        <w:pStyle w:val="ParagraphX"/>
        <w:jc w:val="center"/>
      </w:pPr>
      <w:r w:rsidRPr="00980F5F">
        <w:rPr>
          <w:noProof/>
          <w:lang w:val="it-IT" w:eastAsia="it-IT"/>
        </w:rPr>
        <w:drawing>
          <wp:inline distT="0" distB="0" distL="0" distR="0" wp14:anchorId="5AEBA8D5" wp14:editId="55ABF85D">
            <wp:extent cx="4072270" cy="1810849"/>
            <wp:effectExtent l="0" t="0" r="4445" b="0"/>
            <wp:docPr id="7" name="Immagine 7" descr="C:\Users\rsanti\OD\PhD\test sensoriale\Foto oggetti\pack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santi\OD\PhD\test sensoriale\Foto oggetti\packages.jpg"/>
                    <pic:cNvPicPr>
                      <a:picLocks noChangeAspect="1" noChangeArrowheads="1"/>
                    </pic:cNvPicPr>
                  </pic:nvPicPr>
                  <pic:blipFill rotWithShape="1">
                    <a:blip r:embed="rId12">
                      <a:extLst>
                        <a:ext uri="{28A0092B-C50C-407E-A947-70E740481C1C}">
                          <a14:useLocalDpi xmlns:a14="http://schemas.microsoft.com/office/drawing/2010/main" val="0"/>
                        </a:ext>
                      </a:extLst>
                    </a:blip>
                    <a:srcRect l="3737" t="22112" r="1137" b="18035"/>
                    <a:stretch/>
                  </pic:blipFill>
                  <pic:spPr bwMode="auto">
                    <a:xfrm>
                      <a:off x="0" y="0"/>
                      <a:ext cx="4184994" cy="1860975"/>
                    </a:xfrm>
                    <a:prstGeom prst="rect">
                      <a:avLst/>
                    </a:prstGeom>
                    <a:noFill/>
                    <a:ln>
                      <a:noFill/>
                    </a:ln>
                    <a:extLst>
                      <a:ext uri="{53640926-AAD7-44D8-BBD7-CCE9431645EC}">
                        <a14:shadowObscured xmlns:a14="http://schemas.microsoft.com/office/drawing/2010/main"/>
                      </a:ext>
                    </a:extLst>
                  </pic:spPr>
                </pic:pic>
              </a:graphicData>
            </a:graphic>
          </wp:inline>
        </w:drawing>
      </w:r>
    </w:p>
    <w:p w14:paraId="1051208D" w14:textId="436A6044" w:rsidR="00DB72D0" w:rsidRPr="00000715" w:rsidRDefault="00DB72D0" w:rsidP="00C01226">
      <w:pPr>
        <w:pStyle w:val="FigurecaptionX"/>
        <w:rPr>
          <w:bCs w:val="0"/>
          <w:sz w:val="17"/>
          <w:szCs w:val="17"/>
        </w:rPr>
      </w:pPr>
      <w:r w:rsidRPr="004F414B">
        <w:t>[</w:t>
      </w:r>
      <w:r>
        <w:t>Figure 1</w:t>
      </w:r>
      <w:r w:rsidRPr="004F414B">
        <w:t>]</w:t>
      </w:r>
      <w:r w:rsidRPr="004F414B">
        <w:rPr>
          <w:sz w:val="17"/>
          <w:szCs w:val="17"/>
        </w:rPr>
        <w:t xml:space="preserve"> </w:t>
      </w:r>
      <w:r w:rsidR="00515F98">
        <w:rPr>
          <w:i/>
          <w:iCs w:val="0"/>
          <w:sz w:val="17"/>
          <w:szCs w:val="17"/>
        </w:rPr>
        <w:t>C</w:t>
      </w:r>
      <w:r w:rsidR="00C01226">
        <w:rPr>
          <w:i/>
          <w:iCs w:val="0"/>
          <w:sz w:val="17"/>
          <w:szCs w:val="17"/>
        </w:rPr>
        <w:t>ommercial Packaging SUPs</w:t>
      </w:r>
      <w:r w:rsidR="00515F98">
        <w:rPr>
          <w:i/>
          <w:iCs w:val="0"/>
          <w:sz w:val="17"/>
          <w:szCs w:val="17"/>
        </w:rPr>
        <w:t xml:space="preserve"> selected</w:t>
      </w:r>
      <w:r w:rsidR="00C01226">
        <w:rPr>
          <w:i/>
          <w:iCs w:val="0"/>
          <w:sz w:val="17"/>
          <w:szCs w:val="17"/>
        </w:rPr>
        <w:t xml:space="preserve"> for the user test</w:t>
      </w:r>
    </w:p>
    <w:p w14:paraId="76A82AAD" w14:textId="77777777" w:rsidR="00DB72D0" w:rsidRDefault="00DB72D0" w:rsidP="00DB72D0">
      <w:pPr>
        <w:pStyle w:val="TitleTableX"/>
      </w:pPr>
    </w:p>
    <w:p w14:paraId="5275FBAF" w14:textId="3F7C8E4B" w:rsidR="00DB72D0" w:rsidRDefault="00DB72D0" w:rsidP="00DB72D0">
      <w:pPr>
        <w:pStyle w:val="TitleTableX"/>
      </w:pPr>
      <w:r w:rsidRPr="004F414B">
        <w:t>[</w:t>
      </w:r>
      <w:r>
        <w:t xml:space="preserve">Table </w:t>
      </w:r>
      <w:r w:rsidR="00733435">
        <w:t>1</w:t>
      </w:r>
      <w:r w:rsidRPr="004F414B">
        <w:t>]</w:t>
      </w:r>
      <w:r w:rsidRPr="00701E22">
        <w:t xml:space="preserve"> </w:t>
      </w:r>
      <w:r w:rsidR="00733435">
        <w:rPr>
          <w:rFonts w:eastAsia="Times New Roman"/>
          <w:i/>
          <w:iCs/>
          <w:sz w:val="17"/>
          <w:szCs w:val="17"/>
        </w:rPr>
        <w:t xml:space="preserve">Selected </w:t>
      </w:r>
      <w:r w:rsidR="00C01226">
        <w:rPr>
          <w:rFonts w:eastAsia="Times New Roman"/>
          <w:i/>
          <w:iCs/>
          <w:sz w:val="17"/>
          <w:szCs w:val="17"/>
        </w:rPr>
        <w:t>Packaging</w:t>
      </w:r>
      <w:r w:rsidR="00733435">
        <w:rPr>
          <w:rFonts w:eastAsia="Times New Roman"/>
          <w:i/>
          <w:iCs/>
          <w:sz w:val="17"/>
          <w:szCs w:val="17"/>
        </w:rPr>
        <w:t xml:space="preserve"> SUPs categorized by type, materials and Right disposal bin</w:t>
      </w:r>
    </w:p>
    <w:tbl>
      <w:tblPr>
        <w:tblW w:w="7376" w:type="dxa"/>
        <w:jc w:val="center"/>
        <w:tblCellMar>
          <w:left w:w="0" w:type="dxa"/>
          <w:right w:w="0" w:type="dxa"/>
        </w:tblCellMar>
        <w:tblLook w:val="0600" w:firstRow="0" w:lastRow="0" w:firstColumn="0" w:lastColumn="0" w:noHBand="1" w:noVBand="1"/>
      </w:tblPr>
      <w:tblGrid>
        <w:gridCol w:w="714"/>
        <w:gridCol w:w="835"/>
        <w:gridCol w:w="4395"/>
        <w:gridCol w:w="1432"/>
      </w:tblGrid>
      <w:tr w:rsidR="001203FA" w:rsidRPr="007E17F9" w14:paraId="6F4CE5F7" w14:textId="77777777" w:rsidTr="00B42FA6">
        <w:trPr>
          <w:trHeight w:val="239"/>
          <w:jc w:val="center"/>
        </w:trPr>
        <w:tc>
          <w:tcPr>
            <w:tcW w:w="715"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1760300A" w14:textId="77777777" w:rsidR="001203FA" w:rsidRPr="00C13B0D" w:rsidRDefault="001203FA" w:rsidP="007B5794">
            <w:pPr>
              <w:pStyle w:val="ParagraphX"/>
              <w:jc w:val="center"/>
              <w:rPr>
                <w:b/>
                <w:sz w:val="18"/>
                <w:szCs w:val="18"/>
              </w:rPr>
            </w:pPr>
            <w:r w:rsidRPr="00C13B0D">
              <w:rPr>
                <w:b/>
                <w:sz w:val="18"/>
                <w:szCs w:val="18"/>
              </w:rPr>
              <w:t>Prod.n.</w:t>
            </w:r>
          </w:p>
        </w:tc>
        <w:tc>
          <w:tcPr>
            <w:tcW w:w="816"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601FBEC1" w14:textId="77777777" w:rsidR="001203FA" w:rsidRPr="00C13B0D" w:rsidRDefault="001203FA" w:rsidP="007B5794">
            <w:pPr>
              <w:pStyle w:val="ParagraphX"/>
              <w:jc w:val="center"/>
              <w:rPr>
                <w:b/>
                <w:sz w:val="18"/>
                <w:szCs w:val="18"/>
              </w:rPr>
            </w:pPr>
            <w:r w:rsidRPr="00C13B0D">
              <w:rPr>
                <w:b/>
                <w:sz w:val="18"/>
                <w:szCs w:val="18"/>
              </w:rPr>
              <w:t>Type</w:t>
            </w:r>
          </w:p>
        </w:tc>
        <w:tc>
          <w:tcPr>
            <w:tcW w:w="441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3CE5EB1F" w14:textId="77777777" w:rsidR="001203FA" w:rsidRPr="00C13B0D" w:rsidRDefault="001203FA" w:rsidP="007B5794">
            <w:pPr>
              <w:pStyle w:val="ParagraphX"/>
              <w:jc w:val="center"/>
              <w:rPr>
                <w:b/>
                <w:sz w:val="18"/>
                <w:szCs w:val="18"/>
              </w:rPr>
            </w:pPr>
            <w:r w:rsidRPr="00C13B0D">
              <w:rPr>
                <w:b/>
                <w:sz w:val="18"/>
                <w:szCs w:val="18"/>
              </w:rPr>
              <w:t>Material</w:t>
            </w:r>
          </w:p>
        </w:tc>
        <w:tc>
          <w:tcPr>
            <w:tcW w:w="1435"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5B79EB83" w14:textId="01AD821F" w:rsidR="001203FA" w:rsidRPr="00C13B0D" w:rsidRDefault="001203FA" w:rsidP="001203FA">
            <w:pPr>
              <w:pStyle w:val="ParagraphX"/>
              <w:jc w:val="center"/>
              <w:rPr>
                <w:b/>
                <w:sz w:val="18"/>
                <w:szCs w:val="18"/>
              </w:rPr>
            </w:pPr>
            <w:r w:rsidRPr="00C13B0D">
              <w:rPr>
                <w:b/>
                <w:sz w:val="18"/>
                <w:szCs w:val="18"/>
              </w:rPr>
              <w:t>Right Disposal</w:t>
            </w:r>
          </w:p>
        </w:tc>
      </w:tr>
      <w:tr w:rsidR="001203FA" w:rsidRPr="007E17F9" w14:paraId="387C7E32" w14:textId="77777777" w:rsidTr="00B42FA6">
        <w:trPr>
          <w:trHeight w:val="239"/>
          <w:jc w:val="center"/>
        </w:trPr>
        <w:tc>
          <w:tcPr>
            <w:tcW w:w="715"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741F2BB7" w14:textId="77777777" w:rsidR="001203FA" w:rsidRPr="00C13B0D" w:rsidRDefault="001203FA" w:rsidP="007B5794">
            <w:pPr>
              <w:pStyle w:val="ParagraphX"/>
              <w:jc w:val="center"/>
              <w:rPr>
                <w:sz w:val="18"/>
                <w:szCs w:val="18"/>
              </w:rPr>
            </w:pPr>
            <w:r w:rsidRPr="00C13B0D">
              <w:rPr>
                <w:sz w:val="18"/>
                <w:szCs w:val="18"/>
              </w:rPr>
              <w:t>P1</w:t>
            </w:r>
          </w:p>
        </w:tc>
        <w:tc>
          <w:tcPr>
            <w:tcW w:w="816" w:type="dxa"/>
            <w:vMerge w:val="restart"/>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6ADCF667" w14:textId="77777777" w:rsidR="001203FA" w:rsidRPr="00C13B0D" w:rsidRDefault="001203FA" w:rsidP="007B5794">
            <w:pPr>
              <w:pStyle w:val="ParagraphX"/>
              <w:jc w:val="center"/>
              <w:rPr>
                <w:sz w:val="18"/>
                <w:szCs w:val="18"/>
              </w:rPr>
            </w:pPr>
            <w:r w:rsidRPr="00C13B0D">
              <w:rPr>
                <w:sz w:val="18"/>
                <w:szCs w:val="18"/>
              </w:rPr>
              <w:t>Food containers</w:t>
            </w:r>
          </w:p>
        </w:tc>
        <w:tc>
          <w:tcPr>
            <w:tcW w:w="441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39E5AF0D" w14:textId="77777777" w:rsidR="001203FA" w:rsidRPr="00C13B0D" w:rsidRDefault="001203FA" w:rsidP="007B5794">
            <w:pPr>
              <w:pStyle w:val="ParagraphX"/>
              <w:jc w:val="center"/>
              <w:rPr>
                <w:sz w:val="18"/>
                <w:szCs w:val="18"/>
              </w:rPr>
            </w:pPr>
            <w:r w:rsidRPr="00C13B0D">
              <w:rPr>
                <w:sz w:val="18"/>
                <w:szCs w:val="18"/>
              </w:rPr>
              <w:t>Polypropylene</w:t>
            </w:r>
          </w:p>
        </w:tc>
        <w:tc>
          <w:tcPr>
            <w:tcW w:w="1435"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3B795346" w14:textId="77777777" w:rsidR="001203FA" w:rsidRPr="00C13B0D" w:rsidRDefault="001203FA" w:rsidP="007B5794">
            <w:pPr>
              <w:pStyle w:val="ParagraphX"/>
              <w:jc w:val="center"/>
              <w:rPr>
                <w:sz w:val="18"/>
                <w:szCs w:val="18"/>
              </w:rPr>
            </w:pPr>
            <w:r w:rsidRPr="00C13B0D">
              <w:rPr>
                <w:sz w:val="18"/>
                <w:szCs w:val="18"/>
              </w:rPr>
              <w:t>Plastic</w:t>
            </w:r>
          </w:p>
        </w:tc>
      </w:tr>
      <w:tr w:rsidR="001203FA" w:rsidRPr="007E17F9" w14:paraId="24D74421" w14:textId="77777777" w:rsidTr="00B42FA6">
        <w:trPr>
          <w:trHeight w:val="239"/>
          <w:jc w:val="center"/>
        </w:trPr>
        <w:tc>
          <w:tcPr>
            <w:tcW w:w="715"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1B020EDF" w14:textId="77777777" w:rsidR="001203FA" w:rsidRPr="00C13B0D" w:rsidRDefault="001203FA" w:rsidP="007B5794">
            <w:pPr>
              <w:pStyle w:val="ParagraphX"/>
              <w:jc w:val="center"/>
              <w:rPr>
                <w:sz w:val="18"/>
                <w:szCs w:val="18"/>
              </w:rPr>
            </w:pPr>
            <w:r w:rsidRPr="00C13B0D">
              <w:rPr>
                <w:sz w:val="18"/>
                <w:szCs w:val="18"/>
              </w:rPr>
              <w:t>P2</w:t>
            </w:r>
          </w:p>
        </w:tc>
        <w:tc>
          <w:tcPr>
            <w:tcW w:w="816" w:type="dxa"/>
            <w:vMerge/>
            <w:tcBorders>
              <w:top w:val="single" w:sz="8" w:space="0" w:color="000000"/>
              <w:left w:val="single" w:sz="8" w:space="0" w:color="000000"/>
              <w:bottom w:val="single" w:sz="8" w:space="0" w:color="000000"/>
              <w:right w:val="single" w:sz="8" w:space="0" w:color="000000"/>
            </w:tcBorders>
            <w:vAlign w:val="center"/>
            <w:hideMark/>
          </w:tcPr>
          <w:p w14:paraId="39013829" w14:textId="77777777" w:rsidR="001203FA" w:rsidRPr="00C13B0D" w:rsidRDefault="001203FA" w:rsidP="007B5794">
            <w:pPr>
              <w:pStyle w:val="ParagraphX"/>
              <w:jc w:val="center"/>
              <w:rPr>
                <w:sz w:val="18"/>
                <w:szCs w:val="18"/>
              </w:rPr>
            </w:pPr>
          </w:p>
        </w:tc>
        <w:tc>
          <w:tcPr>
            <w:tcW w:w="441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7ED44ABE" w14:textId="77777777" w:rsidR="001203FA" w:rsidRPr="00C13B0D" w:rsidRDefault="001203FA" w:rsidP="007B5794">
            <w:pPr>
              <w:pStyle w:val="ParagraphX"/>
              <w:jc w:val="center"/>
              <w:rPr>
                <w:sz w:val="18"/>
                <w:szCs w:val="18"/>
              </w:rPr>
            </w:pPr>
            <w:r w:rsidRPr="00C13B0D">
              <w:rPr>
                <w:sz w:val="18"/>
                <w:szCs w:val="18"/>
              </w:rPr>
              <w:t>Multi layer (12-24)barrier films, Recycled PET</w:t>
            </w:r>
          </w:p>
        </w:tc>
        <w:tc>
          <w:tcPr>
            <w:tcW w:w="1435"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314450A9" w14:textId="77777777" w:rsidR="001203FA" w:rsidRPr="00C13B0D" w:rsidRDefault="001203FA" w:rsidP="007B5794">
            <w:pPr>
              <w:pStyle w:val="ParagraphX"/>
              <w:jc w:val="center"/>
              <w:rPr>
                <w:sz w:val="18"/>
                <w:szCs w:val="18"/>
              </w:rPr>
            </w:pPr>
            <w:r w:rsidRPr="00C13B0D">
              <w:rPr>
                <w:sz w:val="18"/>
                <w:szCs w:val="18"/>
              </w:rPr>
              <w:t>Generic</w:t>
            </w:r>
          </w:p>
        </w:tc>
      </w:tr>
      <w:tr w:rsidR="001203FA" w:rsidRPr="007E17F9" w14:paraId="57662AD5" w14:textId="77777777" w:rsidTr="00B42FA6">
        <w:trPr>
          <w:trHeight w:val="239"/>
          <w:jc w:val="center"/>
        </w:trPr>
        <w:tc>
          <w:tcPr>
            <w:tcW w:w="715"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715D6C91" w14:textId="77777777" w:rsidR="001203FA" w:rsidRPr="00C13B0D" w:rsidRDefault="001203FA" w:rsidP="007B5794">
            <w:pPr>
              <w:pStyle w:val="ParagraphX"/>
              <w:jc w:val="center"/>
              <w:rPr>
                <w:sz w:val="18"/>
                <w:szCs w:val="18"/>
              </w:rPr>
            </w:pPr>
            <w:r w:rsidRPr="00C13B0D">
              <w:rPr>
                <w:sz w:val="18"/>
                <w:szCs w:val="18"/>
              </w:rPr>
              <w:t>P3</w:t>
            </w:r>
          </w:p>
        </w:tc>
        <w:tc>
          <w:tcPr>
            <w:tcW w:w="816" w:type="dxa"/>
            <w:vMerge/>
            <w:tcBorders>
              <w:top w:val="single" w:sz="8" w:space="0" w:color="000000"/>
              <w:left w:val="single" w:sz="8" w:space="0" w:color="000000"/>
              <w:bottom w:val="single" w:sz="8" w:space="0" w:color="000000"/>
              <w:right w:val="single" w:sz="8" w:space="0" w:color="000000"/>
            </w:tcBorders>
            <w:vAlign w:val="center"/>
            <w:hideMark/>
          </w:tcPr>
          <w:p w14:paraId="281AFAED" w14:textId="77777777" w:rsidR="001203FA" w:rsidRPr="00C13B0D" w:rsidRDefault="001203FA" w:rsidP="007B5794">
            <w:pPr>
              <w:pStyle w:val="ParagraphX"/>
              <w:jc w:val="center"/>
              <w:rPr>
                <w:sz w:val="18"/>
                <w:szCs w:val="18"/>
              </w:rPr>
            </w:pPr>
          </w:p>
        </w:tc>
        <w:tc>
          <w:tcPr>
            <w:tcW w:w="441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2E192081" w14:textId="77777777" w:rsidR="001203FA" w:rsidRPr="00C13B0D" w:rsidRDefault="001203FA" w:rsidP="007B5794">
            <w:pPr>
              <w:pStyle w:val="ParagraphX"/>
              <w:jc w:val="center"/>
              <w:rPr>
                <w:sz w:val="18"/>
                <w:szCs w:val="18"/>
              </w:rPr>
            </w:pPr>
            <w:r w:rsidRPr="00C13B0D">
              <w:rPr>
                <w:sz w:val="18"/>
                <w:szCs w:val="18"/>
              </w:rPr>
              <w:t>Biopap: paper with bioplastic coating</w:t>
            </w:r>
          </w:p>
        </w:tc>
        <w:tc>
          <w:tcPr>
            <w:tcW w:w="1435"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1500B681" w14:textId="77777777" w:rsidR="001203FA" w:rsidRPr="00C13B0D" w:rsidRDefault="001203FA" w:rsidP="007B5794">
            <w:pPr>
              <w:pStyle w:val="ParagraphX"/>
              <w:jc w:val="center"/>
              <w:rPr>
                <w:sz w:val="18"/>
                <w:szCs w:val="18"/>
              </w:rPr>
            </w:pPr>
            <w:r w:rsidRPr="00C13B0D">
              <w:rPr>
                <w:sz w:val="18"/>
                <w:szCs w:val="18"/>
              </w:rPr>
              <w:t>Paper (if clean)</w:t>
            </w:r>
          </w:p>
        </w:tc>
      </w:tr>
      <w:tr w:rsidR="001203FA" w:rsidRPr="007E17F9" w14:paraId="692F05EF" w14:textId="77777777" w:rsidTr="00B42FA6">
        <w:trPr>
          <w:trHeight w:val="239"/>
          <w:jc w:val="center"/>
        </w:trPr>
        <w:tc>
          <w:tcPr>
            <w:tcW w:w="715"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05862186" w14:textId="77777777" w:rsidR="001203FA" w:rsidRPr="00C13B0D" w:rsidRDefault="001203FA" w:rsidP="007B5794">
            <w:pPr>
              <w:pStyle w:val="ParagraphX"/>
              <w:jc w:val="center"/>
              <w:rPr>
                <w:sz w:val="18"/>
                <w:szCs w:val="18"/>
              </w:rPr>
            </w:pPr>
            <w:r w:rsidRPr="00C13B0D">
              <w:rPr>
                <w:sz w:val="18"/>
                <w:szCs w:val="18"/>
              </w:rPr>
              <w:t>P4</w:t>
            </w:r>
          </w:p>
        </w:tc>
        <w:tc>
          <w:tcPr>
            <w:tcW w:w="816" w:type="dxa"/>
            <w:vMerge/>
            <w:tcBorders>
              <w:top w:val="single" w:sz="8" w:space="0" w:color="000000"/>
              <w:left w:val="single" w:sz="8" w:space="0" w:color="000000"/>
              <w:bottom w:val="single" w:sz="8" w:space="0" w:color="000000"/>
              <w:right w:val="single" w:sz="8" w:space="0" w:color="000000"/>
            </w:tcBorders>
            <w:vAlign w:val="center"/>
            <w:hideMark/>
          </w:tcPr>
          <w:p w14:paraId="05C0B3A0" w14:textId="77777777" w:rsidR="001203FA" w:rsidRPr="00C13B0D" w:rsidRDefault="001203FA" w:rsidP="007B5794">
            <w:pPr>
              <w:pStyle w:val="ParagraphX"/>
              <w:jc w:val="center"/>
              <w:rPr>
                <w:sz w:val="18"/>
                <w:szCs w:val="18"/>
              </w:rPr>
            </w:pPr>
          </w:p>
        </w:tc>
        <w:tc>
          <w:tcPr>
            <w:tcW w:w="441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4CB7BF77" w14:textId="77777777" w:rsidR="001203FA" w:rsidRPr="00C13B0D" w:rsidRDefault="001203FA" w:rsidP="007B5794">
            <w:pPr>
              <w:pStyle w:val="ParagraphX"/>
              <w:jc w:val="center"/>
              <w:rPr>
                <w:sz w:val="18"/>
                <w:szCs w:val="18"/>
              </w:rPr>
            </w:pPr>
            <w:r w:rsidRPr="00C13B0D">
              <w:rPr>
                <w:sz w:val="18"/>
                <w:szCs w:val="18"/>
              </w:rPr>
              <w:t>Biopap: paper with bioplastic coating</w:t>
            </w:r>
          </w:p>
        </w:tc>
        <w:tc>
          <w:tcPr>
            <w:tcW w:w="1435"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403916DD" w14:textId="77777777" w:rsidR="001203FA" w:rsidRPr="00C13B0D" w:rsidRDefault="001203FA" w:rsidP="007B5794">
            <w:pPr>
              <w:pStyle w:val="ParagraphX"/>
              <w:jc w:val="center"/>
              <w:rPr>
                <w:sz w:val="18"/>
                <w:szCs w:val="18"/>
              </w:rPr>
            </w:pPr>
            <w:r w:rsidRPr="00C13B0D">
              <w:rPr>
                <w:sz w:val="18"/>
                <w:szCs w:val="18"/>
              </w:rPr>
              <w:t>Paper (if clean)</w:t>
            </w:r>
          </w:p>
        </w:tc>
      </w:tr>
      <w:tr w:rsidR="001203FA" w:rsidRPr="007E17F9" w14:paraId="509E75E3" w14:textId="77777777" w:rsidTr="00B42FA6">
        <w:trPr>
          <w:trHeight w:val="239"/>
          <w:jc w:val="center"/>
        </w:trPr>
        <w:tc>
          <w:tcPr>
            <w:tcW w:w="715"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4C038002" w14:textId="77777777" w:rsidR="001203FA" w:rsidRPr="00C13B0D" w:rsidRDefault="001203FA" w:rsidP="007B5794">
            <w:pPr>
              <w:pStyle w:val="ParagraphX"/>
              <w:jc w:val="center"/>
              <w:rPr>
                <w:sz w:val="18"/>
                <w:szCs w:val="18"/>
              </w:rPr>
            </w:pPr>
            <w:r w:rsidRPr="00C13B0D">
              <w:rPr>
                <w:sz w:val="18"/>
                <w:szCs w:val="18"/>
              </w:rPr>
              <w:t>P5</w:t>
            </w:r>
          </w:p>
        </w:tc>
        <w:tc>
          <w:tcPr>
            <w:tcW w:w="816" w:type="dxa"/>
            <w:vMerge w:val="restart"/>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3D52B2EE" w14:textId="77777777" w:rsidR="001203FA" w:rsidRPr="00C13B0D" w:rsidRDefault="001203FA" w:rsidP="007B5794">
            <w:pPr>
              <w:pStyle w:val="ParagraphX"/>
              <w:jc w:val="center"/>
              <w:rPr>
                <w:sz w:val="18"/>
                <w:szCs w:val="18"/>
              </w:rPr>
            </w:pPr>
            <w:r w:rsidRPr="00C13B0D">
              <w:rPr>
                <w:sz w:val="18"/>
                <w:szCs w:val="18"/>
              </w:rPr>
              <w:t>Plates</w:t>
            </w:r>
          </w:p>
        </w:tc>
        <w:tc>
          <w:tcPr>
            <w:tcW w:w="441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28A72503" w14:textId="77777777" w:rsidR="001203FA" w:rsidRPr="00C13B0D" w:rsidRDefault="001203FA" w:rsidP="007B5794">
            <w:pPr>
              <w:pStyle w:val="ParagraphX"/>
              <w:jc w:val="center"/>
              <w:rPr>
                <w:sz w:val="18"/>
                <w:szCs w:val="18"/>
              </w:rPr>
            </w:pPr>
            <w:r w:rsidRPr="00C13B0D">
              <w:rPr>
                <w:sz w:val="18"/>
                <w:szCs w:val="18"/>
              </w:rPr>
              <w:t>Cellulose pulp obtained from sugar and vegetable fibers</w:t>
            </w:r>
          </w:p>
        </w:tc>
        <w:tc>
          <w:tcPr>
            <w:tcW w:w="1435"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2F43A1AF" w14:textId="77777777" w:rsidR="001203FA" w:rsidRPr="00C13B0D" w:rsidRDefault="001203FA" w:rsidP="007B5794">
            <w:pPr>
              <w:pStyle w:val="ParagraphX"/>
              <w:jc w:val="center"/>
              <w:rPr>
                <w:sz w:val="18"/>
                <w:szCs w:val="18"/>
              </w:rPr>
            </w:pPr>
            <w:r w:rsidRPr="00C13B0D">
              <w:rPr>
                <w:sz w:val="18"/>
                <w:szCs w:val="18"/>
              </w:rPr>
              <w:t>Organic</w:t>
            </w:r>
          </w:p>
        </w:tc>
      </w:tr>
      <w:tr w:rsidR="001203FA" w:rsidRPr="007E17F9" w14:paraId="66D8FA41" w14:textId="77777777" w:rsidTr="00B42FA6">
        <w:trPr>
          <w:trHeight w:val="239"/>
          <w:jc w:val="center"/>
        </w:trPr>
        <w:tc>
          <w:tcPr>
            <w:tcW w:w="715"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6A1D71F5" w14:textId="77777777" w:rsidR="001203FA" w:rsidRPr="00C13B0D" w:rsidRDefault="001203FA" w:rsidP="007B5794">
            <w:pPr>
              <w:pStyle w:val="ParagraphX"/>
              <w:jc w:val="center"/>
              <w:rPr>
                <w:sz w:val="18"/>
                <w:szCs w:val="18"/>
              </w:rPr>
            </w:pPr>
            <w:r w:rsidRPr="00C13B0D">
              <w:rPr>
                <w:sz w:val="18"/>
                <w:szCs w:val="18"/>
              </w:rPr>
              <w:t>P6</w:t>
            </w:r>
          </w:p>
        </w:tc>
        <w:tc>
          <w:tcPr>
            <w:tcW w:w="816" w:type="dxa"/>
            <w:vMerge/>
            <w:tcBorders>
              <w:top w:val="single" w:sz="8" w:space="0" w:color="000000"/>
              <w:left w:val="single" w:sz="8" w:space="0" w:color="000000"/>
              <w:bottom w:val="single" w:sz="8" w:space="0" w:color="000000"/>
              <w:right w:val="single" w:sz="8" w:space="0" w:color="000000"/>
            </w:tcBorders>
            <w:vAlign w:val="center"/>
            <w:hideMark/>
          </w:tcPr>
          <w:p w14:paraId="06A9C4CF" w14:textId="77777777" w:rsidR="001203FA" w:rsidRPr="00C13B0D" w:rsidRDefault="001203FA" w:rsidP="007B5794">
            <w:pPr>
              <w:pStyle w:val="ParagraphX"/>
              <w:jc w:val="center"/>
              <w:rPr>
                <w:sz w:val="18"/>
                <w:szCs w:val="18"/>
              </w:rPr>
            </w:pPr>
          </w:p>
        </w:tc>
        <w:tc>
          <w:tcPr>
            <w:tcW w:w="441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39EFF5E4" w14:textId="77777777" w:rsidR="001203FA" w:rsidRPr="00C13B0D" w:rsidRDefault="001203FA" w:rsidP="007B5794">
            <w:pPr>
              <w:pStyle w:val="ParagraphX"/>
              <w:jc w:val="center"/>
              <w:rPr>
                <w:sz w:val="18"/>
                <w:szCs w:val="18"/>
              </w:rPr>
            </w:pPr>
            <w:r w:rsidRPr="00C13B0D">
              <w:rPr>
                <w:sz w:val="18"/>
                <w:szCs w:val="18"/>
              </w:rPr>
              <w:t>Double layer of cellulose pulp with internal coating in PLA</w:t>
            </w:r>
          </w:p>
        </w:tc>
        <w:tc>
          <w:tcPr>
            <w:tcW w:w="1435"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45B90A9D" w14:textId="77777777" w:rsidR="001203FA" w:rsidRPr="00C13B0D" w:rsidRDefault="001203FA" w:rsidP="007B5794">
            <w:pPr>
              <w:pStyle w:val="ParagraphX"/>
              <w:jc w:val="center"/>
              <w:rPr>
                <w:sz w:val="18"/>
                <w:szCs w:val="18"/>
              </w:rPr>
            </w:pPr>
            <w:r w:rsidRPr="00C13B0D">
              <w:rPr>
                <w:sz w:val="18"/>
                <w:szCs w:val="18"/>
              </w:rPr>
              <w:t>Organic</w:t>
            </w:r>
          </w:p>
        </w:tc>
      </w:tr>
      <w:tr w:rsidR="001203FA" w:rsidRPr="007E17F9" w14:paraId="40B01024" w14:textId="77777777" w:rsidTr="00B42FA6">
        <w:trPr>
          <w:trHeight w:val="239"/>
          <w:jc w:val="center"/>
        </w:trPr>
        <w:tc>
          <w:tcPr>
            <w:tcW w:w="715"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2D058BEC" w14:textId="77777777" w:rsidR="001203FA" w:rsidRPr="00C13B0D" w:rsidRDefault="001203FA" w:rsidP="007B5794">
            <w:pPr>
              <w:pStyle w:val="ParagraphX"/>
              <w:jc w:val="center"/>
              <w:rPr>
                <w:sz w:val="18"/>
                <w:szCs w:val="18"/>
              </w:rPr>
            </w:pPr>
            <w:r w:rsidRPr="00C13B0D">
              <w:rPr>
                <w:sz w:val="18"/>
                <w:szCs w:val="18"/>
              </w:rPr>
              <w:t>P7</w:t>
            </w:r>
          </w:p>
        </w:tc>
        <w:tc>
          <w:tcPr>
            <w:tcW w:w="816" w:type="dxa"/>
            <w:vMerge/>
            <w:tcBorders>
              <w:top w:val="single" w:sz="8" w:space="0" w:color="000000"/>
              <w:left w:val="single" w:sz="8" w:space="0" w:color="000000"/>
              <w:bottom w:val="single" w:sz="8" w:space="0" w:color="000000"/>
              <w:right w:val="single" w:sz="8" w:space="0" w:color="000000"/>
            </w:tcBorders>
            <w:vAlign w:val="center"/>
            <w:hideMark/>
          </w:tcPr>
          <w:p w14:paraId="48D59D53" w14:textId="77777777" w:rsidR="001203FA" w:rsidRPr="00C13B0D" w:rsidRDefault="001203FA" w:rsidP="007B5794">
            <w:pPr>
              <w:pStyle w:val="ParagraphX"/>
              <w:jc w:val="center"/>
              <w:rPr>
                <w:sz w:val="18"/>
                <w:szCs w:val="18"/>
              </w:rPr>
            </w:pPr>
          </w:p>
        </w:tc>
        <w:tc>
          <w:tcPr>
            <w:tcW w:w="441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460142A8" w14:textId="77777777" w:rsidR="001203FA" w:rsidRPr="00C13B0D" w:rsidRDefault="001203FA" w:rsidP="007B5794">
            <w:pPr>
              <w:pStyle w:val="ParagraphX"/>
              <w:jc w:val="center"/>
              <w:rPr>
                <w:sz w:val="18"/>
                <w:szCs w:val="18"/>
              </w:rPr>
            </w:pPr>
            <w:r w:rsidRPr="00C13B0D">
              <w:rPr>
                <w:sz w:val="18"/>
                <w:szCs w:val="18"/>
              </w:rPr>
              <w:t>Polystyrene</w:t>
            </w:r>
          </w:p>
        </w:tc>
        <w:tc>
          <w:tcPr>
            <w:tcW w:w="1435"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39670824" w14:textId="77777777" w:rsidR="001203FA" w:rsidRPr="00C13B0D" w:rsidRDefault="001203FA" w:rsidP="007B5794">
            <w:pPr>
              <w:pStyle w:val="ParagraphX"/>
              <w:jc w:val="center"/>
              <w:rPr>
                <w:sz w:val="18"/>
                <w:szCs w:val="18"/>
              </w:rPr>
            </w:pPr>
            <w:r w:rsidRPr="00C13B0D">
              <w:rPr>
                <w:sz w:val="18"/>
                <w:szCs w:val="18"/>
              </w:rPr>
              <w:t>Plastic</w:t>
            </w:r>
          </w:p>
        </w:tc>
      </w:tr>
      <w:tr w:rsidR="001203FA" w:rsidRPr="007E17F9" w14:paraId="424F1D01" w14:textId="77777777" w:rsidTr="00B42FA6">
        <w:trPr>
          <w:trHeight w:val="239"/>
          <w:jc w:val="center"/>
        </w:trPr>
        <w:tc>
          <w:tcPr>
            <w:tcW w:w="715"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3D67FE5C" w14:textId="77777777" w:rsidR="001203FA" w:rsidRPr="00C13B0D" w:rsidRDefault="001203FA" w:rsidP="007B5794">
            <w:pPr>
              <w:pStyle w:val="ParagraphX"/>
              <w:jc w:val="center"/>
              <w:rPr>
                <w:sz w:val="18"/>
                <w:szCs w:val="18"/>
              </w:rPr>
            </w:pPr>
            <w:r w:rsidRPr="00C13B0D">
              <w:rPr>
                <w:sz w:val="18"/>
                <w:szCs w:val="18"/>
              </w:rPr>
              <w:t>P8</w:t>
            </w:r>
          </w:p>
        </w:tc>
        <w:tc>
          <w:tcPr>
            <w:tcW w:w="816" w:type="dxa"/>
            <w:vMerge w:val="restart"/>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5995DB9F" w14:textId="77777777" w:rsidR="001203FA" w:rsidRPr="00C13B0D" w:rsidRDefault="001203FA" w:rsidP="007B5794">
            <w:pPr>
              <w:pStyle w:val="ParagraphX"/>
              <w:jc w:val="center"/>
              <w:rPr>
                <w:sz w:val="18"/>
                <w:szCs w:val="18"/>
              </w:rPr>
            </w:pPr>
            <w:r w:rsidRPr="00C13B0D">
              <w:rPr>
                <w:sz w:val="18"/>
                <w:szCs w:val="18"/>
              </w:rPr>
              <w:t>Glasses</w:t>
            </w:r>
          </w:p>
        </w:tc>
        <w:tc>
          <w:tcPr>
            <w:tcW w:w="441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6517588C" w14:textId="77777777" w:rsidR="001203FA" w:rsidRPr="00C13B0D" w:rsidRDefault="001203FA" w:rsidP="007B5794">
            <w:pPr>
              <w:pStyle w:val="ParagraphX"/>
              <w:jc w:val="center"/>
              <w:rPr>
                <w:sz w:val="18"/>
                <w:szCs w:val="18"/>
              </w:rPr>
            </w:pPr>
            <w:r w:rsidRPr="00C13B0D">
              <w:rPr>
                <w:sz w:val="18"/>
                <w:szCs w:val="18"/>
              </w:rPr>
              <w:t>Transparent PLA corn polylactide</w:t>
            </w:r>
          </w:p>
        </w:tc>
        <w:tc>
          <w:tcPr>
            <w:tcW w:w="1435"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4BACE161" w14:textId="77777777" w:rsidR="001203FA" w:rsidRPr="00C13B0D" w:rsidRDefault="001203FA" w:rsidP="007B5794">
            <w:pPr>
              <w:pStyle w:val="ParagraphX"/>
              <w:jc w:val="center"/>
              <w:rPr>
                <w:sz w:val="18"/>
                <w:szCs w:val="18"/>
              </w:rPr>
            </w:pPr>
            <w:r w:rsidRPr="00C13B0D">
              <w:rPr>
                <w:sz w:val="18"/>
                <w:szCs w:val="18"/>
              </w:rPr>
              <w:t>Organic</w:t>
            </w:r>
          </w:p>
        </w:tc>
      </w:tr>
      <w:tr w:rsidR="001203FA" w:rsidRPr="007E17F9" w14:paraId="2565803B" w14:textId="77777777" w:rsidTr="00B42FA6">
        <w:trPr>
          <w:trHeight w:val="239"/>
          <w:jc w:val="center"/>
        </w:trPr>
        <w:tc>
          <w:tcPr>
            <w:tcW w:w="715"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7018963D" w14:textId="77777777" w:rsidR="001203FA" w:rsidRPr="00C13B0D" w:rsidRDefault="001203FA" w:rsidP="007B5794">
            <w:pPr>
              <w:pStyle w:val="ParagraphX"/>
              <w:jc w:val="center"/>
              <w:rPr>
                <w:sz w:val="18"/>
                <w:szCs w:val="18"/>
              </w:rPr>
            </w:pPr>
            <w:r w:rsidRPr="00C13B0D">
              <w:rPr>
                <w:sz w:val="18"/>
                <w:szCs w:val="18"/>
              </w:rPr>
              <w:t>P14</w:t>
            </w:r>
          </w:p>
        </w:tc>
        <w:tc>
          <w:tcPr>
            <w:tcW w:w="816" w:type="dxa"/>
            <w:vMerge/>
            <w:tcBorders>
              <w:top w:val="single" w:sz="8" w:space="0" w:color="000000"/>
              <w:left w:val="single" w:sz="8" w:space="0" w:color="000000"/>
              <w:bottom w:val="single" w:sz="8" w:space="0" w:color="000000"/>
              <w:right w:val="single" w:sz="8" w:space="0" w:color="000000"/>
            </w:tcBorders>
            <w:vAlign w:val="center"/>
            <w:hideMark/>
          </w:tcPr>
          <w:p w14:paraId="7A488B0E" w14:textId="77777777" w:rsidR="001203FA" w:rsidRPr="00C13B0D" w:rsidRDefault="001203FA" w:rsidP="007B5794">
            <w:pPr>
              <w:pStyle w:val="ParagraphX"/>
              <w:jc w:val="center"/>
              <w:rPr>
                <w:sz w:val="18"/>
                <w:szCs w:val="18"/>
              </w:rPr>
            </w:pPr>
          </w:p>
        </w:tc>
        <w:tc>
          <w:tcPr>
            <w:tcW w:w="441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4C0BA3AD" w14:textId="77777777" w:rsidR="001203FA" w:rsidRPr="00C13B0D" w:rsidRDefault="001203FA" w:rsidP="007B5794">
            <w:pPr>
              <w:pStyle w:val="ParagraphX"/>
              <w:jc w:val="center"/>
              <w:rPr>
                <w:sz w:val="18"/>
                <w:szCs w:val="18"/>
              </w:rPr>
            </w:pPr>
            <w:r w:rsidRPr="00C13B0D">
              <w:rPr>
                <w:sz w:val="18"/>
                <w:szCs w:val="18"/>
              </w:rPr>
              <w:t>Polystyrene</w:t>
            </w:r>
          </w:p>
        </w:tc>
        <w:tc>
          <w:tcPr>
            <w:tcW w:w="1435"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75930CF8" w14:textId="77777777" w:rsidR="001203FA" w:rsidRPr="00C13B0D" w:rsidRDefault="001203FA" w:rsidP="007B5794">
            <w:pPr>
              <w:pStyle w:val="ParagraphX"/>
              <w:jc w:val="center"/>
              <w:rPr>
                <w:sz w:val="18"/>
                <w:szCs w:val="18"/>
              </w:rPr>
            </w:pPr>
            <w:r w:rsidRPr="00C13B0D">
              <w:rPr>
                <w:sz w:val="18"/>
                <w:szCs w:val="18"/>
              </w:rPr>
              <w:t>Plastic</w:t>
            </w:r>
          </w:p>
        </w:tc>
      </w:tr>
      <w:tr w:rsidR="001203FA" w:rsidRPr="007E17F9" w14:paraId="438A7CA0" w14:textId="77777777" w:rsidTr="00B42FA6">
        <w:trPr>
          <w:trHeight w:val="239"/>
          <w:jc w:val="center"/>
        </w:trPr>
        <w:tc>
          <w:tcPr>
            <w:tcW w:w="715"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41F50DE8" w14:textId="77777777" w:rsidR="001203FA" w:rsidRPr="00C13B0D" w:rsidRDefault="001203FA" w:rsidP="007B5794">
            <w:pPr>
              <w:pStyle w:val="ParagraphX"/>
              <w:jc w:val="center"/>
              <w:rPr>
                <w:sz w:val="18"/>
                <w:szCs w:val="18"/>
              </w:rPr>
            </w:pPr>
            <w:r w:rsidRPr="00C13B0D">
              <w:rPr>
                <w:sz w:val="18"/>
                <w:szCs w:val="18"/>
              </w:rPr>
              <w:t>P10</w:t>
            </w:r>
          </w:p>
        </w:tc>
        <w:tc>
          <w:tcPr>
            <w:tcW w:w="816" w:type="dxa"/>
            <w:vMerge w:val="restart"/>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71235924" w14:textId="77777777" w:rsidR="001203FA" w:rsidRPr="00C13B0D" w:rsidRDefault="001203FA" w:rsidP="007B5794">
            <w:pPr>
              <w:pStyle w:val="ParagraphX"/>
              <w:jc w:val="center"/>
              <w:rPr>
                <w:sz w:val="18"/>
                <w:szCs w:val="18"/>
              </w:rPr>
            </w:pPr>
            <w:r w:rsidRPr="00C13B0D">
              <w:rPr>
                <w:sz w:val="18"/>
                <w:szCs w:val="18"/>
              </w:rPr>
              <w:t>Cups</w:t>
            </w:r>
          </w:p>
        </w:tc>
        <w:tc>
          <w:tcPr>
            <w:tcW w:w="441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741FAE70" w14:textId="77777777" w:rsidR="001203FA" w:rsidRPr="00C13B0D" w:rsidRDefault="001203FA" w:rsidP="007B5794">
            <w:pPr>
              <w:pStyle w:val="ParagraphX"/>
              <w:jc w:val="center"/>
              <w:rPr>
                <w:sz w:val="18"/>
                <w:szCs w:val="18"/>
              </w:rPr>
            </w:pPr>
            <w:r w:rsidRPr="00C13B0D">
              <w:rPr>
                <w:sz w:val="18"/>
                <w:szCs w:val="18"/>
              </w:rPr>
              <w:t>Polystyrene</w:t>
            </w:r>
          </w:p>
        </w:tc>
        <w:tc>
          <w:tcPr>
            <w:tcW w:w="1435"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7E740255" w14:textId="77777777" w:rsidR="001203FA" w:rsidRPr="00C13B0D" w:rsidRDefault="001203FA" w:rsidP="007B5794">
            <w:pPr>
              <w:pStyle w:val="ParagraphX"/>
              <w:jc w:val="center"/>
              <w:rPr>
                <w:sz w:val="18"/>
                <w:szCs w:val="18"/>
              </w:rPr>
            </w:pPr>
            <w:r w:rsidRPr="00C13B0D">
              <w:rPr>
                <w:sz w:val="18"/>
                <w:szCs w:val="18"/>
              </w:rPr>
              <w:t>Plastic</w:t>
            </w:r>
          </w:p>
        </w:tc>
      </w:tr>
      <w:tr w:rsidR="001203FA" w:rsidRPr="007E17F9" w14:paraId="4D75CDE4" w14:textId="77777777" w:rsidTr="00B42FA6">
        <w:trPr>
          <w:trHeight w:val="239"/>
          <w:jc w:val="center"/>
        </w:trPr>
        <w:tc>
          <w:tcPr>
            <w:tcW w:w="715"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32DBE8CF" w14:textId="77777777" w:rsidR="001203FA" w:rsidRPr="00C13B0D" w:rsidRDefault="001203FA" w:rsidP="007B5794">
            <w:pPr>
              <w:pStyle w:val="ParagraphX"/>
              <w:jc w:val="center"/>
              <w:rPr>
                <w:sz w:val="18"/>
                <w:szCs w:val="18"/>
              </w:rPr>
            </w:pPr>
            <w:r w:rsidRPr="00C13B0D">
              <w:rPr>
                <w:sz w:val="18"/>
                <w:szCs w:val="18"/>
              </w:rPr>
              <w:t>P9</w:t>
            </w:r>
          </w:p>
        </w:tc>
        <w:tc>
          <w:tcPr>
            <w:tcW w:w="816" w:type="dxa"/>
            <w:vMerge/>
            <w:tcBorders>
              <w:top w:val="single" w:sz="8" w:space="0" w:color="000000"/>
              <w:left w:val="single" w:sz="8" w:space="0" w:color="000000"/>
              <w:bottom w:val="single" w:sz="8" w:space="0" w:color="000000"/>
              <w:right w:val="single" w:sz="8" w:space="0" w:color="000000"/>
            </w:tcBorders>
            <w:vAlign w:val="center"/>
            <w:hideMark/>
          </w:tcPr>
          <w:p w14:paraId="397F0925" w14:textId="77777777" w:rsidR="001203FA" w:rsidRPr="00C13B0D" w:rsidRDefault="001203FA" w:rsidP="007B5794">
            <w:pPr>
              <w:pStyle w:val="ParagraphX"/>
              <w:jc w:val="center"/>
              <w:rPr>
                <w:sz w:val="18"/>
                <w:szCs w:val="18"/>
              </w:rPr>
            </w:pPr>
          </w:p>
        </w:tc>
        <w:tc>
          <w:tcPr>
            <w:tcW w:w="441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598E8FE8" w14:textId="77777777" w:rsidR="001203FA" w:rsidRPr="00C13B0D" w:rsidRDefault="001203FA" w:rsidP="007B5794">
            <w:pPr>
              <w:pStyle w:val="ParagraphX"/>
              <w:jc w:val="center"/>
              <w:rPr>
                <w:sz w:val="18"/>
                <w:szCs w:val="18"/>
              </w:rPr>
            </w:pPr>
            <w:r w:rsidRPr="00C13B0D">
              <w:rPr>
                <w:sz w:val="18"/>
                <w:szCs w:val="18"/>
              </w:rPr>
              <w:t>Transparent PLA corn polylactide</w:t>
            </w:r>
          </w:p>
        </w:tc>
        <w:tc>
          <w:tcPr>
            <w:tcW w:w="1435"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4D338B5A" w14:textId="77777777" w:rsidR="001203FA" w:rsidRPr="00C13B0D" w:rsidRDefault="001203FA" w:rsidP="007B5794">
            <w:pPr>
              <w:pStyle w:val="ParagraphX"/>
              <w:jc w:val="center"/>
              <w:rPr>
                <w:sz w:val="18"/>
                <w:szCs w:val="18"/>
              </w:rPr>
            </w:pPr>
            <w:r w:rsidRPr="00C13B0D">
              <w:rPr>
                <w:sz w:val="18"/>
                <w:szCs w:val="18"/>
              </w:rPr>
              <w:t>Organic</w:t>
            </w:r>
          </w:p>
        </w:tc>
      </w:tr>
      <w:tr w:rsidR="001203FA" w:rsidRPr="007E17F9" w14:paraId="2FA29862" w14:textId="77777777" w:rsidTr="00B42FA6">
        <w:trPr>
          <w:trHeight w:val="15"/>
          <w:jc w:val="center"/>
        </w:trPr>
        <w:tc>
          <w:tcPr>
            <w:tcW w:w="715"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3B6887A2" w14:textId="77777777" w:rsidR="001203FA" w:rsidRPr="00C13B0D" w:rsidRDefault="001203FA" w:rsidP="007B5794">
            <w:pPr>
              <w:pStyle w:val="ParagraphX"/>
              <w:jc w:val="center"/>
              <w:rPr>
                <w:sz w:val="18"/>
                <w:szCs w:val="18"/>
              </w:rPr>
            </w:pPr>
            <w:r w:rsidRPr="00C13B0D">
              <w:rPr>
                <w:sz w:val="18"/>
                <w:szCs w:val="18"/>
              </w:rPr>
              <w:t>P15</w:t>
            </w:r>
          </w:p>
        </w:tc>
        <w:tc>
          <w:tcPr>
            <w:tcW w:w="816" w:type="dxa"/>
            <w:vMerge/>
            <w:tcBorders>
              <w:top w:val="single" w:sz="8" w:space="0" w:color="000000"/>
              <w:left w:val="single" w:sz="8" w:space="0" w:color="000000"/>
              <w:bottom w:val="single" w:sz="8" w:space="0" w:color="000000"/>
              <w:right w:val="single" w:sz="8" w:space="0" w:color="000000"/>
            </w:tcBorders>
            <w:vAlign w:val="center"/>
            <w:hideMark/>
          </w:tcPr>
          <w:p w14:paraId="34282998" w14:textId="77777777" w:rsidR="001203FA" w:rsidRPr="00C13B0D" w:rsidRDefault="001203FA" w:rsidP="007B5794">
            <w:pPr>
              <w:pStyle w:val="ParagraphX"/>
              <w:jc w:val="center"/>
              <w:rPr>
                <w:sz w:val="18"/>
                <w:szCs w:val="18"/>
              </w:rPr>
            </w:pPr>
          </w:p>
        </w:tc>
        <w:tc>
          <w:tcPr>
            <w:tcW w:w="441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03D07A99" w14:textId="77777777" w:rsidR="001203FA" w:rsidRPr="00C13B0D" w:rsidRDefault="001203FA" w:rsidP="007B5794">
            <w:pPr>
              <w:pStyle w:val="ParagraphX"/>
              <w:jc w:val="center"/>
              <w:rPr>
                <w:sz w:val="18"/>
                <w:szCs w:val="18"/>
              </w:rPr>
            </w:pPr>
            <w:r w:rsidRPr="00C13B0D">
              <w:rPr>
                <w:sz w:val="18"/>
                <w:szCs w:val="18"/>
              </w:rPr>
              <w:t>Polystyrene</w:t>
            </w:r>
          </w:p>
        </w:tc>
        <w:tc>
          <w:tcPr>
            <w:tcW w:w="1435"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6FFBF2E8" w14:textId="77777777" w:rsidR="001203FA" w:rsidRPr="00C13B0D" w:rsidRDefault="001203FA" w:rsidP="007B5794">
            <w:pPr>
              <w:pStyle w:val="ParagraphX"/>
              <w:jc w:val="center"/>
              <w:rPr>
                <w:sz w:val="18"/>
                <w:szCs w:val="18"/>
              </w:rPr>
            </w:pPr>
            <w:r w:rsidRPr="00C13B0D">
              <w:rPr>
                <w:sz w:val="18"/>
                <w:szCs w:val="18"/>
              </w:rPr>
              <w:t>Plastic</w:t>
            </w:r>
          </w:p>
        </w:tc>
      </w:tr>
      <w:tr w:rsidR="001203FA" w:rsidRPr="007E17F9" w14:paraId="158B7468" w14:textId="77777777" w:rsidTr="00B42FA6">
        <w:trPr>
          <w:trHeight w:val="15"/>
          <w:jc w:val="center"/>
        </w:trPr>
        <w:tc>
          <w:tcPr>
            <w:tcW w:w="715"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0BBCA2E0" w14:textId="77777777" w:rsidR="001203FA" w:rsidRPr="00C13B0D" w:rsidRDefault="001203FA" w:rsidP="007B5794">
            <w:pPr>
              <w:pStyle w:val="ParagraphX"/>
              <w:jc w:val="center"/>
              <w:rPr>
                <w:sz w:val="18"/>
                <w:szCs w:val="18"/>
              </w:rPr>
            </w:pPr>
            <w:r w:rsidRPr="00C13B0D">
              <w:rPr>
                <w:sz w:val="18"/>
                <w:szCs w:val="18"/>
              </w:rPr>
              <w:t>P11</w:t>
            </w:r>
          </w:p>
        </w:tc>
        <w:tc>
          <w:tcPr>
            <w:tcW w:w="816" w:type="dxa"/>
            <w:vMerge w:val="restart"/>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5EC1127C" w14:textId="77777777" w:rsidR="001203FA" w:rsidRPr="00C13B0D" w:rsidRDefault="001203FA" w:rsidP="007B5794">
            <w:pPr>
              <w:pStyle w:val="ParagraphX"/>
              <w:jc w:val="center"/>
              <w:rPr>
                <w:sz w:val="18"/>
                <w:szCs w:val="18"/>
              </w:rPr>
            </w:pPr>
            <w:r w:rsidRPr="00C13B0D">
              <w:rPr>
                <w:sz w:val="18"/>
                <w:szCs w:val="18"/>
              </w:rPr>
              <w:t>Cutlery</w:t>
            </w:r>
          </w:p>
        </w:tc>
        <w:tc>
          <w:tcPr>
            <w:tcW w:w="441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2FEF1835" w14:textId="77777777" w:rsidR="001203FA" w:rsidRPr="00C13B0D" w:rsidRDefault="001203FA" w:rsidP="007B5794">
            <w:pPr>
              <w:pStyle w:val="ParagraphX"/>
              <w:jc w:val="center"/>
              <w:rPr>
                <w:sz w:val="18"/>
                <w:szCs w:val="18"/>
              </w:rPr>
            </w:pPr>
            <w:r w:rsidRPr="00C13B0D">
              <w:rPr>
                <w:sz w:val="18"/>
                <w:szCs w:val="18"/>
              </w:rPr>
              <w:t>Polypropylene</w:t>
            </w:r>
          </w:p>
        </w:tc>
        <w:tc>
          <w:tcPr>
            <w:tcW w:w="1435"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02807815" w14:textId="77777777" w:rsidR="001203FA" w:rsidRPr="00C13B0D" w:rsidRDefault="001203FA" w:rsidP="007B5794">
            <w:pPr>
              <w:pStyle w:val="ParagraphX"/>
              <w:jc w:val="center"/>
              <w:rPr>
                <w:sz w:val="18"/>
                <w:szCs w:val="18"/>
              </w:rPr>
            </w:pPr>
            <w:r w:rsidRPr="00C13B0D">
              <w:rPr>
                <w:sz w:val="18"/>
                <w:szCs w:val="18"/>
              </w:rPr>
              <w:t>Plastic</w:t>
            </w:r>
          </w:p>
        </w:tc>
      </w:tr>
      <w:tr w:rsidR="001203FA" w:rsidRPr="007E17F9" w14:paraId="57F52D22" w14:textId="77777777" w:rsidTr="00B42FA6">
        <w:trPr>
          <w:trHeight w:val="15"/>
          <w:jc w:val="center"/>
        </w:trPr>
        <w:tc>
          <w:tcPr>
            <w:tcW w:w="715"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21FD64CB" w14:textId="77777777" w:rsidR="001203FA" w:rsidRPr="00C13B0D" w:rsidRDefault="001203FA" w:rsidP="007B5794">
            <w:pPr>
              <w:pStyle w:val="ParagraphX"/>
              <w:jc w:val="center"/>
              <w:rPr>
                <w:sz w:val="18"/>
                <w:szCs w:val="18"/>
              </w:rPr>
            </w:pPr>
            <w:r w:rsidRPr="00C13B0D">
              <w:rPr>
                <w:sz w:val="18"/>
                <w:szCs w:val="18"/>
              </w:rPr>
              <w:t>P12</w:t>
            </w:r>
          </w:p>
        </w:tc>
        <w:tc>
          <w:tcPr>
            <w:tcW w:w="816" w:type="dxa"/>
            <w:vMerge/>
            <w:tcBorders>
              <w:top w:val="single" w:sz="8" w:space="0" w:color="000000"/>
              <w:left w:val="single" w:sz="8" w:space="0" w:color="000000"/>
              <w:bottom w:val="single" w:sz="8" w:space="0" w:color="000000"/>
              <w:right w:val="single" w:sz="8" w:space="0" w:color="000000"/>
            </w:tcBorders>
            <w:vAlign w:val="center"/>
            <w:hideMark/>
          </w:tcPr>
          <w:p w14:paraId="11109445" w14:textId="77777777" w:rsidR="001203FA" w:rsidRPr="00C13B0D" w:rsidRDefault="001203FA" w:rsidP="007B5794">
            <w:pPr>
              <w:pStyle w:val="ParagraphX"/>
              <w:jc w:val="center"/>
              <w:rPr>
                <w:sz w:val="18"/>
                <w:szCs w:val="18"/>
              </w:rPr>
            </w:pPr>
          </w:p>
        </w:tc>
        <w:tc>
          <w:tcPr>
            <w:tcW w:w="441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4414CA59" w14:textId="77777777" w:rsidR="001203FA" w:rsidRPr="00C13B0D" w:rsidRDefault="001203FA" w:rsidP="007B5794">
            <w:pPr>
              <w:pStyle w:val="ParagraphX"/>
              <w:jc w:val="center"/>
              <w:rPr>
                <w:sz w:val="18"/>
                <w:szCs w:val="18"/>
              </w:rPr>
            </w:pPr>
            <w:r w:rsidRPr="00C13B0D">
              <w:rPr>
                <w:sz w:val="18"/>
                <w:szCs w:val="18"/>
              </w:rPr>
              <w:t>Plant origin Plastarch material</w:t>
            </w:r>
          </w:p>
        </w:tc>
        <w:tc>
          <w:tcPr>
            <w:tcW w:w="1435"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6CA38368" w14:textId="77777777" w:rsidR="001203FA" w:rsidRPr="00C13B0D" w:rsidRDefault="001203FA" w:rsidP="007B5794">
            <w:pPr>
              <w:pStyle w:val="ParagraphX"/>
              <w:jc w:val="center"/>
              <w:rPr>
                <w:sz w:val="18"/>
                <w:szCs w:val="18"/>
              </w:rPr>
            </w:pPr>
            <w:r w:rsidRPr="00C13B0D">
              <w:rPr>
                <w:sz w:val="18"/>
                <w:szCs w:val="18"/>
              </w:rPr>
              <w:t>Organic</w:t>
            </w:r>
          </w:p>
        </w:tc>
      </w:tr>
      <w:tr w:rsidR="001203FA" w:rsidRPr="007E17F9" w14:paraId="7F1507A1" w14:textId="77777777" w:rsidTr="00B42FA6">
        <w:trPr>
          <w:trHeight w:val="15"/>
          <w:jc w:val="center"/>
        </w:trPr>
        <w:tc>
          <w:tcPr>
            <w:tcW w:w="715"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73D15108" w14:textId="77777777" w:rsidR="001203FA" w:rsidRPr="00C13B0D" w:rsidRDefault="001203FA" w:rsidP="007B5794">
            <w:pPr>
              <w:pStyle w:val="ParagraphX"/>
              <w:jc w:val="center"/>
              <w:rPr>
                <w:sz w:val="18"/>
                <w:szCs w:val="18"/>
              </w:rPr>
            </w:pPr>
            <w:r w:rsidRPr="00C13B0D">
              <w:rPr>
                <w:sz w:val="18"/>
                <w:szCs w:val="18"/>
              </w:rPr>
              <w:t>P13</w:t>
            </w:r>
          </w:p>
        </w:tc>
        <w:tc>
          <w:tcPr>
            <w:tcW w:w="816" w:type="dxa"/>
            <w:vMerge/>
            <w:tcBorders>
              <w:top w:val="single" w:sz="8" w:space="0" w:color="000000"/>
              <w:left w:val="single" w:sz="8" w:space="0" w:color="000000"/>
              <w:bottom w:val="single" w:sz="8" w:space="0" w:color="000000"/>
              <w:right w:val="single" w:sz="8" w:space="0" w:color="000000"/>
            </w:tcBorders>
            <w:vAlign w:val="center"/>
            <w:hideMark/>
          </w:tcPr>
          <w:p w14:paraId="401E9E63" w14:textId="77777777" w:rsidR="001203FA" w:rsidRPr="00C13B0D" w:rsidRDefault="001203FA" w:rsidP="007B5794">
            <w:pPr>
              <w:pStyle w:val="ParagraphX"/>
              <w:jc w:val="center"/>
              <w:rPr>
                <w:sz w:val="18"/>
                <w:szCs w:val="18"/>
              </w:rPr>
            </w:pPr>
          </w:p>
        </w:tc>
        <w:tc>
          <w:tcPr>
            <w:tcW w:w="441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71AF06D1" w14:textId="59D28682" w:rsidR="001203FA" w:rsidRPr="00C13B0D" w:rsidRDefault="001203FA" w:rsidP="007B5794">
            <w:pPr>
              <w:pStyle w:val="ParagraphX"/>
              <w:jc w:val="center"/>
              <w:rPr>
                <w:sz w:val="18"/>
                <w:szCs w:val="18"/>
              </w:rPr>
            </w:pPr>
            <w:r w:rsidRPr="00C13B0D">
              <w:rPr>
                <w:sz w:val="18"/>
                <w:szCs w:val="18"/>
              </w:rPr>
              <w:t>PLA</w:t>
            </w:r>
            <w:r w:rsidR="00AD47C8">
              <w:rPr>
                <w:sz w:val="18"/>
                <w:szCs w:val="18"/>
              </w:rPr>
              <w:t xml:space="preserve"> </w:t>
            </w:r>
            <w:r w:rsidRPr="00C13B0D">
              <w:rPr>
                <w:sz w:val="18"/>
                <w:szCs w:val="18"/>
              </w:rPr>
              <w:t>+</w:t>
            </w:r>
            <w:r w:rsidR="00AD47C8">
              <w:rPr>
                <w:sz w:val="18"/>
                <w:szCs w:val="18"/>
              </w:rPr>
              <w:t xml:space="preserve"> </w:t>
            </w:r>
            <w:r w:rsidRPr="00C13B0D">
              <w:rPr>
                <w:sz w:val="18"/>
                <w:szCs w:val="18"/>
              </w:rPr>
              <w:t>hydrous magnesium silicate/talc powder</w:t>
            </w:r>
          </w:p>
        </w:tc>
        <w:tc>
          <w:tcPr>
            <w:tcW w:w="1435"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62A56B5F" w14:textId="77777777" w:rsidR="001203FA" w:rsidRPr="00C13B0D" w:rsidRDefault="001203FA" w:rsidP="007B5794">
            <w:pPr>
              <w:pStyle w:val="ParagraphX"/>
              <w:jc w:val="center"/>
              <w:rPr>
                <w:sz w:val="18"/>
                <w:szCs w:val="18"/>
              </w:rPr>
            </w:pPr>
            <w:r w:rsidRPr="00C13B0D">
              <w:rPr>
                <w:sz w:val="18"/>
                <w:szCs w:val="18"/>
              </w:rPr>
              <w:t>Organic</w:t>
            </w:r>
          </w:p>
        </w:tc>
      </w:tr>
    </w:tbl>
    <w:p w14:paraId="49EF1048" w14:textId="77777777" w:rsidR="001203FA" w:rsidRDefault="001203FA" w:rsidP="002D54CC">
      <w:pPr>
        <w:pStyle w:val="ParagraphX"/>
      </w:pPr>
    </w:p>
    <w:p w14:paraId="5381646B" w14:textId="2BF34D0A" w:rsidR="002D54CC" w:rsidRDefault="00DE4CB3" w:rsidP="002D54CC">
      <w:pPr>
        <w:pStyle w:val="ParagraphX"/>
      </w:pPr>
      <w:r w:rsidRPr="00DE4CB3">
        <w:t xml:space="preserve">The test was performed </w:t>
      </w:r>
      <w:r w:rsidR="008035B0">
        <w:t>by</w:t>
      </w:r>
      <w:r w:rsidR="008035B0" w:rsidRPr="00DE4CB3">
        <w:t xml:space="preserve"> </w:t>
      </w:r>
      <w:r w:rsidRPr="00DE4CB3">
        <w:t>28</w:t>
      </w:r>
      <w:r w:rsidR="00B1146D">
        <w:t xml:space="preserve"> </w:t>
      </w:r>
      <w:r w:rsidR="008035B0">
        <w:t>non-trained assessors. A panel leader briefly explai</w:t>
      </w:r>
      <w:r w:rsidR="00B455A8">
        <w:t xml:space="preserve">ned the steps of the experiment. </w:t>
      </w:r>
      <w:r w:rsidR="00B1146D">
        <w:t>The test consists in two step</w:t>
      </w:r>
      <w:r w:rsidR="004240B0">
        <w:t>s: in the fir</w:t>
      </w:r>
      <w:r w:rsidR="00B1146D">
        <w:t>s</w:t>
      </w:r>
      <w:r w:rsidR="004240B0">
        <w:t>t, o</w:t>
      </w:r>
      <w:r w:rsidR="00B455A8" w:rsidRPr="00DE4CB3">
        <w:t xml:space="preserve">ne product </w:t>
      </w:r>
      <w:r w:rsidR="004240B0">
        <w:t>(</w:t>
      </w:r>
      <w:r w:rsidR="00B455A8" w:rsidRPr="00DE4CB3">
        <w:t>at a time</w:t>
      </w:r>
      <w:r w:rsidR="004240B0">
        <w:t>)</w:t>
      </w:r>
      <w:r w:rsidR="00B455A8" w:rsidRPr="00DE4CB3">
        <w:t xml:space="preserve"> </w:t>
      </w:r>
      <w:r w:rsidR="00B455A8">
        <w:t xml:space="preserve">was presented to the assessor that, </w:t>
      </w:r>
      <w:r w:rsidR="00B455A8" w:rsidRPr="00DE4CB3">
        <w:t>through</w:t>
      </w:r>
      <w:r w:rsidR="00B455A8">
        <w:t xml:space="preserve"> a </w:t>
      </w:r>
      <w:r w:rsidR="00B455A8" w:rsidRPr="00DE4CB3">
        <w:t>spontaneous sensorial analysis</w:t>
      </w:r>
      <w:r w:rsidR="00B455A8">
        <w:t>,</w:t>
      </w:r>
      <w:r w:rsidR="004240B0">
        <w:t xml:space="preserve"> </w:t>
      </w:r>
      <w:r w:rsidRPr="00DE4CB3">
        <w:t>was asked to place the product in a specific bin</w:t>
      </w:r>
      <w:r w:rsidR="00280AF7">
        <w:t xml:space="preserve"> (Figure 2)</w:t>
      </w:r>
      <w:r w:rsidRPr="00DE4CB3">
        <w:t xml:space="preserve">. </w:t>
      </w:r>
      <w:r w:rsidR="00B455A8">
        <w:t>A</w:t>
      </w:r>
      <w:r w:rsidRPr="00DE4CB3">
        <w:t xml:space="preserve"> data collection app was developed that </w:t>
      </w:r>
      <w:r w:rsidR="00B1146D">
        <w:t>provides</w:t>
      </w:r>
      <w:r w:rsidRPr="00DE4CB3">
        <w:t xml:space="preserve">, after the profiling of each user, the registration of different parameters: the time of each </w:t>
      </w:r>
      <w:r w:rsidR="00B36FEA">
        <w:t>analysis</w:t>
      </w:r>
      <w:r w:rsidRPr="00DE4CB3">
        <w:t>, the gesture</w:t>
      </w:r>
      <w:r w:rsidR="007D6F40">
        <w:t xml:space="preserve">s that the user </w:t>
      </w:r>
      <w:r w:rsidR="00B1146D">
        <w:t>performed and</w:t>
      </w:r>
      <w:r w:rsidR="007D6F40">
        <w:t xml:space="preserve"> the </w:t>
      </w:r>
      <w:r w:rsidRPr="00DE4CB3">
        <w:t xml:space="preserve">reflections that </w:t>
      </w:r>
      <w:r w:rsidR="00B36FEA">
        <w:t xml:space="preserve">users </w:t>
      </w:r>
      <w:r w:rsidRPr="00DE4CB3">
        <w:t xml:space="preserve">provided. </w:t>
      </w:r>
      <w:r w:rsidR="007D6F40" w:rsidRPr="007D6F40">
        <w:t xml:space="preserve">The user's gestures </w:t>
      </w:r>
      <w:r w:rsidR="00B455A8">
        <w:t>and</w:t>
      </w:r>
      <w:r w:rsidR="00B455A8" w:rsidRPr="007D6F40">
        <w:t xml:space="preserve"> </w:t>
      </w:r>
      <w:r w:rsidR="007D6F40" w:rsidRPr="007D6F40">
        <w:t>their interaction</w:t>
      </w:r>
      <w:r w:rsidR="00EE6E4B">
        <w:t>s with the product were</w:t>
      </w:r>
      <w:r w:rsidR="007D6F40" w:rsidRPr="007D6F40">
        <w:t xml:space="preserve"> </w:t>
      </w:r>
      <w:r w:rsidR="00EE6E4B">
        <w:lastRenderedPageBreak/>
        <w:t>collected</w:t>
      </w:r>
      <w:r w:rsidR="007D6F40" w:rsidRPr="007D6F40">
        <w:t>, dividing the possible interactions into 5 macro exploration areas: Technical investigation (pulling, weighing, flexing), tactile (sliding the finger, scratching, compressing), o</w:t>
      </w:r>
      <w:r w:rsidR="007D6F40">
        <w:t>lfactory investigation (</w:t>
      </w:r>
      <w:r w:rsidR="007D6F40" w:rsidRPr="007D6F40">
        <w:t>sniffing), visual investigation (Looking against the light, searching for the recycle symbol, overturning), auditory investigation (tapping, shaking</w:t>
      </w:r>
      <w:r w:rsidR="007D6F40">
        <w:t>)</w:t>
      </w:r>
      <w:r w:rsidR="007D6F40" w:rsidRPr="007D6F40">
        <w:t>.</w:t>
      </w:r>
      <w:r w:rsidR="007D6F40">
        <w:t xml:space="preserve"> </w:t>
      </w:r>
      <w:r w:rsidR="004F6BF9">
        <w:t>After</w:t>
      </w:r>
      <w:r w:rsidR="007D6F40">
        <w:t xml:space="preserve">, in </w:t>
      </w:r>
      <w:r w:rsidR="004240B0">
        <w:t xml:space="preserve">step </w:t>
      </w:r>
      <w:r w:rsidR="007D6F40">
        <w:t>2</w:t>
      </w:r>
      <w:r w:rsidR="004F6BF9">
        <w:t xml:space="preserve"> bins have been </w:t>
      </w:r>
      <w:r w:rsidR="004F6BF9" w:rsidRPr="004F6BF9">
        <w:t>emptied</w:t>
      </w:r>
      <w:r w:rsidRPr="00DE4CB3">
        <w:t xml:space="preserve"> </w:t>
      </w:r>
      <w:r w:rsidR="004F6BF9">
        <w:t xml:space="preserve">and each user </w:t>
      </w:r>
      <w:r w:rsidR="00B455A8">
        <w:t xml:space="preserve">was asked to </w:t>
      </w:r>
      <w:r w:rsidR="004F6BF9">
        <w:t xml:space="preserve">perform </w:t>
      </w:r>
      <w:r w:rsidRPr="00DE4CB3">
        <w:t xml:space="preserve">a </w:t>
      </w:r>
      <w:r w:rsidR="00B36FEA">
        <w:t>survey</w:t>
      </w:r>
      <w:r w:rsidRPr="00DE4CB3">
        <w:t xml:space="preserve"> </w:t>
      </w:r>
      <w:r w:rsidR="008856CD">
        <w:t xml:space="preserve">to </w:t>
      </w:r>
      <w:r w:rsidR="0060132C" w:rsidRPr="0060132C">
        <w:t>predict the correctness of their choices</w:t>
      </w:r>
      <w:r w:rsidR="0060132C">
        <w:t xml:space="preserve"> and</w:t>
      </w:r>
      <w:r w:rsidR="004F6BF9">
        <w:t xml:space="preserve"> </w:t>
      </w:r>
      <w:r w:rsidR="008856CD">
        <w:t xml:space="preserve">the </w:t>
      </w:r>
      <w:r w:rsidR="0060132C">
        <w:t>aesthetic attribute</w:t>
      </w:r>
      <w:r w:rsidR="004F6BF9">
        <w:t xml:space="preserve"> </w:t>
      </w:r>
      <w:r w:rsidR="0060132C">
        <w:t>associations</w:t>
      </w:r>
      <w:r w:rsidRPr="00DE4CB3">
        <w:t xml:space="preserve"> </w:t>
      </w:r>
      <w:r w:rsidR="004F6BF9">
        <w:t>to products thrown in the same bin</w:t>
      </w:r>
      <w:r w:rsidRPr="00DE4CB3">
        <w:t>.</w:t>
      </w:r>
      <w:r w:rsidR="0060132C">
        <w:t xml:space="preserve"> </w:t>
      </w:r>
      <w:r w:rsidRPr="00DE4CB3">
        <w:t>At the end of this session, the real destination of the objects was revealed to each user and their reaction</w:t>
      </w:r>
      <w:r w:rsidR="0060132C">
        <w:t>s were</w:t>
      </w:r>
      <w:r w:rsidRPr="00DE4CB3">
        <w:t xml:space="preserve"> collected.</w:t>
      </w:r>
    </w:p>
    <w:p w14:paraId="01D12C41" w14:textId="77777777" w:rsidR="004C3961" w:rsidRDefault="004C3961" w:rsidP="002D54CC">
      <w:pPr>
        <w:pStyle w:val="ParagraphX"/>
      </w:pPr>
    </w:p>
    <w:p w14:paraId="3F0592E7" w14:textId="09052D5A" w:rsidR="002D54CC" w:rsidRDefault="003A7173" w:rsidP="002D54CC">
      <w:pPr>
        <w:spacing w:line="240" w:lineRule="auto"/>
        <w:jc w:val="center"/>
        <w:rPr>
          <w:rFonts w:ascii="AGaramond" w:hAnsi="AGaramond"/>
          <w:sz w:val="22"/>
          <w:szCs w:val="22"/>
        </w:rPr>
      </w:pPr>
      <w:r>
        <w:rPr>
          <w:rFonts w:ascii="AGaramond" w:hAnsi="AGaramond"/>
          <w:noProof/>
          <w:sz w:val="22"/>
          <w:szCs w:val="22"/>
          <w:lang w:eastAsia="it-IT"/>
        </w:rPr>
        <w:t xml:space="preserve"> </w:t>
      </w:r>
      <w:r w:rsidR="0024107B" w:rsidRPr="0024107B">
        <w:rPr>
          <w:rFonts w:ascii="AGaramond" w:hAnsi="AGaramond"/>
          <w:noProof/>
          <w:sz w:val="22"/>
          <w:szCs w:val="22"/>
          <w:lang w:val="it-IT" w:eastAsia="it-IT"/>
        </w:rPr>
        <w:drawing>
          <wp:inline distT="0" distB="0" distL="0" distR="0" wp14:anchorId="7416F2D0" wp14:editId="332E0603">
            <wp:extent cx="3914775" cy="1973232"/>
            <wp:effectExtent l="0" t="0" r="0" b="8255"/>
            <wp:docPr id="10" name="Immagine 10" descr="C:\Users\rsanti\OD\PhD\test sensoriale\Immagini varie\Screenshot_20181128-1527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santi\OD\PhD\test sensoriale\Immagini varie\Screenshot_20181128-152744.jpg"/>
                    <pic:cNvPicPr>
                      <a:picLocks noChangeAspect="1" noChangeArrowheads="1"/>
                    </pic:cNvPicPr>
                  </pic:nvPicPr>
                  <pic:blipFill rotWithShape="1">
                    <a:blip r:embed="rId13">
                      <a:extLst>
                        <a:ext uri="{28A0092B-C50C-407E-A947-70E740481C1C}">
                          <a14:useLocalDpi xmlns:a14="http://schemas.microsoft.com/office/drawing/2010/main" val="0"/>
                        </a:ext>
                      </a:extLst>
                    </a:blip>
                    <a:srcRect t="46994" r="11817" b="27991"/>
                    <a:stretch/>
                  </pic:blipFill>
                  <pic:spPr bwMode="auto">
                    <a:xfrm>
                      <a:off x="0" y="0"/>
                      <a:ext cx="3978943" cy="2005576"/>
                    </a:xfrm>
                    <a:prstGeom prst="rect">
                      <a:avLst/>
                    </a:prstGeom>
                    <a:noFill/>
                    <a:ln>
                      <a:noFill/>
                    </a:ln>
                    <a:extLst>
                      <a:ext uri="{53640926-AAD7-44D8-BBD7-CCE9431645EC}">
                        <a14:shadowObscured xmlns:a14="http://schemas.microsoft.com/office/drawing/2010/main"/>
                      </a:ext>
                    </a:extLst>
                  </pic:spPr>
                </pic:pic>
              </a:graphicData>
            </a:graphic>
          </wp:inline>
        </w:drawing>
      </w:r>
    </w:p>
    <w:p w14:paraId="53E171CC" w14:textId="71D41291" w:rsidR="002D54CC" w:rsidRDefault="002D54CC" w:rsidP="002D54CC">
      <w:pPr>
        <w:pStyle w:val="FigurecaptionX"/>
        <w:rPr>
          <w:i/>
          <w:sz w:val="17"/>
          <w:szCs w:val="17"/>
        </w:rPr>
      </w:pPr>
      <w:r w:rsidRPr="004F414B">
        <w:t xml:space="preserve"> [</w:t>
      </w:r>
      <w:r w:rsidR="00733435">
        <w:t>Figure 2</w:t>
      </w:r>
      <w:r w:rsidRPr="00DB72D0">
        <w:t>]</w:t>
      </w:r>
      <w:r w:rsidRPr="00DB72D0">
        <w:rPr>
          <w:i/>
          <w:sz w:val="17"/>
          <w:szCs w:val="17"/>
        </w:rPr>
        <w:t xml:space="preserve"> </w:t>
      </w:r>
      <w:r w:rsidR="00733435">
        <w:rPr>
          <w:i/>
          <w:sz w:val="17"/>
          <w:szCs w:val="17"/>
        </w:rPr>
        <w:t>Set up of the test</w:t>
      </w:r>
      <w:r w:rsidR="00713241" w:rsidRPr="00DB72D0">
        <w:rPr>
          <w:i/>
          <w:sz w:val="17"/>
          <w:szCs w:val="17"/>
        </w:rPr>
        <w:t xml:space="preserve">, the user is exploring the object and must decide where to throw it. </w:t>
      </w:r>
    </w:p>
    <w:p w14:paraId="1CF4A18A" w14:textId="099A43C2" w:rsidR="002D54CC" w:rsidRDefault="002D54CC" w:rsidP="002D54CC">
      <w:pPr>
        <w:pStyle w:val="ParagraphHeadingX"/>
      </w:pPr>
      <w:r>
        <w:t>4</w:t>
      </w:r>
      <w:r w:rsidRPr="00701E22">
        <w:t xml:space="preserve">. </w:t>
      </w:r>
      <w:r>
        <w:t>RESULTS AND ANALYSIS</w:t>
      </w:r>
    </w:p>
    <w:p w14:paraId="3DF75D91" w14:textId="5C6E0E45" w:rsidR="00087217" w:rsidRDefault="0030775C" w:rsidP="00E04485">
      <w:pPr>
        <w:pStyle w:val="ParagraphX"/>
      </w:pPr>
      <w:r>
        <w:t xml:space="preserve">In </w:t>
      </w:r>
      <w:r w:rsidRPr="0030775C">
        <w:t xml:space="preserve">analyzing the results, </w:t>
      </w:r>
      <w:r w:rsidR="00292A75">
        <w:t xml:space="preserve">the first outcome </w:t>
      </w:r>
      <w:r w:rsidRPr="0030775C">
        <w:t>assessed</w:t>
      </w:r>
      <w:r w:rsidR="00292A75">
        <w:t xml:space="preserve"> has been</w:t>
      </w:r>
      <w:r w:rsidRPr="0030775C">
        <w:t xml:space="preserve"> how correctly assessors have allocated the products to the</w:t>
      </w:r>
      <w:r w:rsidR="00292A75">
        <w:t>ir</w:t>
      </w:r>
      <w:r w:rsidRPr="0030775C">
        <w:t xml:space="preserve"> waste streams</w:t>
      </w:r>
      <w:r w:rsidR="00292A75">
        <w:t xml:space="preserve"> (RQ1).</w:t>
      </w:r>
      <w:r w:rsidRPr="0030775C">
        <w:t xml:space="preserve"> </w:t>
      </w:r>
      <w:r w:rsidR="00560BE6" w:rsidRPr="00560BE6">
        <w:t xml:space="preserve">The products destined </w:t>
      </w:r>
      <w:r w:rsidR="008856CD">
        <w:t>to</w:t>
      </w:r>
      <w:r w:rsidR="008856CD" w:rsidRPr="00560BE6">
        <w:t xml:space="preserve"> </w:t>
      </w:r>
      <w:r w:rsidR="00560BE6" w:rsidRPr="00560BE6">
        <w:t>the plastic supply chain were the most recognized by the users (96%) followed by those destined to recycling in paper (74%) and finally the single use products destined for compost (24%)</w:t>
      </w:r>
      <w:r w:rsidR="00280AF7">
        <w:t xml:space="preserve"> as shown in Figure 3 (left side)</w:t>
      </w:r>
      <w:r w:rsidR="00560BE6" w:rsidRPr="00560BE6">
        <w:t xml:space="preserve">. This result differs from </w:t>
      </w:r>
      <w:r w:rsidR="008856CD">
        <w:t xml:space="preserve">the one evaluated </w:t>
      </w:r>
      <w:r w:rsidR="00560BE6" w:rsidRPr="00560BE6">
        <w:t>in phase 2 by asking users the percentage of presumed correctness of their choices. In fact, they considered they had conferred the products in the correct way for 67%.</w:t>
      </w:r>
      <w:r w:rsidR="001401F7">
        <w:t xml:space="preserve"> </w:t>
      </w:r>
      <w:r w:rsidR="001401F7" w:rsidRPr="001401F7">
        <w:t xml:space="preserve">Data processing was then conducted to understand </w:t>
      </w:r>
      <w:r w:rsidR="001401F7">
        <w:t>in which waste stream have been addressed</w:t>
      </w:r>
      <w:r w:rsidR="001401F7" w:rsidRPr="001401F7">
        <w:t xml:space="preserve"> the remaining 76% of compostable products. </w:t>
      </w:r>
      <w:r w:rsidR="001401F7">
        <w:t xml:space="preserve">Results show that the </w:t>
      </w:r>
      <w:r w:rsidR="001401F7" w:rsidRPr="001401F7">
        <w:t xml:space="preserve">51% of the </w:t>
      </w:r>
      <w:r w:rsidR="00E97C58">
        <w:t>compostable</w:t>
      </w:r>
      <w:r w:rsidR="001401F7" w:rsidRPr="001401F7">
        <w:t xml:space="preserve"> products were </w:t>
      </w:r>
      <w:r w:rsidR="00E97C58">
        <w:t>disposed</w:t>
      </w:r>
      <w:r w:rsidR="001401F7" w:rsidRPr="001401F7">
        <w:t xml:space="preserve"> </w:t>
      </w:r>
      <w:r w:rsidR="00E97C58">
        <w:t>with</w:t>
      </w:r>
      <w:r w:rsidR="001401F7" w:rsidRPr="001401F7">
        <w:t xml:space="preserve"> </w:t>
      </w:r>
      <w:r w:rsidR="00E97C58">
        <w:t>plastic ones</w:t>
      </w:r>
      <w:r w:rsidR="001401F7" w:rsidRPr="001401F7">
        <w:t xml:space="preserve"> and the remaining 25% </w:t>
      </w:r>
      <w:r w:rsidR="006D1CE7">
        <w:t xml:space="preserve">was </w:t>
      </w:r>
      <w:r w:rsidR="00E97C58">
        <w:t>disposed</w:t>
      </w:r>
      <w:r w:rsidR="001401F7" w:rsidRPr="001401F7">
        <w:t xml:space="preserve"> with paper products</w:t>
      </w:r>
      <w:r w:rsidR="00280AF7">
        <w:t xml:space="preserve"> as shown in Figure 3 (right)</w:t>
      </w:r>
      <w:r w:rsidR="001401F7" w:rsidRPr="001401F7">
        <w:t>.</w:t>
      </w:r>
      <w:r w:rsidR="00702718">
        <w:t xml:space="preserve"> </w:t>
      </w:r>
    </w:p>
    <w:p w14:paraId="0A244E7C" w14:textId="53C48C39" w:rsidR="00087217" w:rsidRDefault="009B1D35" w:rsidP="00451012">
      <w:pPr>
        <w:pStyle w:val="ParagraphX"/>
        <w:jc w:val="center"/>
      </w:pPr>
      <w:r>
        <w:rPr>
          <w:noProof/>
          <w:lang w:val="it-IT" w:eastAsia="it-IT"/>
        </w:rPr>
        <w:drawing>
          <wp:inline distT="0" distB="0" distL="0" distR="0" wp14:anchorId="5BF742F0" wp14:editId="112EC8E6">
            <wp:extent cx="2867025" cy="1724025"/>
            <wp:effectExtent l="0" t="0" r="0" b="0"/>
            <wp:docPr id="8" name="Gra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Pr>
          <w:noProof/>
          <w:lang w:val="it-IT" w:eastAsia="it-IT"/>
        </w:rPr>
        <w:drawing>
          <wp:inline distT="0" distB="0" distL="0" distR="0" wp14:anchorId="12913DF8" wp14:editId="0686CEEF">
            <wp:extent cx="2228850" cy="1732359"/>
            <wp:effectExtent l="0" t="0" r="0" b="1270"/>
            <wp:docPr id="9" name="Gra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ACE6036" w14:textId="766A2429" w:rsidR="00D029DE" w:rsidRDefault="00D029DE" w:rsidP="00D029DE">
      <w:pPr>
        <w:pStyle w:val="FigurecaptionX"/>
        <w:rPr>
          <w:i/>
          <w:sz w:val="17"/>
          <w:szCs w:val="17"/>
        </w:rPr>
      </w:pPr>
      <w:r w:rsidRPr="004F414B">
        <w:t>[</w:t>
      </w:r>
      <w:r>
        <w:t xml:space="preserve">Figure </w:t>
      </w:r>
      <w:r w:rsidR="00733435">
        <w:t>3</w:t>
      </w:r>
      <w:r w:rsidRPr="00DB72D0">
        <w:t>]</w:t>
      </w:r>
      <w:r w:rsidRPr="00DB72D0">
        <w:rPr>
          <w:i/>
          <w:sz w:val="17"/>
          <w:szCs w:val="17"/>
        </w:rPr>
        <w:t xml:space="preserve"> </w:t>
      </w:r>
      <w:r w:rsidR="00733435">
        <w:rPr>
          <w:i/>
          <w:sz w:val="17"/>
          <w:szCs w:val="17"/>
        </w:rPr>
        <w:t xml:space="preserve">On the left side, </w:t>
      </w:r>
      <w:r w:rsidR="00733435" w:rsidRPr="00733435">
        <w:rPr>
          <w:i/>
          <w:sz w:val="17"/>
          <w:szCs w:val="17"/>
        </w:rPr>
        <w:t>how correctly assessors have allocated the products to their waste streams</w:t>
      </w:r>
      <w:r w:rsidR="006E55DB">
        <w:rPr>
          <w:i/>
          <w:sz w:val="17"/>
          <w:szCs w:val="17"/>
        </w:rPr>
        <w:t>. On the right side, how assessors do dispose compostable SUPs</w:t>
      </w:r>
    </w:p>
    <w:p w14:paraId="5E67A3C3" w14:textId="77777777" w:rsidR="00087217" w:rsidRDefault="00087217" w:rsidP="00D029DE">
      <w:pPr>
        <w:pStyle w:val="ParagraphX"/>
      </w:pPr>
    </w:p>
    <w:p w14:paraId="7929A7F0" w14:textId="3355AE4A" w:rsidR="00815605" w:rsidRDefault="005666C8" w:rsidP="00E04485">
      <w:pPr>
        <w:pStyle w:val="ParagraphX"/>
      </w:pPr>
      <w:r w:rsidRPr="00702718">
        <w:t>Analysing</w:t>
      </w:r>
      <w:r w:rsidR="00702718" w:rsidRPr="00702718">
        <w:t xml:space="preserve"> the </w:t>
      </w:r>
      <w:r w:rsidR="006D1CE7" w:rsidRPr="00702718">
        <w:t xml:space="preserve">users </w:t>
      </w:r>
      <w:r w:rsidR="00702718" w:rsidRPr="00702718">
        <w:t xml:space="preserve">gestures has been found </w:t>
      </w:r>
      <w:r w:rsidR="00FE7262">
        <w:t xml:space="preserve">that </w:t>
      </w:r>
      <w:r w:rsidR="006D1CE7">
        <w:t>the</w:t>
      </w:r>
      <w:r w:rsidR="00702718" w:rsidRPr="00702718">
        <w:t xml:space="preserve"> more recognized</w:t>
      </w:r>
      <w:r w:rsidR="00702718">
        <w:t xml:space="preserve"> </w:t>
      </w:r>
      <w:r w:rsidR="00FE7262">
        <w:t>materials were the</w:t>
      </w:r>
      <w:r w:rsidR="00292A75">
        <w:t xml:space="preserve"> </w:t>
      </w:r>
      <w:r w:rsidR="00702718" w:rsidRPr="00702718">
        <w:t>less sensorially explored</w:t>
      </w:r>
      <w:r w:rsidR="00292A75">
        <w:t xml:space="preserve"> (RQ2)</w:t>
      </w:r>
      <w:r w:rsidR="00FE7262">
        <w:t xml:space="preserve">, while the </w:t>
      </w:r>
      <w:r w:rsidR="00702718" w:rsidRPr="00702718">
        <w:t xml:space="preserve">less recognized </w:t>
      </w:r>
      <w:r w:rsidR="00FE7262">
        <w:t>ones were the</w:t>
      </w:r>
      <w:r w:rsidR="00702718" w:rsidRPr="00702718">
        <w:t xml:space="preserve"> more sensorially explored. This aspect has considerable relevance if we deduce that the user searches </w:t>
      </w:r>
      <w:r w:rsidR="00702718">
        <w:t>in</w:t>
      </w:r>
      <w:r w:rsidR="00702718" w:rsidRPr="00702718">
        <w:t xml:space="preserve"> product </w:t>
      </w:r>
      <w:r w:rsidR="00702718">
        <w:t>interactions</w:t>
      </w:r>
      <w:r w:rsidR="00702718" w:rsidRPr="00702718">
        <w:t xml:space="preserve"> to decide where to throw it, sometimes he</w:t>
      </w:r>
      <w:r w:rsidR="00FE7262">
        <w:t>/she</w:t>
      </w:r>
      <w:r w:rsidR="00702718" w:rsidRPr="00702718">
        <w:t xml:space="preserve"> finds it and sometimes </w:t>
      </w:r>
      <w:r w:rsidR="00FE7262">
        <w:t xml:space="preserve">he/she </w:t>
      </w:r>
      <w:r w:rsidR="00702718" w:rsidRPr="00702718">
        <w:t>does not.</w:t>
      </w:r>
      <w:r w:rsidR="00BB20BB">
        <w:t xml:space="preserve"> </w:t>
      </w:r>
      <w:r w:rsidR="00BB20BB" w:rsidRPr="00BB20BB">
        <w:t xml:space="preserve">The senses most involved in the analysis of compostable products </w:t>
      </w:r>
      <w:r w:rsidR="00292A75">
        <w:t xml:space="preserve">(RQ3) </w:t>
      </w:r>
      <w:r w:rsidR="00BB20BB" w:rsidRPr="00BB20BB">
        <w:t>were touch, sight and smell.</w:t>
      </w:r>
      <w:r w:rsidR="00BB20BB">
        <w:t xml:space="preserve"> </w:t>
      </w:r>
      <w:r w:rsidR="00BB20BB" w:rsidRPr="00BB20BB">
        <w:t>Among these compostable products, 4 have involved the users in a greater way, they seem ambiguous and hybrid:</w:t>
      </w:r>
      <w:r w:rsidR="00141F80">
        <w:t xml:space="preserve"> plates P5, P6 and forks P12, P13</w:t>
      </w:r>
      <w:r w:rsidR="00BB20BB" w:rsidRPr="00BB20BB">
        <w:t>.</w:t>
      </w:r>
      <w:r w:rsidR="00BB20BB">
        <w:t xml:space="preserve"> </w:t>
      </w:r>
      <w:r w:rsidR="00BB20BB" w:rsidRPr="00BB20BB">
        <w:t>The other two compostable products</w:t>
      </w:r>
      <w:r w:rsidR="00141F80">
        <w:t xml:space="preserve"> P8. P9</w:t>
      </w:r>
      <w:r w:rsidR="00BB20BB" w:rsidRPr="00BB20BB">
        <w:t xml:space="preserve"> ie glass and cap made of transparent PLA (</w:t>
      </w:r>
      <w:r w:rsidR="00E43AE2" w:rsidRPr="00BB20BB">
        <w:t>Nature Works</w:t>
      </w:r>
      <w:r w:rsidR="00BB20BB" w:rsidRPr="00BB20BB">
        <w:t>) were not sensorially investigated in a relevant way and were destined together with plastic materials</w:t>
      </w:r>
      <w:r w:rsidR="00CE5DBD">
        <w:t xml:space="preserve"> in 80% of cases</w:t>
      </w:r>
      <w:r w:rsidR="00BB20BB" w:rsidRPr="00BB20BB">
        <w:t>.</w:t>
      </w:r>
      <w:r w:rsidR="00815605">
        <w:t xml:space="preserve"> </w:t>
      </w:r>
      <w:r w:rsidR="007954E1">
        <w:t xml:space="preserve">The </w:t>
      </w:r>
      <w:r w:rsidR="00815605" w:rsidRPr="00815605">
        <w:t xml:space="preserve">verbal protocol allowed </w:t>
      </w:r>
      <w:r w:rsidR="00D029DE" w:rsidRPr="00815605">
        <w:t>gathering</w:t>
      </w:r>
      <w:r w:rsidR="00815605" w:rsidRPr="00815605">
        <w:t xml:space="preserve"> </w:t>
      </w:r>
      <w:r w:rsidR="007954E1">
        <w:t xml:space="preserve">more detailed </w:t>
      </w:r>
      <w:r w:rsidR="00815605" w:rsidRPr="00815605">
        <w:t xml:space="preserve">opinions and observations. Many users </w:t>
      </w:r>
      <w:r w:rsidR="00815605" w:rsidRPr="00815605">
        <w:lastRenderedPageBreak/>
        <w:t xml:space="preserve">were </w:t>
      </w:r>
      <w:r w:rsidR="007954E1">
        <w:t>surprised</w:t>
      </w:r>
      <w:r w:rsidR="007954E1" w:rsidRPr="00815605">
        <w:t xml:space="preserve"> </w:t>
      </w:r>
      <w:r w:rsidR="00815605" w:rsidRPr="00815605">
        <w:t>that among the 4 bins</w:t>
      </w:r>
      <w:r w:rsidR="007954E1">
        <w:t>,</w:t>
      </w:r>
      <w:r w:rsidR="00815605" w:rsidRPr="00815605">
        <w:t xml:space="preserve"> </w:t>
      </w:r>
      <w:r w:rsidR="007954E1">
        <w:t xml:space="preserve">there was </w:t>
      </w:r>
      <w:r w:rsidR="00815605" w:rsidRPr="00815605">
        <w:t xml:space="preserve">included </w:t>
      </w:r>
      <w:r w:rsidR="007954E1">
        <w:t xml:space="preserve">the </w:t>
      </w:r>
      <w:r w:rsidR="00815605" w:rsidRPr="00815605">
        <w:t xml:space="preserve">one </w:t>
      </w:r>
      <w:r w:rsidR="007954E1">
        <w:t>for</w:t>
      </w:r>
      <w:r w:rsidR="007954E1" w:rsidRPr="00815605">
        <w:t xml:space="preserve"> </w:t>
      </w:r>
      <w:r w:rsidR="00815605" w:rsidRPr="00815605">
        <w:t>organic fraction, considering th</w:t>
      </w:r>
      <w:r w:rsidR="007954E1">
        <w:t>e different packaging analysed.</w:t>
      </w:r>
      <w:r w:rsidR="00815605">
        <w:t xml:space="preserve"> </w:t>
      </w:r>
      <w:r w:rsidR="0040228F">
        <w:t xml:space="preserve">Assessors’ </w:t>
      </w:r>
      <w:r w:rsidR="007954E1">
        <w:t xml:space="preserve">disposal choice was observed to be </w:t>
      </w:r>
      <w:r w:rsidR="00815605" w:rsidRPr="00815605">
        <w:t xml:space="preserve">guided by </w:t>
      </w:r>
      <w:r w:rsidR="007954E1">
        <w:t>the presence of</w:t>
      </w:r>
      <w:r w:rsidR="00815605" w:rsidRPr="00815605">
        <w:t xml:space="preserve"> the </w:t>
      </w:r>
      <w:r w:rsidR="00815605">
        <w:t xml:space="preserve">recycling </w:t>
      </w:r>
      <w:r w:rsidR="00815605" w:rsidRPr="00815605">
        <w:t>symbols</w:t>
      </w:r>
      <w:r w:rsidR="0040228F">
        <w:t xml:space="preserve">. Although, it was observed that in most of the cases, assessors were misled by symbols: in some compostable products, indeed, </w:t>
      </w:r>
      <w:r w:rsidR="00815605" w:rsidRPr="00815605">
        <w:t xml:space="preserve">the symbol "PLA" </w:t>
      </w:r>
      <w:r w:rsidR="0040228F">
        <w:t>was</w:t>
      </w:r>
      <w:r w:rsidR="0040228F" w:rsidRPr="00815605">
        <w:t xml:space="preserve"> </w:t>
      </w:r>
      <w:r w:rsidR="00815605" w:rsidRPr="00815605">
        <w:t xml:space="preserve">confused </w:t>
      </w:r>
      <w:r w:rsidR="0040228F">
        <w:t xml:space="preserve">with the word </w:t>
      </w:r>
      <w:r w:rsidR="00815605" w:rsidRPr="00815605">
        <w:t xml:space="preserve">"PLAstic". </w:t>
      </w:r>
    </w:p>
    <w:p w14:paraId="67FF49D4" w14:textId="3BDB8534" w:rsidR="002D54CC" w:rsidRDefault="002D54CC" w:rsidP="002D54CC">
      <w:pPr>
        <w:pStyle w:val="ParagraphHeadingX"/>
      </w:pPr>
      <w:r>
        <w:t>4</w:t>
      </w:r>
      <w:r w:rsidRPr="00701E22">
        <w:t xml:space="preserve">. </w:t>
      </w:r>
      <w:r>
        <w:t>CONCLUSIONS: IMPACT ON SUSTAINABILITY</w:t>
      </w:r>
    </w:p>
    <w:p w14:paraId="60872ABD" w14:textId="0CE5BF19" w:rsidR="000929A2" w:rsidRPr="0024107B" w:rsidRDefault="000929A2" w:rsidP="000929A2">
      <w:pPr>
        <w:spacing w:line="240" w:lineRule="auto"/>
        <w:rPr>
          <w:rFonts w:ascii="Arial" w:hAnsi="Arial" w:cs="Arial"/>
          <w:sz w:val="22"/>
          <w:szCs w:val="22"/>
        </w:rPr>
      </w:pPr>
      <w:r w:rsidRPr="00803244">
        <w:rPr>
          <w:rFonts w:ascii="AGaramond" w:eastAsia="Times New Roman" w:hAnsi="AGaramond"/>
          <w:sz w:val="22"/>
          <w:szCs w:val="22"/>
        </w:rPr>
        <w:t xml:space="preserve">A compostable product that is disposed in the </w:t>
      </w:r>
      <w:r>
        <w:rPr>
          <w:rFonts w:ascii="AGaramond" w:eastAsia="Times New Roman" w:hAnsi="AGaramond"/>
          <w:sz w:val="22"/>
          <w:szCs w:val="22"/>
        </w:rPr>
        <w:t>waste stream</w:t>
      </w:r>
      <w:r w:rsidRPr="00803244">
        <w:rPr>
          <w:rFonts w:ascii="AGaramond" w:eastAsia="Times New Roman" w:hAnsi="AGaramond"/>
          <w:sz w:val="22"/>
          <w:szCs w:val="22"/>
        </w:rPr>
        <w:t xml:space="preserve"> of fossil-based plastics </w:t>
      </w:r>
      <w:r>
        <w:rPr>
          <w:rFonts w:ascii="AGaramond" w:eastAsia="Times New Roman" w:hAnsi="AGaramond"/>
          <w:sz w:val="22"/>
          <w:szCs w:val="22"/>
        </w:rPr>
        <w:t>or in other one</w:t>
      </w:r>
      <w:r w:rsidRPr="00803244">
        <w:rPr>
          <w:rFonts w:ascii="AGaramond" w:eastAsia="Times New Roman" w:hAnsi="AGaramond"/>
          <w:sz w:val="22"/>
          <w:szCs w:val="22"/>
        </w:rPr>
        <w:t xml:space="preserve"> </w:t>
      </w:r>
      <w:r>
        <w:rPr>
          <w:rFonts w:ascii="AGaramond" w:eastAsia="Times New Roman" w:hAnsi="AGaramond"/>
          <w:sz w:val="22"/>
          <w:szCs w:val="22"/>
        </w:rPr>
        <w:t>contaminate</w:t>
      </w:r>
      <w:r w:rsidRPr="00803244">
        <w:rPr>
          <w:rFonts w:ascii="AGaramond" w:eastAsia="Times New Roman" w:hAnsi="AGaramond"/>
          <w:sz w:val="22"/>
          <w:szCs w:val="22"/>
        </w:rPr>
        <w:t xml:space="preserve"> </w:t>
      </w:r>
      <w:r>
        <w:rPr>
          <w:rFonts w:ascii="AGaramond" w:eastAsia="Times New Roman" w:hAnsi="AGaramond"/>
          <w:sz w:val="22"/>
          <w:szCs w:val="22"/>
        </w:rPr>
        <w:t>that</w:t>
      </w:r>
      <w:r w:rsidRPr="00803244">
        <w:rPr>
          <w:rFonts w:ascii="AGaramond" w:eastAsia="Times New Roman" w:hAnsi="AGaramond"/>
          <w:sz w:val="22"/>
          <w:szCs w:val="22"/>
        </w:rPr>
        <w:t xml:space="preserve"> </w:t>
      </w:r>
      <w:r>
        <w:rPr>
          <w:rFonts w:ascii="AGaramond" w:eastAsia="Times New Roman" w:hAnsi="AGaramond"/>
          <w:sz w:val="22"/>
          <w:szCs w:val="22"/>
        </w:rPr>
        <w:t>recycling chain. So, the circularity of compostable SUPs can be achieved only through a right behaviour of the user in the disposal phase. I</w:t>
      </w:r>
      <w:r w:rsidRPr="00C0206E">
        <w:rPr>
          <w:rFonts w:ascii="AGaramond" w:eastAsia="Times New Roman" w:hAnsi="AGaramond"/>
          <w:sz w:val="22"/>
          <w:szCs w:val="22"/>
        </w:rPr>
        <w:t xml:space="preserve">f the user-product interaction is </w:t>
      </w:r>
      <w:r>
        <w:rPr>
          <w:rFonts w:ascii="AGaramond" w:eastAsia="Times New Roman" w:hAnsi="AGaramond"/>
          <w:sz w:val="22"/>
          <w:szCs w:val="22"/>
        </w:rPr>
        <w:t>not appropriate</w:t>
      </w:r>
      <w:r w:rsidRPr="00C0206E">
        <w:rPr>
          <w:rFonts w:ascii="AGaramond" w:eastAsia="Times New Roman" w:hAnsi="AGaramond"/>
          <w:sz w:val="22"/>
          <w:szCs w:val="22"/>
        </w:rPr>
        <w:t xml:space="preserve"> and the user does not take the right behaviour, the disposal phase can significantly influence the environmental impact.</w:t>
      </w:r>
      <w:r w:rsidR="00451012">
        <w:rPr>
          <w:rFonts w:ascii="AGaramond" w:eastAsia="Times New Roman" w:hAnsi="AGaramond"/>
          <w:sz w:val="22"/>
          <w:szCs w:val="22"/>
        </w:rPr>
        <w:t xml:space="preserve"> </w:t>
      </w:r>
      <w:r w:rsidRPr="00803244">
        <w:rPr>
          <w:rFonts w:ascii="AGaramond" w:eastAsia="Times New Roman" w:hAnsi="AGaramond"/>
          <w:sz w:val="22"/>
          <w:szCs w:val="22"/>
        </w:rPr>
        <w:t>It</w:t>
      </w:r>
      <w:r>
        <w:rPr>
          <w:rFonts w:ascii="AGaramond" w:eastAsia="Times New Roman" w:hAnsi="AGaramond"/>
          <w:sz w:val="22"/>
          <w:szCs w:val="22"/>
        </w:rPr>
        <w:t xml:space="preserve"> is therefore relevant </w:t>
      </w:r>
      <w:r w:rsidRPr="00803244">
        <w:rPr>
          <w:rFonts w:ascii="AGaramond" w:eastAsia="Times New Roman" w:hAnsi="AGaramond"/>
          <w:sz w:val="22"/>
          <w:szCs w:val="22"/>
        </w:rPr>
        <w:t>to note that user</w:t>
      </w:r>
      <w:r>
        <w:rPr>
          <w:rFonts w:ascii="AGaramond" w:eastAsia="Times New Roman" w:hAnsi="AGaramond"/>
          <w:sz w:val="22"/>
          <w:szCs w:val="22"/>
        </w:rPr>
        <w:t>s behaviour</w:t>
      </w:r>
      <w:r w:rsidRPr="00803244">
        <w:rPr>
          <w:rFonts w:ascii="AGaramond" w:eastAsia="Times New Roman" w:hAnsi="AGaramond"/>
          <w:sz w:val="22"/>
          <w:szCs w:val="22"/>
        </w:rPr>
        <w:t xml:space="preserve"> is an active and decisiv</w:t>
      </w:r>
      <w:r>
        <w:rPr>
          <w:rFonts w:ascii="AGaramond" w:eastAsia="Times New Roman" w:hAnsi="AGaramond"/>
          <w:sz w:val="22"/>
          <w:szCs w:val="22"/>
        </w:rPr>
        <w:t>e factor when assessing</w:t>
      </w:r>
      <w:r w:rsidRPr="00803244">
        <w:rPr>
          <w:rFonts w:ascii="AGaramond" w:eastAsia="Times New Roman" w:hAnsi="AGaramond"/>
          <w:sz w:val="22"/>
          <w:szCs w:val="22"/>
        </w:rPr>
        <w:t xml:space="preserve"> the environmental impact</w:t>
      </w:r>
      <w:r>
        <w:rPr>
          <w:rFonts w:ascii="AGaramond" w:eastAsia="Times New Roman" w:hAnsi="AGaramond"/>
          <w:sz w:val="22"/>
          <w:szCs w:val="22"/>
        </w:rPr>
        <w:t xml:space="preserve"> of a product </w:t>
      </w:r>
      <w:r>
        <w:rPr>
          <w:rFonts w:ascii="AGaramond" w:eastAsia="Times New Roman" w:hAnsi="AGaramond"/>
          <w:sz w:val="22"/>
          <w:szCs w:val="22"/>
        </w:rPr>
        <w:fldChar w:fldCharType="begin" w:fldLock="1"/>
      </w:r>
      <w:r>
        <w:rPr>
          <w:rFonts w:ascii="AGaramond" w:eastAsia="Times New Roman" w:hAnsi="AGaramond"/>
          <w:sz w:val="22"/>
          <w:szCs w:val="22"/>
        </w:rPr>
        <w:instrText>ADDIN CSL_CITATION {"citationItems":[{"id":"ITEM-1","itemData":{"DOI":"10.1080/19397038.2015.1010630","ISBN":"19397038 (ISSN)","ISSN":"19397046","abstract":"For Life Cycle Assessment (LCA) studies of products where the use phase is responsible for a large share of the total environmental impact, variations in the way the products are being used may have a significant impact on the results. The purpose of this paper is to investigate how a better understanding of the use phase, and possibly techniques and experience applied in Design for Sustainable Behaviour (DfSB), may contribute to the way LCA deals with uncertainties related to variations in the use phase. To inform the investigation of how variations in the use phase are dealt with in the LCA literature today, three previously published LCA studies are analysed. Among these studies, there is a clear variation in where the (limited) attention given to this uncertainty is directed to, and how this is done. Improving the understanding of the potential variations and thereby the ability to take them into account in the LCA may require additional measurements. For situations where limited resources make extensive real-life user studies problematic, a small-scale approach is suggested. The DfSB literature both contains insight into how a large number of user research methods best can be applied to investigate the environmental aspects of how people interact with products and a growing database of case studies that may contribute to reducing the uncertainty of the use phase in LCAs.","author":[{"dropping-particle":"","family":"Daae","given":"Johannes","non-dropping-particle":"","parse-names":false,"suffix":""},{"dropping-particle":"","family":"Boks","given":"Casper","non-dropping-particle":"","parse-names":false,"suffix":""}],"container-title":"International Journal of Sustainable Engineering","id":"ITEM-1","issue":"3","issued":{"date-parts":[["2015"]]},"page":"148-162","title":"Opportunities and challenges for addressing variations in the use phase with LCA and Design for Sustainable Behaviour","type":"article-journal","volume":"8"},"uris":["http://www.mendeley.com/documents/?uuid=f5a0a603-52d2-4632-a312-97f64ea22339","http://www.mendeley.com/documents/?uuid=cddc549a-8395-4645-a0fb-ba1f043b70dd"]}],"mendeley":{"formattedCitation":"(Daae &amp; Boks, 2015)","plainTextFormattedCitation":"(Daae &amp; Boks, 2015)","previouslyFormattedCitation":"(Daae &amp; Boks, 2015)"},"properties":{"noteIndex":0},"schema":"https://github.com/citation-style-language/schema/raw/master/csl-citation.json"}</w:instrText>
      </w:r>
      <w:r>
        <w:rPr>
          <w:rFonts w:ascii="AGaramond" w:eastAsia="Times New Roman" w:hAnsi="AGaramond"/>
          <w:sz w:val="22"/>
          <w:szCs w:val="22"/>
        </w:rPr>
        <w:fldChar w:fldCharType="separate"/>
      </w:r>
      <w:r w:rsidRPr="004B4708">
        <w:rPr>
          <w:rFonts w:ascii="AGaramond" w:eastAsia="Times New Roman" w:hAnsi="AGaramond"/>
          <w:noProof/>
          <w:sz w:val="22"/>
          <w:szCs w:val="22"/>
        </w:rPr>
        <w:t>(Daae &amp; Boks, 2015)</w:t>
      </w:r>
      <w:r>
        <w:rPr>
          <w:rFonts w:ascii="AGaramond" w:eastAsia="Times New Roman" w:hAnsi="AGaramond"/>
          <w:sz w:val="22"/>
          <w:szCs w:val="22"/>
        </w:rPr>
        <w:fldChar w:fldCharType="end"/>
      </w:r>
      <w:r w:rsidRPr="00803244">
        <w:rPr>
          <w:rFonts w:ascii="AGaramond" w:eastAsia="Times New Roman" w:hAnsi="AGaramond"/>
          <w:sz w:val="22"/>
          <w:szCs w:val="22"/>
        </w:rPr>
        <w:t xml:space="preserve">. </w:t>
      </w:r>
      <w:r w:rsidRPr="00C0206E">
        <w:rPr>
          <w:rFonts w:ascii="AGaramond" w:eastAsia="Times New Roman" w:hAnsi="AGaramond"/>
          <w:sz w:val="22"/>
          <w:szCs w:val="22"/>
        </w:rPr>
        <w:t xml:space="preserve">This study placed the user at the </w:t>
      </w:r>
      <w:r w:rsidR="00141F80" w:rsidRPr="00C0206E">
        <w:rPr>
          <w:rFonts w:ascii="AGaramond" w:eastAsia="Times New Roman" w:hAnsi="AGaramond"/>
          <w:sz w:val="22"/>
          <w:szCs w:val="22"/>
        </w:rPr>
        <w:t>centre</w:t>
      </w:r>
      <w:r w:rsidRPr="00C0206E">
        <w:rPr>
          <w:rFonts w:ascii="AGaramond" w:eastAsia="Times New Roman" w:hAnsi="AGaramond"/>
          <w:sz w:val="22"/>
          <w:szCs w:val="22"/>
        </w:rPr>
        <w:t xml:space="preserve"> of the system to identify the causes and </w:t>
      </w:r>
      <w:r>
        <w:rPr>
          <w:rFonts w:ascii="AGaramond" w:eastAsia="Times New Roman" w:hAnsi="AGaramond"/>
          <w:sz w:val="22"/>
          <w:szCs w:val="22"/>
        </w:rPr>
        <w:t>to highlight the impact that a wrong product design can cause. In this historical moment in which regulations and so the</w:t>
      </w:r>
      <w:r w:rsidRPr="00F81F9C">
        <w:rPr>
          <w:rFonts w:ascii="AGaramond" w:eastAsia="Times New Roman" w:hAnsi="AGaramond"/>
          <w:sz w:val="22"/>
          <w:szCs w:val="22"/>
        </w:rPr>
        <w:t xml:space="preserve"> market is changing, the</w:t>
      </w:r>
      <w:r>
        <w:rPr>
          <w:rFonts w:ascii="AGaramond" w:eastAsia="Times New Roman" w:hAnsi="AGaramond"/>
          <w:sz w:val="22"/>
          <w:szCs w:val="22"/>
        </w:rPr>
        <w:t xml:space="preserve"> product</w:t>
      </w:r>
      <w:r w:rsidRPr="00F81F9C">
        <w:rPr>
          <w:rFonts w:ascii="AGaramond" w:eastAsia="Times New Roman" w:hAnsi="AGaramond"/>
          <w:sz w:val="22"/>
          <w:szCs w:val="22"/>
        </w:rPr>
        <w:t xml:space="preserve"> d</w:t>
      </w:r>
      <w:r>
        <w:rPr>
          <w:rFonts w:ascii="AGaramond" w:eastAsia="Times New Roman" w:hAnsi="AGaramond"/>
          <w:sz w:val="22"/>
          <w:szCs w:val="22"/>
        </w:rPr>
        <w:t>esigner is a key figure in the shift towards compostable SUPs</w:t>
      </w:r>
      <w:r w:rsidRPr="00F81F9C">
        <w:rPr>
          <w:rFonts w:ascii="AGaramond" w:eastAsia="Times New Roman" w:hAnsi="AGaramond"/>
          <w:sz w:val="22"/>
          <w:szCs w:val="22"/>
        </w:rPr>
        <w:t>. The new comp</w:t>
      </w:r>
      <w:r>
        <w:rPr>
          <w:rFonts w:ascii="AGaramond" w:eastAsia="Times New Roman" w:hAnsi="AGaramond"/>
          <w:sz w:val="22"/>
          <w:szCs w:val="22"/>
        </w:rPr>
        <w:t>ostable bioplastic products should</w:t>
      </w:r>
      <w:r w:rsidRPr="00F81F9C">
        <w:rPr>
          <w:rFonts w:ascii="AGaramond" w:eastAsia="Times New Roman" w:hAnsi="AGaramond"/>
          <w:sz w:val="22"/>
          <w:szCs w:val="22"/>
        </w:rPr>
        <w:t xml:space="preserve"> be designed in an active way, guiding their recognition.</w:t>
      </w:r>
      <w:r w:rsidR="00451012">
        <w:rPr>
          <w:rFonts w:ascii="AGaramond" w:eastAsia="Times New Roman" w:hAnsi="AGaramond"/>
          <w:sz w:val="22"/>
          <w:szCs w:val="22"/>
        </w:rPr>
        <w:t xml:space="preserve"> </w:t>
      </w:r>
      <w:r w:rsidRPr="00C0206E">
        <w:rPr>
          <w:rFonts w:ascii="AGaramond" w:eastAsia="Times New Roman" w:hAnsi="AGaramond"/>
          <w:sz w:val="22"/>
          <w:szCs w:val="22"/>
        </w:rPr>
        <w:t xml:space="preserve">For example, transparency, much sought after in </w:t>
      </w:r>
      <w:r w:rsidR="00B1113E">
        <w:rPr>
          <w:rFonts w:ascii="AGaramond" w:eastAsia="Times New Roman" w:hAnsi="AGaramond"/>
          <w:sz w:val="22"/>
          <w:szCs w:val="22"/>
        </w:rPr>
        <w:t>food packaging</w:t>
      </w:r>
      <w:r w:rsidRPr="00A16697">
        <w:rPr>
          <w:rFonts w:ascii="AGaramond" w:eastAsia="Times New Roman" w:hAnsi="AGaramond"/>
          <w:sz w:val="22"/>
          <w:szCs w:val="22"/>
        </w:rPr>
        <w:t xml:space="preserve"> products</w:t>
      </w:r>
      <w:r>
        <w:rPr>
          <w:rFonts w:ascii="AGaramond" w:eastAsia="Times New Roman" w:hAnsi="AGaramond"/>
          <w:sz w:val="22"/>
          <w:szCs w:val="22"/>
        </w:rPr>
        <w:t xml:space="preserve"> </w:t>
      </w:r>
      <w:r>
        <w:rPr>
          <w:rFonts w:ascii="AGaramond" w:eastAsia="Times New Roman" w:hAnsi="AGaramond"/>
          <w:sz w:val="22"/>
          <w:szCs w:val="22"/>
        </w:rPr>
        <w:fldChar w:fldCharType="begin" w:fldLock="1"/>
      </w:r>
      <w:r>
        <w:rPr>
          <w:rFonts w:ascii="AGaramond" w:eastAsia="Times New Roman" w:hAnsi="AGaramond"/>
          <w:sz w:val="22"/>
          <w:szCs w:val="22"/>
        </w:rPr>
        <w:instrText>ADDIN CSL_CITATION {"citationItems":[{"id":"ITEM-1","itemData":{"DOI":"10.1080/09544828.2018.1515426","ISSN":"0954-4828","author":[{"dropping-particle":"","family":"Cheng","given":"Peiyao","non-dropping-particle":"","parse-names":false,"suffix":""},{"dropping-particle":"","family":"Mugge","given":"Ruth","non-dropping-particle":"","parse-names":false,"suffix":""},{"dropping-particle":"","family":"Bont","given":"Cees","non-dropping-particle":"de","parse-names":false,"suffix":""}],"container-title":"Journal of Engineering Design","id":"ITEM-1","issue":"0","issued":{"date-parts":[["2018"]]},"page":"1-30","publisher":"Taylor &amp; Francis","title":"Transparency in product design: investigating design intentions and consumers' interpretations","type":"article-journal","volume":"0"},"uris":["http://www.mendeley.com/documents/?uuid=f69680b7-f281-4b3a-8b36-668167a68727","http://www.mendeley.com/documents/?uuid=9939a6e3-abc0-470e-aae6-0a814c72510f"]}],"mendeley":{"formattedCitation":"(Cheng, Mugge, &amp; de Bont, 2018)","plainTextFormattedCitation":"(Cheng, Mugge, &amp; de Bont, 2018)","previouslyFormattedCitation":"(Cheng, Mugge, &amp; de Bont, 2018)"},"properties":{"noteIndex":0},"schema":"https://github.com/citation-style-language/schema/raw/master/csl-citation.json"}</w:instrText>
      </w:r>
      <w:r>
        <w:rPr>
          <w:rFonts w:ascii="AGaramond" w:eastAsia="Times New Roman" w:hAnsi="AGaramond"/>
          <w:sz w:val="22"/>
          <w:szCs w:val="22"/>
        </w:rPr>
        <w:fldChar w:fldCharType="separate"/>
      </w:r>
      <w:r w:rsidRPr="00A16697">
        <w:rPr>
          <w:rFonts w:ascii="AGaramond" w:eastAsia="Times New Roman" w:hAnsi="AGaramond"/>
          <w:noProof/>
          <w:sz w:val="22"/>
          <w:szCs w:val="22"/>
        </w:rPr>
        <w:t>(Cheng, Mugge, &amp; de Bont, 2018)</w:t>
      </w:r>
      <w:r>
        <w:rPr>
          <w:rFonts w:ascii="AGaramond" w:eastAsia="Times New Roman" w:hAnsi="AGaramond"/>
          <w:sz w:val="22"/>
          <w:szCs w:val="22"/>
        </w:rPr>
        <w:fldChar w:fldCharType="end"/>
      </w:r>
      <w:r w:rsidRPr="00A16697">
        <w:rPr>
          <w:rFonts w:ascii="AGaramond" w:eastAsia="Times New Roman" w:hAnsi="AGaramond"/>
          <w:sz w:val="22"/>
          <w:szCs w:val="22"/>
        </w:rPr>
        <w:t>, is actually a misleading factor</w:t>
      </w:r>
      <w:r>
        <w:rPr>
          <w:rFonts w:ascii="AGaramond" w:eastAsia="Times New Roman" w:hAnsi="AGaramond"/>
          <w:sz w:val="22"/>
          <w:szCs w:val="22"/>
        </w:rPr>
        <w:t xml:space="preserve"> for compostable products, a</w:t>
      </w:r>
      <w:r w:rsidRPr="00A16697">
        <w:rPr>
          <w:rFonts w:ascii="AGaramond" w:eastAsia="Times New Roman" w:hAnsi="AGaramond"/>
          <w:sz w:val="22"/>
          <w:szCs w:val="22"/>
        </w:rPr>
        <w:t xml:space="preserve">s well as the current symbolism used in </w:t>
      </w:r>
      <w:r>
        <w:rPr>
          <w:rFonts w:ascii="AGaramond" w:eastAsia="Times New Roman" w:hAnsi="AGaramond"/>
          <w:sz w:val="22"/>
          <w:szCs w:val="22"/>
        </w:rPr>
        <w:t xml:space="preserve">packaging </w:t>
      </w:r>
      <w:r w:rsidRPr="00A16697">
        <w:rPr>
          <w:rFonts w:ascii="AGaramond" w:eastAsia="Times New Roman" w:hAnsi="AGaramond"/>
          <w:sz w:val="22"/>
          <w:szCs w:val="22"/>
        </w:rPr>
        <w:t xml:space="preserve">products. Moreover, the </w:t>
      </w:r>
      <w:r>
        <w:rPr>
          <w:rFonts w:ascii="AGaramond" w:eastAsia="Times New Roman" w:hAnsi="AGaramond"/>
          <w:sz w:val="22"/>
          <w:szCs w:val="22"/>
        </w:rPr>
        <w:t>compostable</w:t>
      </w:r>
      <w:r w:rsidRPr="00A16697">
        <w:rPr>
          <w:rFonts w:ascii="AGaramond" w:eastAsia="Times New Roman" w:hAnsi="AGaramond"/>
          <w:sz w:val="22"/>
          <w:szCs w:val="22"/>
        </w:rPr>
        <w:t xml:space="preserve"> products that follow the formal archetype of the fossil-based ones do not lead the user to a sufficient </w:t>
      </w:r>
      <w:r>
        <w:rPr>
          <w:rFonts w:ascii="AGaramond" w:eastAsia="Times New Roman" w:hAnsi="AGaramond"/>
          <w:sz w:val="22"/>
          <w:szCs w:val="22"/>
        </w:rPr>
        <w:t>sensorial</w:t>
      </w:r>
      <w:r w:rsidRPr="00A16697">
        <w:rPr>
          <w:rFonts w:ascii="AGaramond" w:eastAsia="Times New Roman" w:hAnsi="AGaramond"/>
          <w:sz w:val="22"/>
          <w:szCs w:val="22"/>
        </w:rPr>
        <w:t xml:space="preserve"> exploration, since </w:t>
      </w:r>
      <w:r>
        <w:rPr>
          <w:rFonts w:ascii="AGaramond" w:eastAsia="Times New Roman" w:hAnsi="AGaramond"/>
          <w:sz w:val="22"/>
          <w:szCs w:val="22"/>
        </w:rPr>
        <w:t>the user</w:t>
      </w:r>
      <w:r w:rsidRPr="00A16697">
        <w:rPr>
          <w:rFonts w:ascii="AGaramond" w:eastAsia="Times New Roman" w:hAnsi="AGaramond"/>
          <w:sz w:val="22"/>
          <w:szCs w:val="22"/>
        </w:rPr>
        <w:t xml:space="preserve"> refers</w:t>
      </w:r>
      <w:r>
        <w:rPr>
          <w:rFonts w:ascii="AGaramond" w:eastAsia="Times New Roman" w:hAnsi="AGaramond"/>
          <w:sz w:val="22"/>
          <w:szCs w:val="22"/>
        </w:rPr>
        <w:t xml:space="preserve"> first</w:t>
      </w:r>
      <w:r w:rsidRPr="00A16697">
        <w:rPr>
          <w:rFonts w:ascii="AGaramond" w:eastAsia="Times New Roman" w:hAnsi="AGaramond"/>
          <w:sz w:val="22"/>
          <w:szCs w:val="22"/>
        </w:rPr>
        <w:t xml:space="preserve"> to his previous visual knowledge. </w:t>
      </w:r>
      <w:r w:rsidRPr="00B1113E">
        <w:rPr>
          <w:rFonts w:ascii="AGaramond" w:eastAsia="Times New Roman" w:hAnsi="AGaramond"/>
          <w:sz w:val="22"/>
          <w:szCs w:val="22"/>
        </w:rPr>
        <w:t xml:space="preserve">The </w:t>
      </w:r>
      <w:r w:rsidR="00D029DE" w:rsidRPr="00B1113E">
        <w:rPr>
          <w:rFonts w:ascii="AGaramond" w:eastAsia="Times New Roman" w:hAnsi="AGaramond"/>
          <w:sz w:val="22"/>
          <w:szCs w:val="22"/>
        </w:rPr>
        <w:t>colour</w:t>
      </w:r>
      <w:r w:rsidRPr="00B1113E">
        <w:rPr>
          <w:rFonts w:ascii="AGaramond" w:eastAsia="Times New Roman" w:hAnsi="AGaramond"/>
          <w:sz w:val="22"/>
          <w:szCs w:val="22"/>
        </w:rPr>
        <w:t xml:space="preserve"> (sight), texture (touch) and smell can be possible sensory channels to be explored in designing with bioplastics because they are the attributes </w:t>
      </w:r>
      <w:r w:rsidRPr="00A16697">
        <w:rPr>
          <w:rFonts w:ascii="AGaramond" w:eastAsia="Times New Roman" w:hAnsi="AGaramond"/>
          <w:sz w:val="22"/>
          <w:szCs w:val="22"/>
        </w:rPr>
        <w:t xml:space="preserve">that do not constitute, at this time, reasons for recognizing the objects of the other </w:t>
      </w:r>
      <w:r>
        <w:rPr>
          <w:rFonts w:ascii="AGaramond" w:eastAsia="Times New Roman" w:hAnsi="AGaramond"/>
          <w:sz w:val="22"/>
          <w:szCs w:val="22"/>
        </w:rPr>
        <w:t>material classes</w:t>
      </w:r>
      <w:r w:rsidRPr="00A16697">
        <w:rPr>
          <w:rFonts w:ascii="AGaramond" w:eastAsia="Times New Roman" w:hAnsi="AGaramond"/>
          <w:sz w:val="22"/>
          <w:szCs w:val="22"/>
        </w:rPr>
        <w:t>.</w:t>
      </w:r>
      <w:r>
        <w:rPr>
          <w:rFonts w:ascii="AGaramond" w:eastAsia="Times New Roman" w:hAnsi="AGaramond"/>
          <w:sz w:val="22"/>
          <w:szCs w:val="22"/>
        </w:rPr>
        <w:t xml:space="preserve"> </w:t>
      </w:r>
      <w:r w:rsidRPr="000010D2">
        <w:rPr>
          <w:rFonts w:ascii="AGaramond" w:eastAsia="Times New Roman" w:hAnsi="AGaramond"/>
          <w:sz w:val="22"/>
          <w:szCs w:val="22"/>
        </w:rPr>
        <w:t>Plastics and paper have a strong connotation and detachment; compostable bioplastics</w:t>
      </w:r>
      <w:r>
        <w:rPr>
          <w:rFonts w:ascii="AGaramond" w:eastAsia="Times New Roman" w:hAnsi="AGaramond"/>
          <w:sz w:val="22"/>
          <w:szCs w:val="22"/>
        </w:rPr>
        <w:t xml:space="preserve"> single-use products</w:t>
      </w:r>
      <w:r w:rsidRPr="000010D2">
        <w:rPr>
          <w:rFonts w:ascii="AGaramond" w:eastAsia="Times New Roman" w:hAnsi="AGaramond"/>
          <w:sz w:val="22"/>
          <w:szCs w:val="22"/>
        </w:rPr>
        <w:t xml:space="preserve"> have a misleading identity, not yet clear and diversified.</w:t>
      </w:r>
      <w:r>
        <w:rPr>
          <w:rFonts w:ascii="AGaramond" w:eastAsia="Times New Roman" w:hAnsi="AGaramond"/>
          <w:sz w:val="22"/>
          <w:szCs w:val="22"/>
        </w:rPr>
        <w:t xml:space="preserve"> </w:t>
      </w:r>
      <w:r w:rsidR="0024107B" w:rsidRPr="0024107B">
        <w:rPr>
          <w:rFonts w:ascii="AGaramond" w:eastAsia="Times New Roman" w:hAnsi="AGaramond"/>
          <w:sz w:val="22"/>
          <w:szCs w:val="22"/>
        </w:rPr>
        <w:t>DfSB therefore plays a fundamental role in the present research considering the human factor within eco-design strategies thanks to the multidisciplinary and user-</w:t>
      </w:r>
      <w:r w:rsidR="00D029DE" w:rsidRPr="0024107B">
        <w:rPr>
          <w:rFonts w:ascii="AGaramond" w:eastAsia="Times New Roman" w:hAnsi="AGaramond"/>
          <w:sz w:val="22"/>
          <w:szCs w:val="22"/>
        </w:rPr>
        <w:t>centred</w:t>
      </w:r>
      <w:r w:rsidR="0024107B" w:rsidRPr="0024107B">
        <w:rPr>
          <w:rFonts w:ascii="AGaramond" w:eastAsia="Times New Roman" w:hAnsi="AGaramond"/>
          <w:sz w:val="22"/>
          <w:szCs w:val="22"/>
        </w:rPr>
        <w:t xml:space="preserve"> approach</w:t>
      </w:r>
      <w:r w:rsidRPr="0024107B">
        <w:rPr>
          <w:rFonts w:ascii="AGaramond" w:eastAsia="Times New Roman" w:hAnsi="AGaramond"/>
          <w:sz w:val="22"/>
          <w:szCs w:val="22"/>
        </w:rPr>
        <w:t>.</w:t>
      </w:r>
    </w:p>
    <w:p w14:paraId="7A5FF85B" w14:textId="4CF72997" w:rsidR="00E64C41" w:rsidRPr="00647FBE" w:rsidRDefault="007571CE" w:rsidP="00AC59F0">
      <w:pPr>
        <w:pStyle w:val="ParagraphHeadingX"/>
        <w:rPr>
          <w:b/>
        </w:rPr>
      </w:pPr>
      <w:r w:rsidRPr="00647FBE">
        <w:t>BIBLIOGRAPHY</w:t>
      </w:r>
      <w:r w:rsidR="00C10347" w:rsidRPr="00647FBE">
        <w:t xml:space="preserve"> </w:t>
      </w:r>
    </w:p>
    <w:p w14:paraId="31109909" w14:textId="356D125D" w:rsidR="005B0F87" w:rsidRPr="003A7173" w:rsidRDefault="0085156D" w:rsidP="005B0F87">
      <w:pPr>
        <w:widowControl w:val="0"/>
        <w:autoSpaceDE w:val="0"/>
        <w:autoSpaceDN w:val="0"/>
        <w:adjustRightInd w:val="0"/>
        <w:spacing w:line="240" w:lineRule="auto"/>
        <w:ind w:left="480" w:hanging="480"/>
        <w:rPr>
          <w:rFonts w:ascii="AGaramond" w:hAnsi="AGaramond"/>
          <w:noProof/>
          <w:sz w:val="18"/>
          <w:szCs w:val="18"/>
        </w:rPr>
      </w:pPr>
      <w:r w:rsidRPr="003A7173">
        <w:rPr>
          <w:rFonts w:ascii="AGaramond" w:hAnsi="AGaramond" w:cs="Arial"/>
          <w:sz w:val="18"/>
          <w:szCs w:val="18"/>
        </w:rPr>
        <w:fldChar w:fldCharType="begin" w:fldLock="1"/>
      </w:r>
      <w:r w:rsidRPr="003A7173">
        <w:rPr>
          <w:rFonts w:ascii="AGaramond" w:hAnsi="AGaramond" w:cs="Arial"/>
          <w:sz w:val="18"/>
          <w:szCs w:val="18"/>
        </w:rPr>
        <w:instrText xml:space="preserve">ADDIN Mendeley Bibliography CSL_BIBLIOGRAPHY </w:instrText>
      </w:r>
      <w:r w:rsidRPr="003A7173">
        <w:rPr>
          <w:rFonts w:ascii="AGaramond" w:hAnsi="AGaramond" w:cs="Arial"/>
          <w:sz w:val="18"/>
          <w:szCs w:val="18"/>
        </w:rPr>
        <w:fldChar w:fldCharType="separate"/>
      </w:r>
      <w:r w:rsidR="005B0F87" w:rsidRPr="003A7173">
        <w:rPr>
          <w:rFonts w:ascii="AGaramond" w:hAnsi="AGaramond"/>
          <w:noProof/>
          <w:sz w:val="18"/>
          <w:szCs w:val="18"/>
        </w:rPr>
        <w:t xml:space="preserve">Addamo, A. M., Laroche, P., Hanke, G., &amp; Hanke, G. (2017). </w:t>
      </w:r>
      <w:r w:rsidR="005B0F87" w:rsidRPr="003A7173">
        <w:rPr>
          <w:rFonts w:ascii="AGaramond" w:hAnsi="AGaramond"/>
          <w:i/>
          <w:iCs/>
          <w:noProof/>
          <w:sz w:val="18"/>
          <w:szCs w:val="18"/>
        </w:rPr>
        <w:t>Top Marine Beach Litter Items in Europe</w:t>
      </w:r>
      <w:r w:rsidR="005B0F87" w:rsidRPr="003A7173">
        <w:rPr>
          <w:rFonts w:ascii="AGaramond" w:hAnsi="AGaramond"/>
          <w:noProof/>
          <w:sz w:val="18"/>
          <w:szCs w:val="18"/>
        </w:rPr>
        <w:t>. https://doi.org/10.2760/496717</w:t>
      </w:r>
    </w:p>
    <w:p w14:paraId="64CBBC7E" w14:textId="77777777" w:rsidR="005B0F87" w:rsidRPr="003A7173" w:rsidRDefault="005B0F87" w:rsidP="005B0F87">
      <w:pPr>
        <w:widowControl w:val="0"/>
        <w:autoSpaceDE w:val="0"/>
        <w:autoSpaceDN w:val="0"/>
        <w:adjustRightInd w:val="0"/>
        <w:spacing w:line="240" w:lineRule="auto"/>
        <w:ind w:left="480" w:hanging="480"/>
        <w:rPr>
          <w:rFonts w:ascii="AGaramond" w:hAnsi="AGaramond"/>
          <w:noProof/>
          <w:sz w:val="18"/>
          <w:szCs w:val="18"/>
          <w:lang w:val="it-IT"/>
        </w:rPr>
      </w:pPr>
      <w:r w:rsidRPr="003A7173">
        <w:rPr>
          <w:rFonts w:ascii="AGaramond" w:hAnsi="AGaramond"/>
          <w:noProof/>
          <w:sz w:val="18"/>
          <w:szCs w:val="18"/>
          <w:lang w:val="it-IT"/>
        </w:rPr>
        <w:t xml:space="preserve">Bahrudin, F. I., &amp; Aurisicchio, M. (2018). </w:t>
      </w:r>
      <w:r w:rsidRPr="003A7173">
        <w:rPr>
          <w:rFonts w:ascii="AGaramond" w:hAnsi="AGaramond"/>
          <w:noProof/>
          <w:sz w:val="18"/>
          <w:szCs w:val="18"/>
        </w:rPr>
        <w:t xml:space="preserve">THE APPRAISAL OF SUSTAINABLE MATERIALS. </w:t>
      </w:r>
      <w:r w:rsidRPr="003A7173">
        <w:rPr>
          <w:rFonts w:ascii="AGaramond" w:hAnsi="AGaramond"/>
          <w:noProof/>
          <w:sz w:val="18"/>
          <w:szCs w:val="18"/>
          <w:lang w:val="it-IT"/>
        </w:rPr>
        <w:t xml:space="preserve">In </w:t>
      </w:r>
      <w:r w:rsidRPr="003A7173">
        <w:rPr>
          <w:rFonts w:ascii="AGaramond" w:hAnsi="AGaramond"/>
          <w:iCs/>
          <w:noProof/>
          <w:sz w:val="18"/>
          <w:szCs w:val="18"/>
          <w:lang w:val="it-IT"/>
        </w:rPr>
        <w:t>International Design Conference (DESIGN 2018)</w:t>
      </w:r>
      <w:r w:rsidRPr="003A7173">
        <w:rPr>
          <w:rFonts w:ascii="AGaramond" w:hAnsi="AGaramond"/>
          <w:noProof/>
          <w:sz w:val="18"/>
          <w:szCs w:val="18"/>
          <w:lang w:val="it-IT"/>
        </w:rPr>
        <w:t xml:space="preserve"> (pp. 2575–2584). https://doi.org/10.21278/idc.2018.0455</w:t>
      </w:r>
    </w:p>
    <w:p w14:paraId="770B1FE3" w14:textId="77777777" w:rsidR="005B0F87" w:rsidRPr="003A7173" w:rsidRDefault="005B0F87" w:rsidP="005B0F87">
      <w:pPr>
        <w:widowControl w:val="0"/>
        <w:autoSpaceDE w:val="0"/>
        <w:autoSpaceDN w:val="0"/>
        <w:adjustRightInd w:val="0"/>
        <w:spacing w:line="240" w:lineRule="auto"/>
        <w:ind w:left="480" w:hanging="480"/>
        <w:rPr>
          <w:rFonts w:ascii="AGaramond" w:hAnsi="AGaramond"/>
          <w:noProof/>
          <w:sz w:val="18"/>
          <w:szCs w:val="18"/>
        </w:rPr>
      </w:pPr>
      <w:r w:rsidRPr="003A7173">
        <w:rPr>
          <w:rFonts w:ascii="AGaramond" w:hAnsi="AGaramond"/>
          <w:noProof/>
          <w:sz w:val="18"/>
          <w:szCs w:val="18"/>
          <w:lang w:val="it-IT"/>
        </w:rPr>
        <w:t xml:space="preserve">Bahrudin, F. I., Aurisicchio, M., &amp; Baxter, W. L. (2017). </w:t>
      </w:r>
      <w:r w:rsidRPr="003A7173">
        <w:rPr>
          <w:rFonts w:ascii="AGaramond" w:hAnsi="AGaramond"/>
          <w:i/>
          <w:noProof/>
          <w:sz w:val="18"/>
          <w:szCs w:val="18"/>
        </w:rPr>
        <w:t>Sustainable materials in design projects</w:t>
      </w:r>
      <w:r w:rsidRPr="003A7173">
        <w:rPr>
          <w:rFonts w:ascii="AGaramond" w:hAnsi="AGaramond"/>
          <w:noProof/>
          <w:sz w:val="18"/>
          <w:szCs w:val="18"/>
        </w:rPr>
        <w:t xml:space="preserve">. </w:t>
      </w:r>
      <w:r w:rsidRPr="003A7173">
        <w:rPr>
          <w:rFonts w:ascii="AGaramond" w:hAnsi="AGaramond"/>
          <w:iCs/>
          <w:noProof/>
          <w:sz w:val="18"/>
          <w:szCs w:val="18"/>
        </w:rPr>
        <w:t>Alive. Active. Adaptive: Proceedings of International Conference on Experiential Knowledge and Emerging Materials (EKSIG 2017)</w:t>
      </w:r>
      <w:r w:rsidRPr="003A7173">
        <w:rPr>
          <w:rFonts w:ascii="AGaramond" w:hAnsi="AGaramond"/>
          <w:noProof/>
          <w:sz w:val="18"/>
          <w:szCs w:val="18"/>
        </w:rPr>
        <w:t>, (June), 194–207.</w:t>
      </w:r>
    </w:p>
    <w:p w14:paraId="00D339CF" w14:textId="77777777" w:rsidR="005B0F87" w:rsidRPr="003A7173" w:rsidRDefault="005B0F87" w:rsidP="005B0F87">
      <w:pPr>
        <w:widowControl w:val="0"/>
        <w:autoSpaceDE w:val="0"/>
        <w:autoSpaceDN w:val="0"/>
        <w:adjustRightInd w:val="0"/>
        <w:spacing w:line="240" w:lineRule="auto"/>
        <w:ind w:left="480" w:hanging="480"/>
        <w:rPr>
          <w:rFonts w:ascii="AGaramond" w:hAnsi="AGaramond"/>
          <w:noProof/>
          <w:sz w:val="18"/>
          <w:szCs w:val="18"/>
        </w:rPr>
      </w:pPr>
      <w:r w:rsidRPr="003A7173">
        <w:rPr>
          <w:rFonts w:ascii="AGaramond" w:hAnsi="AGaramond"/>
          <w:noProof/>
          <w:sz w:val="18"/>
          <w:szCs w:val="18"/>
          <w:lang w:val="it-IT"/>
        </w:rPr>
        <w:t xml:space="preserve">Baxter, W. L., Aurisicchio, M., &amp; Childs, P. R. N. (2016). </w:t>
      </w:r>
      <w:r w:rsidRPr="003A7173">
        <w:rPr>
          <w:rFonts w:ascii="AGaramond" w:hAnsi="AGaramond"/>
          <w:i/>
          <w:noProof/>
          <w:sz w:val="18"/>
          <w:szCs w:val="18"/>
        </w:rPr>
        <w:t>Tear Here: the Impact of Object Transformations on Proper Disposal</w:t>
      </w:r>
      <w:r w:rsidRPr="003A7173">
        <w:rPr>
          <w:rFonts w:ascii="AGaramond" w:hAnsi="AGaramond"/>
          <w:noProof/>
          <w:sz w:val="18"/>
          <w:szCs w:val="18"/>
        </w:rPr>
        <w:t xml:space="preserve">. </w:t>
      </w:r>
      <w:r w:rsidRPr="003A7173">
        <w:rPr>
          <w:rFonts w:ascii="AGaramond" w:hAnsi="AGaramond"/>
          <w:iCs/>
          <w:noProof/>
          <w:sz w:val="18"/>
          <w:szCs w:val="18"/>
        </w:rPr>
        <w:t>20th IAPRI World Conference on Packaging</w:t>
      </w:r>
      <w:r w:rsidRPr="003A7173">
        <w:rPr>
          <w:rFonts w:ascii="AGaramond" w:hAnsi="AGaramond"/>
          <w:noProof/>
          <w:sz w:val="18"/>
          <w:szCs w:val="18"/>
        </w:rPr>
        <w:t>, 1–11.</w:t>
      </w:r>
    </w:p>
    <w:p w14:paraId="425D74DE" w14:textId="77777777" w:rsidR="005B0F87" w:rsidRPr="003A7173" w:rsidRDefault="005B0F87" w:rsidP="005B0F87">
      <w:pPr>
        <w:widowControl w:val="0"/>
        <w:autoSpaceDE w:val="0"/>
        <w:autoSpaceDN w:val="0"/>
        <w:adjustRightInd w:val="0"/>
        <w:spacing w:line="240" w:lineRule="auto"/>
        <w:ind w:left="480" w:hanging="480"/>
        <w:rPr>
          <w:rFonts w:ascii="AGaramond" w:hAnsi="AGaramond"/>
          <w:noProof/>
          <w:sz w:val="18"/>
          <w:szCs w:val="18"/>
        </w:rPr>
      </w:pPr>
      <w:r w:rsidRPr="003A7173">
        <w:rPr>
          <w:rFonts w:ascii="AGaramond" w:hAnsi="AGaramond"/>
          <w:noProof/>
          <w:sz w:val="18"/>
          <w:szCs w:val="18"/>
        </w:rPr>
        <w:t>Bergmann, M. (2015).</w:t>
      </w:r>
      <w:r w:rsidRPr="003A7173">
        <w:rPr>
          <w:rFonts w:ascii="AGaramond" w:hAnsi="AGaramond"/>
          <w:i/>
          <w:noProof/>
          <w:sz w:val="18"/>
          <w:szCs w:val="18"/>
        </w:rPr>
        <w:t xml:space="preserve"> </w:t>
      </w:r>
      <w:r w:rsidRPr="003A7173">
        <w:rPr>
          <w:rFonts w:ascii="AGaramond" w:hAnsi="AGaramond"/>
          <w:i/>
          <w:iCs/>
          <w:noProof/>
          <w:sz w:val="18"/>
          <w:szCs w:val="18"/>
        </w:rPr>
        <w:t>Marine Anthropogenic Litter</w:t>
      </w:r>
      <w:r w:rsidRPr="003A7173">
        <w:rPr>
          <w:rFonts w:ascii="AGaramond" w:hAnsi="AGaramond"/>
          <w:i/>
          <w:noProof/>
          <w:sz w:val="18"/>
          <w:szCs w:val="18"/>
        </w:rPr>
        <w:t>.</w:t>
      </w:r>
      <w:r w:rsidRPr="003A7173">
        <w:rPr>
          <w:rFonts w:ascii="AGaramond" w:hAnsi="AGaramond"/>
          <w:noProof/>
          <w:sz w:val="18"/>
          <w:szCs w:val="18"/>
        </w:rPr>
        <w:t xml:space="preserve"> (M. Bergmann, L. Gutow, &amp; M. Klages, Eds.). Cham: Springer International Publishing. https://doi.org/10.1007/978-3-319-16510-3</w:t>
      </w:r>
    </w:p>
    <w:p w14:paraId="16594B1C" w14:textId="63ACA70C" w:rsidR="005B0F87" w:rsidRPr="003A7173" w:rsidRDefault="005B0F87" w:rsidP="005B0F87">
      <w:pPr>
        <w:widowControl w:val="0"/>
        <w:autoSpaceDE w:val="0"/>
        <w:autoSpaceDN w:val="0"/>
        <w:adjustRightInd w:val="0"/>
        <w:spacing w:line="240" w:lineRule="auto"/>
        <w:ind w:left="480" w:hanging="480"/>
        <w:rPr>
          <w:rFonts w:ascii="AGaramond" w:hAnsi="AGaramond"/>
          <w:noProof/>
          <w:sz w:val="18"/>
          <w:szCs w:val="18"/>
        </w:rPr>
      </w:pPr>
      <w:r w:rsidRPr="003A7173">
        <w:rPr>
          <w:rFonts w:ascii="AGaramond" w:hAnsi="AGaramond"/>
          <w:noProof/>
          <w:sz w:val="18"/>
          <w:szCs w:val="18"/>
        </w:rPr>
        <w:t xml:space="preserve">Boks, C., Lilley, D., &amp; Pettersen, I. N. (2017). </w:t>
      </w:r>
      <w:r w:rsidRPr="003A7173">
        <w:rPr>
          <w:rFonts w:ascii="AGaramond" w:hAnsi="AGaramond"/>
          <w:i/>
          <w:noProof/>
          <w:sz w:val="18"/>
          <w:szCs w:val="18"/>
        </w:rPr>
        <w:t>Sustainability Through Innovation in Product Life Cycle Design,</w:t>
      </w:r>
      <w:r w:rsidRPr="003A7173">
        <w:rPr>
          <w:rFonts w:ascii="AGaramond" w:hAnsi="AGaramond"/>
          <w:noProof/>
          <w:sz w:val="18"/>
          <w:szCs w:val="18"/>
        </w:rPr>
        <w:t>. https://doi.org/10.1007/978-981-10-0471-1</w:t>
      </w:r>
    </w:p>
    <w:p w14:paraId="7AA323AC" w14:textId="77777777" w:rsidR="005B0F87" w:rsidRPr="003A7173" w:rsidRDefault="005B0F87" w:rsidP="005B0F87">
      <w:pPr>
        <w:widowControl w:val="0"/>
        <w:autoSpaceDE w:val="0"/>
        <w:autoSpaceDN w:val="0"/>
        <w:adjustRightInd w:val="0"/>
        <w:spacing w:line="240" w:lineRule="auto"/>
        <w:ind w:left="480" w:hanging="480"/>
        <w:rPr>
          <w:rFonts w:ascii="AGaramond" w:hAnsi="AGaramond"/>
          <w:noProof/>
          <w:sz w:val="18"/>
          <w:szCs w:val="18"/>
        </w:rPr>
      </w:pPr>
      <w:r w:rsidRPr="003A7173">
        <w:rPr>
          <w:rFonts w:ascii="AGaramond" w:hAnsi="AGaramond"/>
          <w:noProof/>
          <w:sz w:val="18"/>
          <w:szCs w:val="18"/>
        </w:rPr>
        <w:t xml:space="preserve">Cheng, P., Mugge, R., &amp; de Bont, C. (2018). </w:t>
      </w:r>
      <w:r w:rsidRPr="003A7173">
        <w:rPr>
          <w:rFonts w:ascii="AGaramond" w:hAnsi="AGaramond"/>
          <w:i/>
          <w:noProof/>
          <w:sz w:val="18"/>
          <w:szCs w:val="18"/>
        </w:rPr>
        <w:t xml:space="preserve">Transparency in product design: investigating design intentions and consumers’ interpretations. </w:t>
      </w:r>
      <w:r w:rsidRPr="003A7173">
        <w:rPr>
          <w:rFonts w:ascii="AGaramond" w:hAnsi="AGaramond"/>
          <w:iCs/>
          <w:noProof/>
          <w:sz w:val="18"/>
          <w:szCs w:val="18"/>
        </w:rPr>
        <w:t>Journal of Engineering Design</w:t>
      </w:r>
      <w:r w:rsidRPr="003A7173">
        <w:rPr>
          <w:rFonts w:ascii="AGaramond" w:hAnsi="AGaramond"/>
          <w:noProof/>
          <w:sz w:val="18"/>
          <w:szCs w:val="18"/>
        </w:rPr>
        <w:t xml:space="preserve">, </w:t>
      </w:r>
      <w:r w:rsidRPr="003A7173">
        <w:rPr>
          <w:rFonts w:ascii="AGaramond" w:hAnsi="AGaramond"/>
          <w:iCs/>
          <w:noProof/>
          <w:sz w:val="18"/>
          <w:szCs w:val="18"/>
        </w:rPr>
        <w:t>0</w:t>
      </w:r>
      <w:r w:rsidRPr="003A7173">
        <w:rPr>
          <w:rFonts w:ascii="AGaramond" w:hAnsi="AGaramond"/>
          <w:noProof/>
          <w:sz w:val="18"/>
          <w:szCs w:val="18"/>
        </w:rPr>
        <w:t>(0), 1–30. https://doi.org/10.1080/09544828.2018.1515426</w:t>
      </w:r>
    </w:p>
    <w:p w14:paraId="5F9C67A8" w14:textId="77777777" w:rsidR="005B0F87" w:rsidRPr="003A7173" w:rsidRDefault="005B0F87" w:rsidP="004F1419">
      <w:pPr>
        <w:widowControl w:val="0"/>
        <w:autoSpaceDE w:val="0"/>
        <w:autoSpaceDN w:val="0"/>
        <w:adjustRightInd w:val="0"/>
        <w:spacing w:line="240" w:lineRule="auto"/>
        <w:ind w:left="480" w:hanging="480"/>
        <w:jc w:val="left"/>
        <w:rPr>
          <w:rFonts w:ascii="AGaramond" w:hAnsi="AGaramond"/>
          <w:noProof/>
          <w:sz w:val="18"/>
          <w:szCs w:val="18"/>
        </w:rPr>
      </w:pPr>
      <w:r w:rsidRPr="003A7173">
        <w:rPr>
          <w:rFonts w:ascii="AGaramond" w:hAnsi="AGaramond"/>
          <w:noProof/>
          <w:sz w:val="18"/>
          <w:szCs w:val="18"/>
        </w:rPr>
        <w:t>Daae, J., &amp; Boks, C. (2015).</w:t>
      </w:r>
      <w:r w:rsidRPr="003A7173">
        <w:rPr>
          <w:rFonts w:ascii="AGaramond" w:hAnsi="AGaramond"/>
          <w:i/>
          <w:noProof/>
          <w:sz w:val="18"/>
          <w:szCs w:val="18"/>
        </w:rPr>
        <w:t xml:space="preserve"> Opportunities and challenges for addressing variations in the use phase with LCA and Design for Sustainable Behaviour</w:t>
      </w:r>
      <w:r w:rsidRPr="003A7173">
        <w:rPr>
          <w:rFonts w:ascii="AGaramond" w:hAnsi="AGaramond"/>
          <w:noProof/>
          <w:sz w:val="18"/>
          <w:szCs w:val="18"/>
        </w:rPr>
        <w:t xml:space="preserve">. </w:t>
      </w:r>
      <w:r w:rsidRPr="003A7173">
        <w:rPr>
          <w:rFonts w:ascii="AGaramond" w:hAnsi="AGaramond"/>
          <w:iCs/>
          <w:noProof/>
          <w:sz w:val="18"/>
          <w:szCs w:val="18"/>
        </w:rPr>
        <w:t>International Journal of Sustainable Engineering</w:t>
      </w:r>
      <w:r w:rsidRPr="003A7173">
        <w:rPr>
          <w:rFonts w:ascii="AGaramond" w:hAnsi="AGaramond"/>
          <w:noProof/>
          <w:sz w:val="18"/>
          <w:szCs w:val="18"/>
        </w:rPr>
        <w:t xml:space="preserve">, </w:t>
      </w:r>
      <w:r w:rsidRPr="003A7173">
        <w:rPr>
          <w:rFonts w:ascii="AGaramond" w:hAnsi="AGaramond"/>
          <w:iCs/>
          <w:noProof/>
          <w:sz w:val="18"/>
          <w:szCs w:val="18"/>
        </w:rPr>
        <w:t>8</w:t>
      </w:r>
      <w:r w:rsidRPr="003A7173">
        <w:rPr>
          <w:rFonts w:ascii="AGaramond" w:hAnsi="AGaramond"/>
          <w:noProof/>
          <w:sz w:val="18"/>
          <w:szCs w:val="18"/>
        </w:rPr>
        <w:t>(3), 148–162. https://doi.org/10.1080/19397038.2015.1010630</w:t>
      </w:r>
    </w:p>
    <w:p w14:paraId="0E4180B6" w14:textId="77777777" w:rsidR="005B0F87" w:rsidRPr="003A7173" w:rsidRDefault="005B0F87" w:rsidP="005B0F87">
      <w:pPr>
        <w:widowControl w:val="0"/>
        <w:autoSpaceDE w:val="0"/>
        <w:autoSpaceDN w:val="0"/>
        <w:adjustRightInd w:val="0"/>
        <w:spacing w:line="240" w:lineRule="auto"/>
        <w:ind w:left="480" w:hanging="480"/>
        <w:rPr>
          <w:rFonts w:ascii="AGaramond" w:hAnsi="AGaramond"/>
          <w:noProof/>
          <w:sz w:val="18"/>
          <w:szCs w:val="18"/>
        </w:rPr>
      </w:pPr>
      <w:r w:rsidRPr="003A7173">
        <w:rPr>
          <w:rFonts w:ascii="AGaramond" w:hAnsi="AGaramond"/>
          <w:noProof/>
          <w:sz w:val="18"/>
          <w:szCs w:val="18"/>
        </w:rPr>
        <w:t xml:space="preserve">Depledge, M. H., Galgani, F., Panti, C., Caliani, I., Casini, S., &amp; Fossi, M. C. (2013). </w:t>
      </w:r>
      <w:r w:rsidRPr="003A7173">
        <w:rPr>
          <w:rFonts w:ascii="AGaramond" w:hAnsi="AGaramond"/>
          <w:i/>
          <w:noProof/>
          <w:sz w:val="18"/>
          <w:szCs w:val="18"/>
        </w:rPr>
        <w:t xml:space="preserve">Plastic litter in the sea. </w:t>
      </w:r>
      <w:r w:rsidRPr="003A7173">
        <w:rPr>
          <w:rFonts w:ascii="AGaramond" w:hAnsi="AGaramond"/>
          <w:i/>
          <w:iCs/>
          <w:noProof/>
          <w:sz w:val="18"/>
          <w:szCs w:val="18"/>
        </w:rPr>
        <w:t>Marine Environmental Research</w:t>
      </w:r>
      <w:r w:rsidRPr="003A7173">
        <w:rPr>
          <w:rFonts w:ascii="AGaramond" w:hAnsi="AGaramond"/>
          <w:i/>
          <w:noProof/>
          <w:sz w:val="18"/>
          <w:szCs w:val="18"/>
        </w:rPr>
        <w:t xml:space="preserve">, </w:t>
      </w:r>
      <w:r w:rsidRPr="003A7173">
        <w:rPr>
          <w:rFonts w:ascii="AGaramond" w:hAnsi="AGaramond"/>
          <w:iCs/>
          <w:noProof/>
          <w:sz w:val="18"/>
          <w:szCs w:val="18"/>
        </w:rPr>
        <w:t>92</w:t>
      </w:r>
      <w:r w:rsidRPr="003A7173">
        <w:rPr>
          <w:rFonts w:ascii="AGaramond" w:hAnsi="AGaramond"/>
          <w:noProof/>
          <w:sz w:val="18"/>
          <w:szCs w:val="18"/>
        </w:rPr>
        <w:t>, 279–281. https://doi.org/10.1016/j.marenvres.2013.10.002</w:t>
      </w:r>
    </w:p>
    <w:p w14:paraId="01F37015" w14:textId="77777777" w:rsidR="005B0F87" w:rsidRPr="003A7173" w:rsidRDefault="005B0F87" w:rsidP="005B0F87">
      <w:pPr>
        <w:widowControl w:val="0"/>
        <w:autoSpaceDE w:val="0"/>
        <w:autoSpaceDN w:val="0"/>
        <w:adjustRightInd w:val="0"/>
        <w:spacing w:line="240" w:lineRule="auto"/>
        <w:ind w:left="480" w:hanging="480"/>
        <w:rPr>
          <w:rFonts w:ascii="AGaramond" w:hAnsi="AGaramond"/>
          <w:noProof/>
          <w:sz w:val="18"/>
          <w:szCs w:val="18"/>
        </w:rPr>
      </w:pPr>
      <w:r w:rsidRPr="003A7173">
        <w:rPr>
          <w:rFonts w:ascii="AGaramond" w:hAnsi="AGaramond"/>
          <w:noProof/>
          <w:sz w:val="18"/>
          <w:szCs w:val="18"/>
        </w:rPr>
        <w:t xml:space="preserve">Derraik, J. G. B. (2002). </w:t>
      </w:r>
      <w:r w:rsidRPr="003A7173">
        <w:rPr>
          <w:rFonts w:ascii="AGaramond" w:hAnsi="AGaramond"/>
          <w:i/>
          <w:noProof/>
          <w:sz w:val="18"/>
          <w:szCs w:val="18"/>
        </w:rPr>
        <w:t>The pollution of the marine environment by plastic debris</w:t>
      </w:r>
      <w:r w:rsidRPr="003A7173">
        <w:rPr>
          <w:i/>
          <w:noProof/>
          <w:sz w:val="18"/>
          <w:szCs w:val="18"/>
        </w:rPr>
        <w:t> </w:t>
      </w:r>
      <w:r w:rsidRPr="003A7173">
        <w:rPr>
          <w:rFonts w:ascii="AGaramond" w:hAnsi="AGaramond"/>
          <w:i/>
          <w:noProof/>
          <w:sz w:val="18"/>
          <w:szCs w:val="18"/>
        </w:rPr>
        <w:t>: a review</w:t>
      </w:r>
      <w:r w:rsidRPr="003A7173">
        <w:rPr>
          <w:rFonts w:ascii="AGaramond" w:hAnsi="AGaramond"/>
          <w:noProof/>
          <w:sz w:val="18"/>
          <w:szCs w:val="18"/>
        </w:rPr>
        <w:t xml:space="preserve">. </w:t>
      </w:r>
      <w:r w:rsidRPr="003A7173">
        <w:rPr>
          <w:rFonts w:ascii="AGaramond" w:hAnsi="AGaramond"/>
          <w:iCs/>
          <w:noProof/>
          <w:sz w:val="18"/>
          <w:szCs w:val="18"/>
        </w:rPr>
        <w:t>Marine Pollution Bulletin</w:t>
      </w:r>
      <w:r w:rsidRPr="003A7173">
        <w:rPr>
          <w:rFonts w:ascii="AGaramond" w:hAnsi="AGaramond"/>
          <w:noProof/>
          <w:sz w:val="18"/>
          <w:szCs w:val="18"/>
        </w:rPr>
        <w:t xml:space="preserve">, </w:t>
      </w:r>
      <w:r w:rsidRPr="003A7173">
        <w:rPr>
          <w:rFonts w:ascii="AGaramond" w:hAnsi="AGaramond"/>
          <w:iCs/>
          <w:noProof/>
          <w:sz w:val="18"/>
          <w:szCs w:val="18"/>
        </w:rPr>
        <w:t>44</w:t>
      </w:r>
      <w:r w:rsidRPr="003A7173">
        <w:rPr>
          <w:rFonts w:ascii="AGaramond" w:hAnsi="AGaramond"/>
          <w:noProof/>
          <w:sz w:val="18"/>
          <w:szCs w:val="18"/>
        </w:rPr>
        <w:t>, 842–852. https://doi.org/10.1016/S0025-326X(02)00220-5</w:t>
      </w:r>
    </w:p>
    <w:p w14:paraId="731F7E50" w14:textId="27530AE7" w:rsidR="005B0F87" w:rsidRPr="003A7173" w:rsidRDefault="005B0F87" w:rsidP="005B0F87">
      <w:pPr>
        <w:widowControl w:val="0"/>
        <w:autoSpaceDE w:val="0"/>
        <w:autoSpaceDN w:val="0"/>
        <w:adjustRightInd w:val="0"/>
        <w:spacing w:line="240" w:lineRule="auto"/>
        <w:ind w:left="480" w:hanging="480"/>
        <w:rPr>
          <w:rFonts w:ascii="AGaramond" w:hAnsi="AGaramond"/>
          <w:noProof/>
          <w:sz w:val="18"/>
          <w:szCs w:val="18"/>
        </w:rPr>
      </w:pPr>
      <w:r w:rsidRPr="003A7173">
        <w:rPr>
          <w:rFonts w:ascii="AGaramond" w:hAnsi="AGaramond"/>
          <w:noProof/>
          <w:sz w:val="18"/>
          <w:szCs w:val="18"/>
        </w:rPr>
        <w:t xml:space="preserve">European bioplastics. (2017). </w:t>
      </w:r>
      <w:r w:rsidRPr="003A7173">
        <w:rPr>
          <w:rFonts w:ascii="AGaramond" w:hAnsi="AGaramond"/>
          <w:i/>
          <w:noProof/>
          <w:sz w:val="18"/>
          <w:szCs w:val="18"/>
        </w:rPr>
        <w:t>What are bioplastics? Material types, terminology, and labels – an introduction</w:t>
      </w:r>
      <w:r w:rsidRPr="003A7173">
        <w:rPr>
          <w:rFonts w:ascii="AGaramond" w:hAnsi="AGaramond"/>
          <w:noProof/>
          <w:sz w:val="18"/>
          <w:szCs w:val="18"/>
        </w:rPr>
        <w:t>. Retrieved from http://www.bancodealimentos.es/bancos/aprende/queson</w:t>
      </w:r>
    </w:p>
    <w:p w14:paraId="1A3DB51C" w14:textId="77777777" w:rsidR="005B0F87" w:rsidRPr="003A7173" w:rsidRDefault="005B0F87" w:rsidP="005B0F87">
      <w:pPr>
        <w:widowControl w:val="0"/>
        <w:autoSpaceDE w:val="0"/>
        <w:autoSpaceDN w:val="0"/>
        <w:adjustRightInd w:val="0"/>
        <w:spacing w:line="240" w:lineRule="auto"/>
        <w:ind w:left="480" w:hanging="480"/>
        <w:rPr>
          <w:rFonts w:ascii="AGaramond" w:hAnsi="AGaramond"/>
          <w:noProof/>
          <w:sz w:val="18"/>
          <w:szCs w:val="18"/>
        </w:rPr>
      </w:pPr>
      <w:r w:rsidRPr="003A7173">
        <w:rPr>
          <w:rFonts w:ascii="AGaramond" w:hAnsi="AGaramond"/>
          <w:noProof/>
          <w:sz w:val="18"/>
          <w:szCs w:val="18"/>
        </w:rPr>
        <w:t xml:space="preserve">Herbes, C., Beuthner, C., &amp; Ramme, I. (2018). </w:t>
      </w:r>
      <w:r w:rsidRPr="003A7173">
        <w:rPr>
          <w:rFonts w:ascii="AGaramond" w:hAnsi="AGaramond"/>
          <w:i/>
          <w:noProof/>
          <w:sz w:val="18"/>
          <w:szCs w:val="18"/>
        </w:rPr>
        <w:t>Consumer attitudes towards biobased packaging – A cross-cultural comparative study.</w:t>
      </w:r>
      <w:r w:rsidRPr="003A7173">
        <w:rPr>
          <w:rFonts w:ascii="AGaramond" w:hAnsi="AGaramond"/>
          <w:noProof/>
          <w:sz w:val="18"/>
          <w:szCs w:val="18"/>
        </w:rPr>
        <w:t xml:space="preserve"> </w:t>
      </w:r>
      <w:r w:rsidRPr="003A7173">
        <w:rPr>
          <w:rFonts w:ascii="AGaramond" w:hAnsi="AGaramond"/>
          <w:iCs/>
          <w:noProof/>
          <w:sz w:val="18"/>
          <w:szCs w:val="18"/>
        </w:rPr>
        <w:t>Journal of Cleaner Production</w:t>
      </w:r>
      <w:r w:rsidRPr="003A7173">
        <w:rPr>
          <w:rFonts w:ascii="AGaramond" w:hAnsi="AGaramond"/>
          <w:noProof/>
          <w:sz w:val="18"/>
          <w:szCs w:val="18"/>
        </w:rPr>
        <w:t xml:space="preserve">, </w:t>
      </w:r>
      <w:r w:rsidRPr="003A7173">
        <w:rPr>
          <w:rFonts w:ascii="AGaramond" w:hAnsi="AGaramond"/>
          <w:iCs/>
          <w:noProof/>
          <w:sz w:val="18"/>
          <w:szCs w:val="18"/>
        </w:rPr>
        <w:t>194</w:t>
      </w:r>
      <w:r w:rsidRPr="003A7173">
        <w:rPr>
          <w:rFonts w:ascii="AGaramond" w:hAnsi="AGaramond"/>
          <w:noProof/>
          <w:sz w:val="18"/>
          <w:szCs w:val="18"/>
        </w:rPr>
        <w:t>, 203–218. https://doi.org/10.1016/j.jclepro.2018.05.106</w:t>
      </w:r>
    </w:p>
    <w:p w14:paraId="4C59A8E5" w14:textId="77777777" w:rsidR="005B0F87" w:rsidRPr="003A7173" w:rsidRDefault="005B0F87" w:rsidP="005B0F87">
      <w:pPr>
        <w:widowControl w:val="0"/>
        <w:autoSpaceDE w:val="0"/>
        <w:autoSpaceDN w:val="0"/>
        <w:adjustRightInd w:val="0"/>
        <w:spacing w:line="240" w:lineRule="auto"/>
        <w:ind w:left="480" w:hanging="480"/>
        <w:rPr>
          <w:rFonts w:ascii="AGaramond" w:hAnsi="AGaramond"/>
          <w:noProof/>
          <w:sz w:val="18"/>
          <w:szCs w:val="18"/>
        </w:rPr>
      </w:pPr>
      <w:r w:rsidRPr="003A7173">
        <w:rPr>
          <w:rFonts w:ascii="AGaramond" w:hAnsi="AGaramond"/>
          <w:noProof/>
          <w:sz w:val="18"/>
          <w:szCs w:val="18"/>
        </w:rPr>
        <w:t xml:space="preserve">ICF, &amp; Eunomia Research &amp; Consulting. (2018). </w:t>
      </w:r>
      <w:r w:rsidRPr="003A7173">
        <w:rPr>
          <w:rFonts w:ascii="AGaramond" w:hAnsi="AGaramond"/>
          <w:iCs/>
          <w:noProof/>
          <w:sz w:val="18"/>
          <w:szCs w:val="18"/>
        </w:rPr>
        <w:t>A</w:t>
      </w:r>
      <w:r w:rsidRPr="003A7173">
        <w:rPr>
          <w:rFonts w:ascii="AGaramond" w:hAnsi="AGaramond"/>
          <w:i/>
          <w:iCs/>
          <w:noProof/>
          <w:sz w:val="18"/>
          <w:szCs w:val="18"/>
        </w:rPr>
        <w:t>ssessment of measures to reduce marine litter from single use plastics</w:t>
      </w:r>
      <w:r w:rsidRPr="003A7173">
        <w:rPr>
          <w:rFonts w:ascii="AGaramond" w:hAnsi="AGaramond"/>
          <w:i/>
          <w:noProof/>
          <w:sz w:val="18"/>
          <w:szCs w:val="18"/>
        </w:rPr>
        <w:t xml:space="preserve">. </w:t>
      </w:r>
      <w:r w:rsidRPr="003A7173">
        <w:rPr>
          <w:rFonts w:ascii="AGaramond" w:hAnsi="AGaramond"/>
          <w:noProof/>
          <w:sz w:val="18"/>
          <w:szCs w:val="18"/>
        </w:rPr>
        <w:t>https://doi.org/10.2779/500175</w:t>
      </w:r>
    </w:p>
    <w:p w14:paraId="26B13C19" w14:textId="77777777" w:rsidR="005B0F87" w:rsidRPr="003A7173" w:rsidRDefault="005B0F87" w:rsidP="005B0F87">
      <w:pPr>
        <w:widowControl w:val="0"/>
        <w:autoSpaceDE w:val="0"/>
        <w:autoSpaceDN w:val="0"/>
        <w:adjustRightInd w:val="0"/>
        <w:spacing w:line="240" w:lineRule="auto"/>
        <w:ind w:left="480" w:hanging="480"/>
        <w:rPr>
          <w:rFonts w:ascii="AGaramond" w:hAnsi="AGaramond"/>
          <w:noProof/>
          <w:sz w:val="18"/>
          <w:szCs w:val="18"/>
        </w:rPr>
      </w:pPr>
      <w:r w:rsidRPr="003A7173">
        <w:rPr>
          <w:rFonts w:ascii="AGaramond" w:hAnsi="AGaramond"/>
          <w:noProof/>
          <w:sz w:val="18"/>
          <w:szCs w:val="18"/>
        </w:rPr>
        <w:t xml:space="preserve">Kale, G., Kijchavengkul, T., Auras, R., Rubino, M., Selke, S. E., &amp; Singh, S. P. (2007). </w:t>
      </w:r>
      <w:r w:rsidRPr="003A7173">
        <w:rPr>
          <w:rFonts w:ascii="AGaramond" w:hAnsi="AGaramond"/>
          <w:i/>
          <w:noProof/>
          <w:sz w:val="18"/>
          <w:szCs w:val="18"/>
        </w:rPr>
        <w:t>Compostability of bioplastic packaging materials: An overview</w:t>
      </w:r>
      <w:r w:rsidRPr="003A7173">
        <w:rPr>
          <w:rFonts w:ascii="AGaramond" w:hAnsi="AGaramond"/>
          <w:noProof/>
          <w:sz w:val="18"/>
          <w:szCs w:val="18"/>
        </w:rPr>
        <w:t xml:space="preserve">. </w:t>
      </w:r>
      <w:r w:rsidRPr="003A7173">
        <w:rPr>
          <w:rFonts w:ascii="AGaramond" w:hAnsi="AGaramond"/>
          <w:iCs/>
          <w:noProof/>
          <w:sz w:val="18"/>
          <w:szCs w:val="18"/>
        </w:rPr>
        <w:t>Macromolecular Bioscience</w:t>
      </w:r>
      <w:r w:rsidRPr="003A7173">
        <w:rPr>
          <w:rFonts w:ascii="AGaramond" w:hAnsi="AGaramond"/>
          <w:noProof/>
          <w:sz w:val="18"/>
          <w:szCs w:val="18"/>
        </w:rPr>
        <w:t xml:space="preserve">, </w:t>
      </w:r>
      <w:r w:rsidRPr="003A7173">
        <w:rPr>
          <w:rFonts w:ascii="AGaramond" w:hAnsi="AGaramond"/>
          <w:iCs/>
          <w:noProof/>
          <w:sz w:val="18"/>
          <w:szCs w:val="18"/>
        </w:rPr>
        <w:t>7</w:t>
      </w:r>
      <w:r w:rsidRPr="003A7173">
        <w:rPr>
          <w:rFonts w:ascii="AGaramond" w:hAnsi="AGaramond"/>
          <w:noProof/>
          <w:sz w:val="18"/>
          <w:szCs w:val="18"/>
        </w:rPr>
        <w:t>(3), 255–277. https://doi.org/10.1002/mabi.200600168</w:t>
      </w:r>
    </w:p>
    <w:p w14:paraId="785B5BED" w14:textId="77777777" w:rsidR="005B0F87" w:rsidRPr="003A7173" w:rsidRDefault="005B0F87" w:rsidP="005B0F87">
      <w:pPr>
        <w:widowControl w:val="0"/>
        <w:autoSpaceDE w:val="0"/>
        <w:autoSpaceDN w:val="0"/>
        <w:adjustRightInd w:val="0"/>
        <w:spacing w:line="240" w:lineRule="auto"/>
        <w:ind w:left="480" w:hanging="480"/>
        <w:rPr>
          <w:rFonts w:ascii="AGaramond" w:hAnsi="AGaramond"/>
          <w:noProof/>
          <w:sz w:val="18"/>
          <w:szCs w:val="18"/>
        </w:rPr>
      </w:pPr>
      <w:r w:rsidRPr="003A7173">
        <w:rPr>
          <w:rFonts w:ascii="AGaramond" w:hAnsi="AGaramond"/>
          <w:noProof/>
          <w:sz w:val="18"/>
          <w:szCs w:val="18"/>
        </w:rPr>
        <w:t xml:space="preserve">Karana, E. (2012). </w:t>
      </w:r>
      <w:r w:rsidRPr="003A7173">
        <w:rPr>
          <w:rFonts w:ascii="AGaramond" w:hAnsi="AGaramond"/>
          <w:i/>
          <w:noProof/>
          <w:sz w:val="18"/>
          <w:szCs w:val="18"/>
        </w:rPr>
        <w:t>Characterization of ‘natural’ and ‘high-quality’ materials to improve perception of bio-plastics</w:t>
      </w:r>
      <w:r w:rsidRPr="003A7173">
        <w:rPr>
          <w:rFonts w:ascii="AGaramond" w:hAnsi="AGaramond"/>
          <w:noProof/>
          <w:sz w:val="18"/>
          <w:szCs w:val="18"/>
        </w:rPr>
        <w:t xml:space="preserve">. </w:t>
      </w:r>
      <w:r w:rsidRPr="003A7173">
        <w:rPr>
          <w:rFonts w:ascii="AGaramond" w:hAnsi="AGaramond"/>
          <w:iCs/>
          <w:noProof/>
          <w:sz w:val="18"/>
          <w:szCs w:val="18"/>
        </w:rPr>
        <w:t xml:space="preserve">Journal of Cleaner </w:t>
      </w:r>
      <w:r w:rsidRPr="003A7173">
        <w:rPr>
          <w:rFonts w:ascii="AGaramond" w:hAnsi="AGaramond"/>
          <w:iCs/>
          <w:noProof/>
          <w:sz w:val="18"/>
          <w:szCs w:val="18"/>
        </w:rPr>
        <w:lastRenderedPageBreak/>
        <w:t>Production</w:t>
      </w:r>
      <w:r w:rsidRPr="003A7173">
        <w:rPr>
          <w:rFonts w:ascii="AGaramond" w:hAnsi="AGaramond"/>
          <w:noProof/>
          <w:sz w:val="18"/>
          <w:szCs w:val="18"/>
        </w:rPr>
        <w:t xml:space="preserve">, </w:t>
      </w:r>
      <w:r w:rsidRPr="003A7173">
        <w:rPr>
          <w:rFonts w:ascii="AGaramond" w:hAnsi="AGaramond"/>
          <w:iCs/>
          <w:noProof/>
          <w:sz w:val="18"/>
          <w:szCs w:val="18"/>
        </w:rPr>
        <w:t>37</w:t>
      </w:r>
      <w:r w:rsidRPr="003A7173">
        <w:rPr>
          <w:rFonts w:ascii="AGaramond" w:hAnsi="AGaramond"/>
          <w:noProof/>
          <w:sz w:val="18"/>
          <w:szCs w:val="18"/>
        </w:rPr>
        <w:t>, 316–325. https://doi.org/10.1016/j.jclepro.2012.07.034</w:t>
      </w:r>
    </w:p>
    <w:p w14:paraId="63E292EC" w14:textId="77777777" w:rsidR="005B0F87" w:rsidRPr="003A7173" w:rsidRDefault="005B0F87" w:rsidP="005B0F87">
      <w:pPr>
        <w:widowControl w:val="0"/>
        <w:autoSpaceDE w:val="0"/>
        <w:autoSpaceDN w:val="0"/>
        <w:adjustRightInd w:val="0"/>
        <w:spacing w:line="240" w:lineRule="auto"/>
        <w:ind w:left="480" w:hanging="480"/>
        <w:rPr>
          <w:rFonts w:ascii="AGaramond" w:hAnsi="AGaramond"/>
          <w:noProof/>
          <w:sz w:val="18"/>
          <w:szCs w:val="18"/>
        </w:rPr>
      </w:pPr>
      <w:r w:rsidRPr="003A7173">
        <w:rPr>
          <w:rFonts w:ascii="AGaramond" w:hAnsi="AGaramond"/>
          <w:noProof/>
          <w:sz w:val="18"/>
          <w:szCs w:val="18"/>
        </w:rPr>
        <w:t xml:space="preserve">Klaiman, K., Ortega, D. L., &amp; Garnache, C. (2016). </w:t>
      </w:r>
      <w:r w:rsidRPr="003A7173">
        <w:rPr>
          <w:rFonts w:ascii="AGaramond" w:hAnsi="AGaramond"/>
          <w:i/>
          <w:noProof/>
          <w:sz w:val="18"/>
          <w:szCs w:val="18"/>
        </w:rPr>
        <w:t>Consumer preferences and demand for packaging material and recyclability</w:t>
      </w:r>
      <w:r w:rsidRPr="003A7173">
        <w:rPr>
          <w:rFonts w:ascii="AGaramond" w:hAnsi="AGaramond"/>
          <w:noProof/>
          <w:sz w:val="18"/>
          <w:szCs w:val="18"/>
        </w:rPr>
        <w:t xml:space="preserve">. </w:t>
      </w:r>
      <w:r w:rsidRPr="003A7173">
        <w:rPr>
          <w:rFonts w:ascii="AGaramond" w:hAnsi="AGaramond"/>
          <w:iCs/>
          <w:noProof/>
          <w:sz w:val="18"/>
          <w:szCs w:val="18"/>
        </w:rPr>
        <w:t>Resources, Conservation and Recycling</w:t>
      </w:r>
      <w:r w:rsidRPr="003A7173">
        <w:rPr>
          <w:rFonts w:ascii="AGaramond" w:hAnsi="AGaramond"/>
          <w:noProof/>
          <w:sz w:val="18"/>
          <w:szCs w:val="18"/>
        </w:rPr>
        <w:t xml:space="preserve">, </w:t>
      </w:r>
      <w:r w:rsidRPr="003A7173">
        <w:rPr>
          <w:rFonts w:ascii="AGaramond" w:hAnsi="AGaramond"/>
          <w:iCs/>
          <w:noProof/>
          <w:sz w:val="18"/>
          <w:szCs w:val="18"/>
        </w:rPr>
        <w:t>115</w:t>
      </w:r>
      <w:r w:rsidRPr="003A7173">
        <w:rPr>
          <w:rFonts w:ascii="AGaramond" w:hAnsi="AGaramond"/>
          <w:noProof/>
          <w:sz w:val="18"/>
          <w:szCs w:val="18"/>
        </w:rPr>
        <w:t>, 1–8. https://doi.org/10.1016/j.resconrec.2016.08.021</w:t>
      </w:r>
    </w:p>
    <w:p w14:paraId="062B6372" w14:textId="77777777" w:rsidR="005B0F87" w:rsidRPr="003A7173" w:rsidRDefault="005B0F87" w:rsidP="005B0F87">
      <w:pPr>
        <w:widowControl w:val="0"/>
        <w:autoSpaceDE w:val="0"/>
        <w:autoSpaceDN w:val="0"/>
        <w:adjustRightInd w:val="0"/>
        <w:spacing w:line="240" w:lineRule="auto"/>
        <w:ind w:left="480" w:hanging="480"/>
        <w:rPr>
          <w:rFonts w:ascii="AGaramond" w:hAnsi="AGaramond"/>
          <w:noProof/>
          <w:sz w:val="18"/>
          <w:szCs w:val="18"/>
        </w:rPr>
      </w:pPr>
      <w:r w:rsidRPr="003A7173">
        <w:rPr>
          <w:rFonts w:ascii="AGaramond" w:hAnsi="AGaramond"/>
          <w:noProof/>
          <w:sz w:val="18"/>
          <w:szCs w:val="18"/>
        </w:rPr>
        <w:t>Klöckner, C. A., &amp; Blöbaum, A. (2010).</w:t>
      </w:r>
      <w:r w:rsidRPr="003A7173">
        <w:rPr>
          <w:rFonts w:ascii="AGaramond" w:hAnsi="AGaramond"/>
          <w:i/>
          <w:noProof/>
          <w:sz w:val="18"/>
          <w:szCs w:val="18"/>
        </w:rPr>
        <w:t xml:space="preserve"> A comprehensive action determination model: Toward a broader understanding of ecological behaviour using the example of travel mode choice</w:t>
      </w:r>
      <w:r w:rsidRPr="003A7173">
        <w:rPr>
          <w:rFonts w:ascii="AGaramond" w:hAnsi="AGaramond"/>
          <w:noProof/>
          <w:sz w:val="18"/>
          <w:szCs w:val="18"/>
        </w:rPr>
        <w:t xml:space="preserve">. </w:t>
      </w:r>
      <w:r w:rsidRPr="003A7173">
        <w:rPr>
          <w:rFonts w:ascii="AGaramond" w:hAnsi="AGaramond"/>
          <w:iCs/>
          <w:noProof/>
          <w:sz w:val="18"/>
          <w:szCs w:val="18"/>
        </w:rPr>
        <w:t>Journal of Environmental Psychology</w:t>
      </w:r>
      <w:r w:rsidRPr="003A7173">
        <w:rPr>
          <w:rFonts w:ascii="AGaramond" w:hAnsi="AGaramond"/>
          <w:noProof/>
          <w:sz w:val="18"/>
          <w:szCs w:val="18"/>
        </w:rPr>
        <w:t xml:space="preserve">, </w:t>
      </w:r>
      <w:r w:rsidRPr="003A7173">
        <w:rPr>
          <w:rFonts w:ascii="AGaramond" w:hAnsi="AGaramond"/>
          <w:iCs/>
          <w:noProof/>
          <w:sz w:val="18"/>
          <w:szCs w:val="18"/>
        </w:rPr>
        <w:t>30</w:t>
      </w:r>
      <w:r w:rsidRPr="003A7173">
        <w:rPr>
          <w:rFonts w:ascii="AGaramond" w:hAnsi="AGaramond"/>
          <w:noProof/>
          <w:sz w:val="18"/>
          <w:szCs w:val="18"/>
        </w:rPr>
        <w:t>(4), 574–586. https://doi.org/10.1016/j.jenvp.2010.03.001</w:t>
      </w:r>
    </w:p>
    <w:p w14:paraId="4992BB9E" w14:textId="77777777" w:rsidR="005B0F87" w:rsidRPr="003A7173" w:rsidRDefault="005B0F87" w:rsidP="005B0F87">
      <w:pPr>
        <w:widowControl w:val="0"/>
        <w:autoSpaceDE w:val="0"/>
        <w:autoSpaceDN w:val="0"/>
        <w:adjustRightInd w:val="0"/>
        <w:spacing w:line="240" w:lineRule="auto"/>
        <w:ind w:left="480" w:hanging="480"/>
        <w:rPr>
          <w:rFonts w:ascii="AGaramond" w:hAnsi="AGaramond"/>
          <w:noProof/>
          <w:sz w:val="18"/>
          <w:szCs w:val="18"/>
        </w:rPr>
      </w:pPr>
      <w:r w:rsidRPr="003A7173">
        <w:rPr>
          <w:rFonts w:ascii="AGaramond" w:hAnsi="AGaramond"/>
          <w:noProof/>
          <w:sz w:val="18"/>
          <w:szCs w:val="18"/>
        </w:rPr>
        <w:t xml:space="preserve">Labbe, D., Pineau, N., &amp; Martin, N. (2013). </w:t>
      </w:r>
      <w:r w:rsidRPr="003A7173">
        <w:rPr>
          <w:rFonts w:ascii="AGaramond" w:hAnsi="AGaramond"/>
          <w:i/>
          <w:noProof/>
          <w:sz w:val="18"/>
          <w:szCs w:val="18"/>
        </w:rPr>
        <w:t xml:space="preserve">Food expected naturalness: Impact of visual, tactile and auditory packaging material properties and role of perceptual interactions. </w:t>
      </w:r>
      <w:r w:rsidRPr="003A7173">
        <w:rPr>
          <w:rFonts w:ascii="AGaramond" w:hAnsi="AGaramond"/>
          <w:iCs/>
          <w:noProof/>
          <w:sz w:val="18"/>
          <w:szCs w:val="18"/>
        </w:rPr>
        <w:t>Food Quality and Preference</w:t>
      </w:r>
      <w:r w:rsidRPr="003A7173">
        <w:rPr>
          <w:rFonts w:ascii="AGaramond" w:hAnsi="AGaramond"/>
          <w:noProof/>
          <w:sz w:val="18"/>
          <w:szCs w:val="18"/>
        </w:rPr>
        <w:t xml:space="preserve">, </w:t>
      </w:r>
      <w:r w:rsidRPr="003A7173">
        <w:rPr>
          <w:rFonts w:ascii="AGaramond" w:hAnsi="AGaramond"/>
          <w:iCs/>
          <w:noProof/>
          <w:sz w:val="18"/>
          <w:szCs w:val="18"/>
        </w:rPr>
        <w:t>27</w:t>
      </w:r>
      <w:r w:rsidRPr="003A7173">
        <w:rPr>
          <w:rFonts w:ascii="AGaramond" w:hAnsi="AGaramond"/>
          <w:noProof/>
          <w:sz w:val="18"/>
          <w:szCs w:val="18"/>
        </w:rPr>
        <w:t>(2), 170–178. https://doi.org/10.1016/j.foodqual.2012.06.009</w:t>
      </w:r>
    </w:p>
    <w:p w14:paraId="1D3486E0" w14:textId="77777777" w:rsidR="005B0F87" w:rsidRPr="003A7173" w:rsidRDefault="005B0F87" w:rsidP="005B0F87">
      <w:pPr>
        <w:widowControl w:val="0"/>
        <w:autoSpaceDE w:val="0"/>
        <w:autoSpaceDN w:val="0"/>
        <w:adjustRightInd w:val="0"/>
        <w:spacing w:line="240" w:lineRule="auto"/>
        <w:ind w:left="480" w:hanging="480"/>
        <w:rPr>
          <w:rFonts w:ascii="AGaramond" w:hAnsi="AGaramond"/>
          <w:noProof/>
          <w:sz w:val="18"/>
          <w:szCs w:val="18"/>
        </w:rPr>
      </w:pPr>
      <w:r w:rsidRPr="003A7173">
        <w:rPr>
          <w:rFonts w:ascii="AGaramond" w:hAnsi="AGaramond"/>
          <w:noProof/>
          <w:sz w:val="18"/>
          <w:szCs w:val="18"/>
        </w:rPr>
        <w:t xml:space="preserve">Lithner, D., Larsson, A., &amp; Dave, G. (2011). </w:t>
      </w:r>
      <w:r w:rsidRPr="003A7173">
        <w:rPr>
          <w:rFonts w:ascii="AGaramond" w:hAnsi="AGaramond"/>
          <w:i/>
          <w:noProof/>
          <w:sz w:val="18"/>
          <w:szCs w:val="18"/>
        </w:rPr>
        <w:t>Environmental and health hazard ranking and assessment of plastic polymers based on chemical composition</w:t>
      </w:r>
      <w:r w:rsidRPr="003A7173">
        <w:rPr>
          <w:rFonts w:ascii="AGaramond" w:hAnsi="AGaramond"/>
          <w:noProof/>
          <w:sz w:val="18"/>
          <w:szCs w:val="18"/>
        </w:rPr>
        <w:t xml:space="preserve">. </w:t>
      </w:r>
      <w:r w:rsidRPr="003A7173">
        <w:rPr>
          <w:rFonts w:ascii="AGaramond" w:hAnsi="AGaramond"/>
          <w:iCs/>
          <w:noProof/>
          <w:sz w:val="18"/>
          <w:szCs w:val="18"/>
        </w:rPr>
        <w:t>Science of the Total Environment</w:t>
      </w:r>
      <w:r w:rsidRPr="003A7173">
        <w:rPr>
          <w:rFonts w:ascii="AGaramond" w:hAnsi="AGaramond"/>
          <w:noProof/>
          <w:sz w:val="18"/>
          <w:szCs w:val="18"/>
        </w:rPr>
        <w:t xml:space="preserve">, </w:t>
      </w:r>
      <w:r w:rsidRPr="003A7173">
        <w:rPr>
          <w:rFonts w:ascii="AGaramond" w:hAnsi="AGaramond"/>
          <w:iCs/>
          <w:noProof/>
          <w:sz w:val="18"/>
          <w:szCs w:val="18"/>
        </w:rPr>
        <w:t>409</w:t>
      </w:r>
      <w:r w:rsidRPr="003A7173">
        <w:rPr>
          <w:rFonts w:ascii="AGaramond" w:hAnsi="AGaramond"/>
          <w:noProof/>
          <w:sz w:val="18"/>
          <w:szCs w:val="18"/>
        </w:rPr>
        <w:t>(18), 3309–3324. https://doi.org/10.1016/j.scitotenv.2011.04.038</w:t>
      </w:r>
    </w:p>
    <w:p w14:paraId="0326F720" w14:textId="77777777" w:rsidR="005B0F87" w:rsidRPr="003A7173" w:rsidRDefault="005B0F87" w:rsidP="005B0F87">
      <w:pPr>
        <w:widowControl w:val="0"/>
        <w:autoSpaceDE w:val="0"/>
        <w:autoSpaceDN w:val="0"/>
        <w:adjustRightInd w:val="0"/>
        <w:spacing w:line="240" w:lineRule="auto"/>
        <w:ind w:left="480" w:hanging="480"/>
        <w:rPr>
          <w:rFonts w:ascii="AGaramond" w:hAnsi="AGaramond"/>
          <w:noProof/>
          <w:sz w:val="18"/>
          <w:szCs w:val="18"/>
        </w:rPr>
      </w:pPr>
      <w:r w:rsidRPr="003A7173">
        <w:rPr>
          <w:rFonts w:ascii="AGaramond" w:hAnsi="AGaramond"/>
          <w:noProof/>
          <w:sz w:val="18"/>
          <w:szCs w:val="18"/>
        </w:rPr>
        <w:t xml:space="preserve">Lockton, D., Harrison, D., &amp; Stanton, N. A. (2010). </w:t>
      </w:r>
      <w:r w:rsidRPr="003A7173">
        <w:rPr>
          <w:rFonts w:ascii="AGaramond" w:hAnsi="AGaramond"/>
          <w:i/>
          <w:noProof/>
          <w:sz w:val="18"/>
          <w:szCs w:val="18"/>
        </w:rPr>
        <w:t xml:space="preserve">The Design with Intent Method: A design tool for influencing user behaviour. </w:t>
      </w:r>
      <w:r w:rsidRPr="003A7173">
        <w:rPr>
          <w:rFonts w:ascii="AGaramond" w:hAnsi="AGaramond"/>
          <w:i/>
          <w:iCs/>
          <w:noProof/>
          <w:sz w:val="18"/>
          <w:szCs w:val="18"/>
        </w:rPr>
        <w:t>Applied Ergonomics</w:t>
      </w:r>
      <w:r w:rsidRPr="003A7173">
        <w:rPr>
          <w:rFonts w:ascii="AGaramond" w:hAnsi="AGaramond"/>
          <w:i/>
          <w:noProof/>
          <w:sz w:val="18"/>
          <w:szCs w:val="18"/>
        </w:rPr>
        <w:t>,</w:t>
      </w:r>
      <w:r w:rsidRPr="003A7173">
        <w:rPr>
          <w:rFonts w:ascii="AGaramond" w:hAnsi="AGaramond"/>
          <w:noProof/>
          <w:sz w:val="18"/>
          <w:szCs w:val="18"/>
        </w:rPr>
        <w:t xml:space="preserve"> </w:t>
      </w:r>
      <w:r w:rsidRPr="003A7173">
        <w:rPr>
          <w:rFonts w:ascii="AGaramond" w:hAnsi="AGaramond"/>
          <w:iCs/>
          <w:noProof/>
          <w:sz w:val="18"/>
          <w:szCs w:val="18"/>
        </w:rPr>
        <w:t>41</w:t>
      </w:r>
      <w:r w:rsidRPr="003A7173">
        <w:rPr>
          <w:rFonts w:ascii="AGaramond" w:hAnsi="AGaramond"/>
          <w:noProof/>
          <w:sz w:val="18"/>
          <w:szCs w:val="18"/>
        </w:rPr>
        <w:t>(3), 382–392. https://doi.org/10.1016/j.apergo.2009.09.001</w:t>
      </w:r>
    </w:p>
    <w:p w14:paraId="08E33F80" w14:textId="77777777" w:rsidR="005B0F87" w:rsidRPr="003A7173" w:rsidRDefault="005B0F87" w:rsidP="005B0F87">
      <w:pPr>
        <w:widowControl w:val="0"/>
        <w:autoSpaceDE w:val="0"/>
        <w:autoSpaceDN w:val="0"/>
        <w:adjustRightInd w:val="0"/>
        <w:spacing w:line="240" w:lineRule="auto"/>
        <w:ind w:left="480" w:hanging="480"/>
        <w:rPr>
          <w:rFonts w:ascii="AGaramond" w:hAnsi="AGaramond"/>
          <w:noProof/>
          <w:sz w:val="18"/>
          <w:szCs w:val="18"/>
        </w:rPr>
      </w:pPr>
      <w:r w:rsidRPr="003A7173">
        <w:rPr>
          <w:rFonts w:ascii="AGaramond" w:hAnsi="AGaramond"/>
          <w:noProof/>
          <w:sz w:val="18"/>
          <w:szCs w:val="18"/>
        </w:rPr>
        <w:t xml:space="preserve">Magnier, L., Schoormans, J., &amp; Mugge, R. (2016). </w:t>
      </w:r>
      <w:r w:rsidRPr="003A7173">
        <w:rPr>
          <w:rFonts w:ascii="AGaramond" w:hAnsi="AGaramond"/>
          <w:i/>
          <w:noProof/>
          <w:sz w:val="18"/>
          <w:szCs w:val="18"/>
        </w:rPr>
        <w:t>Judging a product by its cover: Packaging sustainability and perceptions of quality in food products.</w:t>
      </w:r>
      <w:r w:rsidRPr="003A7173">
        <w:rPr>
          <w:rFonts w:ascii="AGaramond" w:hAnsi="AGaramond"/>
          <w:noProof/>
          <w:sz w:val="18"/>
          <w:szCs w:val="18"/>
        </w:rPr>
        <w:t xml:space="preserve"> </w:t>
      </w:r>
      <w:r w:rsidRPr="003A7173">
        <w:rPr>
          <w:rFonts w:ascii="AGaramond" w:hAnsi="AGaramond"/>
          <w:iCs/>
          <w:noProof/>
          <w:sz w:val="18"/>
          <w:szCs w:val="18"/>
        </w:rPr>
        <w:t>Food Quality and Preference</w:t>
      </w:r>
      <w:r w:rsidRPr="003A7173">
        <w:rPr>
          <w:rFonts w:ascii="AGaramond" w:hAnsi="AGaramond"/>
          <w:noProof/>
          <w:sz w:val="18"/>
          <w:szCs w:val="18"/>
        </w:rPr>
        <w:t xml:space="preserve">, </w:t>
      </w:r>
      <w:r w:rsidRPr="003A7173">
        <w:rPr>
          <w:rFonts w:ascii="AGaramond" w:hAnsi="AGaramond"/>
          <w:iCs/>
          <w:noProof/>
          <w:sz w:val="18"/>
          <w:szCs w:val="18"/>
        </w:rPr>
        <w:t>53</w:t>
      </w:r>
      <w:r w:rsidRPr="003A7173">
        <w:rPr>
          <w:rFonts w:ascii="AGaramond" w:hAnsi="AGaramond"/>
          <w:noProof/>
          <w:sz w:val="18"/>
          <w:szCs w:val="18"/>
        </w:rPr>
        <w:t>, 132–142. https://doi.org/10.1016/j.foodqual.2016.06.006</w:t>
      </w:r>
    </w:p>
    <w:p w14:paraId="1107BFD0" w14:textId="7CD369C9" w:rsidR="005B0F87" w:rsidRPr="003A7173" w:rsidRDefault="005B0F87" w:rsidP="005B0F87">
      <w:pPr>
        <w:widowControl w:val="0"/>
        <w:autoSpaceDE w:val="0"/>
        <w:autoSpaceDN w:val="0"/>
        <w:adjustRightInd w:val="0"/>
        <w:spacing w:line="240" w:lineRule="auto"/>
        <w:ind w:left="480" w:hanging="480"/>
        <w:rPr>
          <w:rFonts w:ascii="AGaramond" w:hAnsi="AGaramond"/>
          <w:noProof/>
          <w:sz w:val="18"/>
          <w:szCs w:val="18"/>
        </w:rPr>
      </w:pPr>
      <w:r w:rsidRPr="003A7173">
        <w:rPr>
          <w:rFonts w:ascii="AGaramond" w:hAnsi="AGaramond"/>
          <w:noProof/>
          <w:sz w:val="18"/>
          <w:szCs w:val="18"/>
        </w:rPr>
        <w:t xml:space="preserve">Piselli, A., Baxter, W., Simonato, M., Del Curto, B., &amp; Aurisicchio, M. (2018). </w:t>
      </w:r>
      <w:r w:rsidRPr="003A7173">
        <w:rPr>
          <w:rFonts w:ascii="AGaramond" w:hAnsi="AGaramond"/>
          <w:i/>
          <w:noProof/>
          <w:sz w:val="18"/>
          <w:szCs w:val="18"/>
        </w:rPr>
        <w:t>Development and evaluation of a methodology to integrate technical and sensorial properties in materials selection.</w:t>
      </w:r>
      <w:r w:rsidRPr="003A7173">
        <w:rPr>
          <w:rFonts w:ascii="AGaramond" w:hAnsi="AGaramond"/>
          <w:noProof/>
          <w:sz w:val="18"/>
          <w:szCs w:val="18"/>
        </w:rPr>
        <w:t xml:space="preserve"> </w:t>
      </w:r>
      <w:r w:rsidRPr="003A7173">
        <w:rPr>
          <w:rFonts w:ascii="AGaramond" w:hAnsi="AGaramond"/>
          <w:iCs/>
          <w:noProof/>
          <w:sz w:val="18"/>
          <w:szCs w:val="18"/>
        </w:rPr>
        <w:t>Materials and Design</w:t>
      </w:r>
      <w:r w:rsidRPr="003A7173">
        <w:rPr>
          <w:rFonts w:ascii="AGaramond" w:hAnsi="AGaramond"/>
          <w:noProof/>
          <w:sz w:val="18"/>
          <w:szCs w:val="18"/>
        </w:rPr>
        <w:t xml:space="preserve">, </w:t>
      </w:r>
      <w:r w:rsidRPr="003A7173">
        <w:rPr>
          <w:rFonts w:ascii="AGaramond" w:hAnsi="AGaramond"/>
          <w:iCs/>
          <w:noProof/>
          <w:sz w:val="18"/>
          <w:szCs w:val="18"/>
        </w:rPr>
        <w:t>153</w:t>
      </w:r>
      <w:r w:rsidRPr="003A7173">
        <w:rPr>
          <w:rFonts w:ascii="AGaramond" w:hAnsi="AGaramond"/>
          <w:noProof/>
          <w:sz w:val="18"/>
          <w:szCs w:val="18"/>
        </w:rPr>
        <w:t xml:space="preserve">. </w:t>
      </w:r>
    </w:p>
    <w:p w14:paraId="71563C68" w14:textId="77777777" w:rsidR="005B0F87" w:rsidRPr="003A7173" w:rsidRDefault="005B0F87" w:rsidP="005B0F87">
      <w:pPr>
        <w:widowControl w:val="0"/>
        <w:autoSpaceDE w:val="0"/>
        <w:autoSpaceDN w:val="0"/>
        <w:adjustRightInd w:val="0"/>
        <w:spacing w:line="240" w:lineRule="auto"/>
        <w:ind w:left="480" w:hanging="480"/>
        <w:rPr>
          <w:rFonts w:ascii="AGaramond" w:hAnsi="AGaramond"/>
          <w:noProof/>
          <w:sz w:val="18"/>
          <w:szCs w:val="18"/>
        </w:rPr>
      </w:pPr>
      <w:r w:rsidRPr="003A7173">
        <w:rPr>
          <w:rFonts w:ascii="AGaramond" w:hAnsi="AGaramond"/>
          <w:noProof/>
          <w:sz w:val="18"/>
          <w:szCs w:val="18"/>
        </w:rPr>
        <w:t xml:space="preserve">R. Wever, 1, &amp; * L. van Onselen, 1 S. Silvester1 and C. Boks2. (2017). </w:t>
      </w:r>
      <w:r w:rsidRPr="003A7173">
        <w:rPr>
          <w:rFonts w:ascii="AGaramond" w:hAnsi="AGaramond"/>
          <w:i/>
          <w:noProof/>
          <w:sz w:val="18"/>
          <w:szCs w:val="18"/>
        </w:rPr>
        <w:t xml:space="preserve">Influence of Packaging Design on Littering and Waste Behaviour. </w:t>
      </w:r>
      <w:r w:rsidRPr="003A7173">
        <w:rPr>
          <w:rFonts w:ascii="AGaramond" w:hAnsi="AGaramond"/>
          <w:iCs/>
          <w:noProof/>
          <w:sz w:val="18"/>
          <w:szCs w:val="18"/>
        </w:rPr>
        <w:t>International Journal of Economic Research</w:t>
      </w:r>
      <w:r w:rsidRPr="003A7173">
        <w:rPr>
          <w:rFonts w:ascii="AGaramond" w:hAnsi="AGaramond"/>
          <w:noProof/>
          <w:sz w:val="18"/>
          <w:szCs w:val="18"/>
        </w:rPr>
        <w:t xml:space="preserve">, </w:t>
      </w:r>
      <w:r w:rsidRPr="003A7173">
        <w:rPr>
          <w:rFonts w:ascii="AGaramond" w:hAnsi="AGaramond"/>
          <w:iCs/>
          <w:noProof/>
          <w:sz w:val="18"/>
          <w:szCs w:val="18"/>
        </w:rPr>
        <w:t>14</w:t>
      </w:r>
      <w:r w:rsidRPr="003A7173">
        <w:rPr>
          <w:rFonts w:ascii="AGaramond" w:hAnsi="AGaramond"/>
          <w:noProof/>
          <w:sz w:val="18"/>
          <w:szCs w:val="18"/>
        </w:rPr>
        <w:t>(16), 165–182. https://doi.org/10.1002/pts</w:t>
      </w:r>
    </w:p>
    <w:p w14:paraId="14585908" w14:textId="77777777" w:rsidR="005B0F87" w:rsidRPr="003A7173" w:rsidRDefault="005B0F87" w:rsidP="005B0F87">
      <w:pPr>
        <w:widowControl w:val="0"/>
        <w:autoSpaceDE w:val="0"/>
        <w:autoSpaceDN w:val="0"/>
        <w:adjustRightInd w:val="0"/>
        <w:spacing w:line="240" w:lineRule="auto"/>
        <w:ind w:left="480" w:hanging="480"/>
        <w:rPr>
          <w:rFonts w:ascii="AGaramond" w:hAnsi="AGaramond"/>
          <w:noProof/>
          <w:sz w:val="18"/>
          <w:szCs w:val="18"/>
        </w:rPr>
      </w:pPr>
      <w:r w:rsidRPr="003A7173">
        <w:rPr>
          <w:rFonts w:ascii="AGaramond" w:hAnsi="AGaramond"/>
          <w:noProof/>
          <w:sz w:val="18"/>
          <w:szCs w:val="18"/>
        </w:rPr>
        <w:t xml:space="preserve">Schifferstein, H. N. J. (2009). The drinking experience: Cup or content? </w:t>
      </w:r>
      <w:r w:rsidRPr="003A7173">
        <w:rPr>
          <w:rFonts w:ascii="AGaramond" w:hAnsi="AGaramond"/>
          <w:iCs/>
          <w:noProof/>
          <w:sz w:val="18"/>
          <w:szCs w:val="18"/>
        </w:rPr>
        <w:t>Food Quality and Preference</w:t>
      </w:r>
      <w:r w:rsidRPr="003A7173">
        <w:rPr>
          <w:rFonts w:ascii="AGaramond" w:hAnsi="AGaramond"/>
          <w:noProof/>
          <w:sz w:val="18"/>
          <w:szCs w:val="18"/>
        </w:rPr>
        <w:t xml:space="preserve">, </w:t>
      </w:r>
      <w:r w:rsidRPr="003A7173">
        <w:rPr>
          <w:rFonts w:ascii="AGaramond" w:hAnsi="AGaramond"/>
          <w:iCs/>
          <w:noProof/>
          <w:sz w:val="18"/>
          <w:szCs w:val="18"/>
        </w:rPr>
        <w:t>20</w:t>
      </w:r>
      <w:r w:rsidRPr="003A7173">
        <w:rPr>
          <w:rFonts w:ascii="AGaramond" w:hAnsi="AGaramond"/>
          <w:noProof/>
          <w:sz w:val="18"/>
          <w:szCs w:val="18"/>
        </w:rPr>
        <w:t>(3), 268–276. https://doi.org/10.1016/j.foodqual.2008.11.003</w:t>
      </w:r>
    </w:p>
    <w:p w14:paraId="1C5C51B7" w14:textId="77777777" w:rsidR="005B0F87" w:rsidRPr="003A7173" w:rsidRDefault="005B0F87" w:rsidP="00C13B0D">
      <w:pPr>
        <w:widowControl w:val="0"/>
        <w:autoSpaceDE w:val="0"/>
        <w:autoSpaceDN w:val="0"/>
        <w:adjustRightInd w:val="0"/>
        <w:spacing w:line="240" w:lineRule="auto"/>
        <w:ind w:left="480" w:hanging="480"/>
        <w:rPr>
          <w:rFonts w:ascii="AGaramond" w:hAnsi="AGaramond"/>
          <w:noProof/>
          <w:sz w:val="18"/>
          <w:szCs w:val="18"/>
        </w:rPr>
      </w:pPr>
      <w:r w:rsidRPr="003A7173">
        <w:rPr>
          <w:rFonts w:ascii="AGaramond" w:hAnsi="AGaramond"/>
          <w:noProof/>
          <w:sz w:val="18"/>
          <w:szCs w:val="18"/>
        </w:rPr>
        <w:t xml:space="preserve">Simmonds, G., &amp; Spence, C. (2017). </w:t>
      </w:r>
      <w:r w:rsidRPr="003A7173">
        <w:rPr>
          <w:rFonts w:ascii="AGaramond" w:hAnsi="AGaramond"/>
          <w:i/>
          <w:noProof/>
          <w:sz w:val="18"/>
          <w:szCs w:val="18"/>
        </w:rPr>
        <w:t>Thinking inside the box: How seeing products on, or through, the packaging influences consumer perceptions and purchase behaviour</w:t>
      </w:r>
      <w:r w:rsidRPr="003A7173">
        <w:rPr>
          <w:rFonts w:ascii="AGaramond" w:hAnsi="AGaramond"/>
          <w:noProof/>
          <w:sz w:val="18"/>
          <w:szCs w:val="18"/>
        </w:rPr>
        <w:t xml:space="preserve">. </w:t>
      </w:r>
      <w:r w:rsidRPr="003A7173">
        <w:rPr>
          <w:rFonts w:ascii="AGaramond" w:hAnsi="AGaramond"/>
          <w:iCs/>
          <w:noProof/>
          <w:sz w:val="18"/>
          <w:szCs w:val="18"/>
        </w:rPr>
        <w:t>Food Quality and Preference</w:t>
      </w:r>
      <w:r w:rsidRPr="003A7173">
        <w:rPr>
          <w:rFonts w:ascii="AGaramond" w:hAnsi="AGaramond"/>
          <w:noProof/>
          <w:sz w:val="18"/>
          <w:szCs w:val="18"/>
        </w:rPr>
        <w:t xml:space="preserve">, </w:t>
      </w:r>
      <w:r w:rsidRPr="003A7173">
        <w:rPr>
          <w:rFonts w:ascii="AGaramond" w:hAnsi="AGaramond"/>
          <w:iCs/>
          <w:noProof/>
          <w:sz w:val="18"/>
          <w:szCs w:val="18"/>
        </w:rPr>
        <w:t>62</w:t>
      </w:r>
      <w:r w:rsidRPr="003A7173">
        <w:rPr>
          <w:rFonts w:ascii="AGaramond" w:hAnsi="AGaramond"/>
          <w:noProof/>
          <w:sz w:val="18"/>
          <w:szCs w:val="18"/>
        </w:rPr>
        <w:t>, 340–351. https://doi.org/10.1016/j.foodqual.2016.11.010</w:t>
      </w:r>
    </w:p>
    <w:p w14:paraId="1CB789BD" w14:textId="77777777" w:rsidR="005B0F87" w:rsidRPr="003A7173" w:rsidRDefault="005B0F87" w:rsidP="005B0F87">
      <w:pPr>
        <w:widowControl w:val="0"/>
        <w:autoSpaceDE w:val="0"/>
        <w:autoSpaceDN w:val="0"/>
        <w:adjustRightInd w:val="0"/>
        <w:spacing w:line="240" w:lineRule="auto"/>
        <w:ind w:left="480" w:hanging="480"/>
        <w:rPr>
          <w:rFonts w:ascii="AGaramond" w:hAnsi="AGaramond"/>
          <w:noProof/>
          <w:sz w:val="18"/>
          <w:szCs w:val="18"/>
        </w:rPr>
      </w:pPr>
      <w:r w:rsidRPr="003A7173">
        <w:rPr>
          <w:rFonts w:ascii="AGaramond" w:hAnsi="AGaramond"/>
          <w:noProof/>
          <w:sz w:val="18"/>
          <w:szCs w:val="18"/>
        </w:rPr>
        <w:t xml:space="preserve">Spence, C., &amp; Wan, X. (2015). </w:t>
      </w:r>
      <w:r w:rsidRPr="003A7173">
        <w:rPr>
          <w:rFonts w:ascii="AGaramond" w:hAnsi="AGaramond"/>
          <w:i/>
          <w:noProof/>
          <w:sz w:val="18"/>
          <w:szCs w:val="18"/>
        </w:rPr>
        <w:t>Beverage perception and consumption: The influence of the container on the perception of the contents</w:t>
      </w:r>
      <w:r w:rsidRPr="003A7173">
        <w:rPr>
          <w:rFonts w:ascii="AGaramond" w:hAnsi="AGaramond"/>
          <w:noProof/>
          <w:sz w:val="18"/>
          <w:szCs w:val="18"/>
        </w:rPr>
        <w:t xml:space="preserve">. </w:t>
      </w:r>
      <w:r w:rsidRPr="003A7173">
        <w:rPr>
          <w:rFonts w:ascii="AGaramond" w:hAnsi="AGaramond"/>
          <w:iCs/>
          <w:noProof/>
          <w:sz w:val="18"/>
          <w:szCs w:val="18"/>
        </w:rPr>
        <w:t>Food Quality and Preference</w:t>
      </w:r>
      <w:r w:rsidRPr="003A7173">
        <w:rPr>
          <w:rFonts w:ascii="AGaramond" w:hAnsi="AGaramond"/>
          <w:noProof/>
          <w:sz w:val="18"/>
          <w:szCs w:val="18"/>
        </w:rPr>
        <w:t xml:space="preserve">, </w:t>
      </w:r>
      <w:r w:rsidRPr="003A7173">
        <w:rPr>
          <w:rFonts w:ascii="AGaramond" w:hAnsi="AGaramond"/>
          <w:iCs/>
          <w:noProof/>
          <w:sz w:val="18"/>
          <w:szCs w:val="18"/>
        </w:rPr>
        <w:t>39</w:t>
      </w:r>
      <w:r w:rsidRPr="003A7173">
        <w:rPr>
          <w:rFonts w:ascii="AGaramond" w:hAnsi="AGaramond"/>
          <w:noProof/>
          <w:sz w:val="18"/>
          <w:szCs w:val="18"/>
        </w:rPr>
        <w:t>, 131–140. https://doi.org/10.1016/j.foodqual.2014.07.007</w:t>
      </w:r>
    </w:p>
    <w:p w14:paraId="482BCA3D" w14:textId="77777777" w:rsidR="005B0F87" w:rsidRPr="003A7173" w:rsidRDefault="005B0F87" w:rsidP="005B0F87">
      <w:pPr>
        <w:widowControl w:val="0"/>
        <w:autoSpaceDE w:val="0"/>
        <w:autoSpaceDN w:val="0"/>
        <w:adjustRightInd w:val="0"/>
        <w:spacing w:line="240" w:lineRule="auto"/>
        <w:ind w:left="480" w:hanging="480"/>
        <w:rPr>
          <w:rFonts w:ascii="AGaramond" w:hAnsi="AGaramond"/>
          <w:noProof/>
          <w:sz w:val="18"/>
          <w:szCs w:val="18"/>
        </w:rPr>
      </w:pPr>
      <w:r w:rsidRPr="003A7173">
        <w:rPr>
          <w:rFonts w:ascii="AGaramond" w:hAnsi="AGaramond"/>
          <w:noProof/>
          <w:sz w:val="18"/>
          <w:szCs w:val="18"/>
        </w:rPr>
        <w:t xml:space="preserve">Steenis, N. D., van Herpen, E., van der Lans, I. A., Ligthart, T. N., &amp; van Trijp, H. C. M. (2017). </w:t>
      </w:r>
      <w:r w:rsidRPr="003A7173">
        <w:rPr>
          <w:rFonts w:ascii="AGaramond" w:hAnsi="AGaramond"/>
          <w:i/>
          <w:noProof/>
          <w:sz w:val="18"/>
          <w:szCs w:val="18"/>
        </w:rPr>
        <w:t>Consumer response to packaging design: The role of packaging materials and graphics in sustainability perceptions and product evaluations</w:t>
      </w:r>
      <w:r w:rsidRPr="003A7173">
        <w:rPr>
          <w:rFonts w:ascii="AGaramond" w:hAnsi="AGaramond"/>
          <w:noProof/>
          <w:sz w:val="18"/>
          <w:szCs w:val="18"/>
        </w:rPr>
        <w:t xml:space="preserve">. </w:t>
      </w:r>
      <w:r w:rsidRPr="003A7173">
        <w:rPr>
          <w:rFonts w:ascii="AGaramond" w:hAnsi="AGaramond"/>
          <w:iCs/>
          <w:noProof/>
          <w:sz w:val="18"/>
          <w:szCs w:val="18"/>
        </w:rPr>
        <w:t>Journal of Cleaner Production</w:t>
      </w:r>
      <w:r w:rsidRPr="003A7173">
        <w:rPr>
          <w:rFonts w:ascii="AGaramond" w:hAnsi="AGaramond"/>
          <w:noProof/>
          <w:sz w:val="18"/>
          <w:szCs w:val="18"/>
        </w:rPr>
        <w:t xml:space="preserve">, </w:t>
      </w:r>
      <w:r w:rsidRPr="003A7173">
        <w:rPr>
          <w:rFonts w:ascii="AGaramond" w:hAnsi="AGaramond"/>
          <w:iCs/>
          <w:noProof/>
          <w:sz w:val="18"/>
          <w:szCs w:val="18"/>
        </w:rPr>
        <w:t>162</w:t>
      </w:r>
      <w:r w:rsidRPr="003A7173">
        <w:rPr>
          <w:rFonts w:ascii="AGaramond" w:hAnsi="AGaramond"/>
          <w:noProof/>
          <w:sz w:val="18"/>
          <w:szCs w:val="18"/>
        </w:rPr>
        <w:t>, 286–298. https://doi.org/10.1016/j.jclepro.2017.06.036</w:t>
      </w:r>
    </w:p>
    <w:p w14:paraId="52FA50F0" w14:textId="77777777" w:rsidR="005B0F87" w:rsidRPr="003A7173" w:rsidRDefault="005B0F87" w:rsidP="005B0F87">
      <w:pPr>
        <w:widowControl w:val="0"/>
        <w:autoSpaceDE w:val="0"/>
        <w:autoSpaceDN w:val="0"/>
        <w:adjustRightInd w:val="0"/>
        <w:spacing w:line="240" w:lineRule="auto"/>
        <w:ind w:left="480" w:hanging="480"/>
        <w:rPr>
          <w:rFonts w:ascii="AGaramond" w:hAnsi="AGaramond"/>
          <w:noProof/>
          <w:sz w:val="18"/>
          <w:szCs w:val="18"/>
        </w:rPr>
      </w:pPr>
      <w:r w:rsidRPr="003A7173">
        <w:rPr>
          <w:rFonts w:ascii="AGaramond" w:hAnsi="AGaramond"/>
          <w:noProof/>
          <w:sz w:val="18"/>
          <w:szCs w:val="18"/>
        </w:rPr>
        <w:t xml:space="preserve">Thackston, E. (2013). </w:t>
      </w:r>
      <w:r w:rsidRPr="003A7173">
        <w:rPr>
          <w:rFonts w:ascii="AGaramond" w:hAnsi="AGaramond"/>
          <w:i/>
          <w:iCs/>
          <w:noProof/>
          <w:sz w:val="18"/>
          <w:szCs w:val="18"/>
        </w:rPr>
        <w:t>the Effect of Packaging Material Properties on Consumer Food Quality Perception in Quick- Service Restaurants</w:t>
      </w:r>
      <w:r w:rsidRPr="003A7173">
        <w:rPr>
          <w:rFonts w:ascii="AGaramond" w:hAnsi="AGaramond"/>
          <w:i/>
          <w:noProof/>
          <w:sz w:val="18"/>
          <w:szCs w:val="18"/>
        </w:rPr>
        <w:t>.</w:t>
      </w:r>
      <w:r w:rsidRPr="003A7173">
        <w:rPr>
          <w:rFonts w:ascii="AGaramond" w:hAnsi="AGaramond"/>
          <w:noProof/>
          <w:sz w:val="18"/>
          <w:szCs w:val="18"/>
        </w:rPr>
        <w:t xml:space="preserve"> Clemson University.</w:t>
      </w:r>
    </w:p>
    <w:p w14:paraId="67FFEBAA" w14:textId="77777777" w:rsidR="005B0F87" w:rsidRPr="003A7173" w:rsidRDefault="005B0F87" w:rsidP="005B0F87">
      <w:pPr>
        <w:widowControl w:val="0"/>
        <w:autoSpaceDE w:val="0"/>
        <w:autoSpaceDN w:val="0"/>
        <w:adjustRightInd w:val="0"/>
        <w:spacing w:line="240" w:lineRule="auto"/>
        <w:ind w:left="480" w:hanging="480"/>
        <w:rPr>
          <w:rFonts w:ascii="AGaramond" w:hAnsi="AGaramond"/>
          <w:noProof/>
          <w:sz w:val="18"/>
          <w:szCs w:val="18"/>
        </w:rPr>
      </w:pPr>
      <w:r w:rsidRPr="003A7173">
        <w:rPr>
          <w:rFonts w:ascii="AGaramond" w:hAnsi="AGaramond"/>
          <w:noProof/>
          <w:sz w:val="18"/>
          <w:szCs w:val="18"/>
        </w:rPr>
        <w:t xml:space="preserve">Thompson, R. C., Swan, S. H., Moore, C. J., &amp; Vom Saal, F. S. (2009). </w:t>
      </w:r>
      <w:r w:rsidRPr="003A7173">
        <w:rPr>
          <w:rFonts w:ascii="AGaramond" w:hAnsi="AGaramond"/>
          <w:i/>
          <w:noProof/>
          <w:sz w:val="18"/>
          <w:szCs w:val="18"/>
        </w:rPr>
        <w:t>Our plastic age.</w:t>
      </w:r>
      <w:r w:rsidRPr="003A7173">
        <w:rPr>
          <w:rFonts w:ascii="AGaramond" w:hAnsi="AGaramond"/>
          <w:noProof/>
          <w:sz w:val="18"/>
          <w:szCs w:val="18"/>
        </w:rPr>
        <w:t xml:space="preserve"> </w:t>
      </w:r>
      <w:r w:rsidRPr="003A7173">
        <w:rPr>
          <w:rFonts w:ascii="AGaramond" w:hAnsi="AGaramond"/>
          <w:iCs/>
          <w:noProof/>
          <w:sz w:val="18"/>
          <w:szCs w:val="18"/>
        </w:rPr>
        <w:t>Philosophical Transactions of the Royal Society B: Biological Sciences</w:t>
      </w:r>
      <w:r w:rsidRPr="003A7173">
        <w:rPr>
          <w:rFonts w:ascii="AGaramond" w:hAnsi="AGaramond"/>
          <w:noProof/>
          <w:sz w:val="18"/>
          <w:szCs w:val="18"/>
        </w:rPr>
        <w:t xml:space="preserve">, </w:t>
      </w:r>
      <w:r w:rsidRPr="003A7173">
        <w:rPr>
          <w:rFonts w:ascii="AGaramond" w:hAnsi="AGaramond"/>
          <w:iCs/>
          <w:noProof/>
          <w:sz w:val="18"/>
          <w:szCs w:val="18"/>
        </w:rPr>
        <w:t>364</w:t>
      </w:r>
      <w:r w:rsidRPr="003A7173">
        <w:rPr>
          <w:rFonts w:ascii="AGaramond" w:hAnsi="AGaramond"/>
          <w:noProof/>
          <w:sz w:val="18"/>
          <w:szCs w:val="18"/>
        </w:rPr>
        <w:t>(1526), 1973–1976. https://doi.org/10.1098/rstb.2009.0054</w:t>
      </w:r>
    </w:p>
    <w:p w14:paraId="6000C8D9" w14:textId="61772BF6" w:rsidR="005B0F87" w:rsidRPr="003A7173" w:rsidRDefault="005B0F87" w:rsidP="005B0F87">
      <w:pPr>
        <w:widowControl w:val="0"/>
        <w:autoSpaceDE w:val="0"/>
        <w:autoSpaceDN w:val="0"/>
        <w:adjustRightInd w:val="0"/>
        <w:spacing w:line="240" w:lineRule="auto"/>
        <w:ind w:left="480" w:hanging="480"/>
        <w:rPr>
          <w:rFonts w:ascii="AGaramond" w:hAnsi="AGaramond"/>
          <w:noProof/>
          <w:sz w:val="18"/>
          <w:szCs w:val="18"/>
        </w:rPr>
      </w:pPr>
      <w:r w:rsidRPr="003A7173">
        <w:rPr>
          <w:rFonts w:ascii="AGaramond" w:hAnsi="AGaramond"/>
          <w:noProof/>
          <w:sz w:val="18"/>
          <w:szCs w:val="18"/>
        </w:rPr>
        <w:t>Williams, H., Venkatesh, G.,</w:t>
      </w:r>
      <w:r w:rsidR="00C13B0D" w:rsidRPr="003A7173">
        <w:rPr>
          <w:rFonts w:ascii="AGaramond" w:hAnsi="AGaramond"/>
          <w:noProof/>
          <w:sz w:val="18"/>
          <w:szCs w:val="18"/>
        </w:rPr>
        <w:t xml:space="preserve"> &amp; Wikstr, F. (2016). </w:t>
      </w:r>
      <w:r w:rsidR="00C13B0D" w:rsidRPr="003A7173">
        <w:rPr>
          <w:rFonts w:ascii="AGaramond" w:hAnsi="AGaramond"/>
          <w:i/>
          <w:noProof/>
          <w:sz w:val="18"/>
          <w:szCs w:val="18"/>
        </w:rPr>
        <w:t>The infl</w:t>
      </w:r>
      <w:r w:rsidRPr="003A7173">
        <w:rPr>
          <w:rFonts w:ascii="AGaramond" w:hAnsi="AGaramond"/>
          <w:i/>
          <w:noProof/>
          <w:sz w:val="18"/>
          <w:szCs w:val="18"/>
        </w:rPr>
        <w:t>uence of packaging attributes on recycling and food waste behaviour  An environmental comparison of two packaging alternatives,</w:t>
      </w:r>
      <w:r w:rsidRPr="003A7173">
        <w:rPr>
          <w:rFonts w:ascii="AGaramond" w:hAnsi="AGaramond"/>
          <w:noProof/>
          <w:sz w:val="18"/>
          <w:szCs w:val="18"/>
        </w:rPr>
        <w:t xml:space="preserve"> </w:t>
      </w:r>
      <w:r w:rsidRPr="003A7173">
        <w:rPr>
          <w:rFonts w:ascii="AGaramond" w:hAnsi="AGaramond"/>
          <w:iCs/>
          <w:noProof/>
          <w:sz w:val="18"/>
          <w:szCs w:val="18"/>
        </w:rPr>
        <w:t>137</w:t>
      </w:r>
      <w:r w:rsidRPr="003A7173">
        <w:rPr>
          <w:rFonts w:ascii="AGaramond" w:hAnsi="AGaramond"/>
          <w:noProof/>
          <w:sz w:val="18"/>
          <w:szCs w:val="18"/>
        </w:rPr>
        <w:t>, 895–902. https://doi.org/10.1016/j.jclepro.2016.07.097</w:t>
      </w:r>
    </w:p>
    <w:p w14:paraId="192622D9" w14:textId="77777777" w:rsidR="005B0F87" w:rsidRPr="003A7173" w:rsidRDefault="005B0F87" w:rsidP="005B0F87">
      <w:pPr>
        <w:widowControl w:val="0"/>
        <w:autoSpaceDE w:val="0"/>
        <w:autoSpaceDN w:val="0"/>
        <w:adjustRightInd w:val="0"/>
        <w:spacing w:line="240" w:lineRule="auto"/>
        <w:ind w:left="480" w:hanging="480"/>
        <w:rPr>
          <w:rFonts w:ascii="AGaramond" w:hAnsi="AGaramond"/>
          <w:noProof/>
          <w:sz w:val="18"/>
          <w:szCs w:val="18"/>
        </w:rPr>
      </w:pPr>
      <w:r w:rsidRPr="003A7173">
        <w:rPr>
          <w:rFonts w:ascii="AGaramond" w:hAnsi="AGaramond"/>
          <w:noProof/>
          <w:sz w:val="18"/>
          <w:szCs w:val="18"/>
        </w:rPr>
        <w:t xml:space="preserve">Wright, S. L., Thompson, R. C., &amp; Galloway, T. S. (2013). </w:t>
      </w:r>
      <w:r w:rsidRPr="003A7173">
        <w:rPr>
          <w:rFonts w:ascii="AGaramond" w:hAnsi="AGaramond"/>
          <w:i/>
          <w:noProof/>
          <w:sz w:val="18"/>
          <w:szCs w:val="18"/>
        </w:rPr>
        <w:t xml:space="preserve">The physical impacts of microplastics on marine organisms: A review. </w:t>
      </w:r>
      <w:r w:rsidRPr="003A7173">
        <w:rPr>
          <w:rFonts w:ascii="AGaramond" w:hAnsi="AGaramond"/>
          <w:iCs/>
          <w:noProof/>
          <w:sz w:val="18"/>
          <w:szCs w:val="18"/>
        </w:rPr>
        <w:t>Environmental Pollution</w:t>
      </w:r>
      <w:r w:rsidRPr="003A7173">
        <w:rPr>
          <w:rFonts w:ascii="AGaramond" w:hAnsi="AGaramond"/>
          <w:noProof/>
          <w:sz w:val="18"/>
          <w:szCs w:val="18"/>
        </w:rPr>
        <w:t xml:space="preserve">, </w:t>
      </w:r>
      <w:r w:rsidRPr="003A7173">
        <w:rPr>
          <w:rFonts w:ascii="AGaramond" w:hAnsi="AGaramond"/>
          <w:iCs/>
          <w:noProof/>
          <w:sz w:val="18"/>
          <w:szCs w:val="18"/>
        </w:rPr>
        <w:t>178</w:t>
      </w:r>
      <w:r w:rsidRPr="003A7173">
        <w:rPr>
          <w:rFonts w:ascii="AGaramond" w:hAnsi="AGaramond"/>
          <w:noProof/>
          <w:sz w:val="18"/>
          <w:szCs w:val="18"/>
        </w:rPr>
        <w:t>, 483–492. https://doi.org/10.1016/j.envpol.2013.02.031</w:t>
      </w:r>
    </w:p>
    <w:p w14:paraId="67139587" w14:textId="77777777" w:rsidR="005B0F87" w:rsidRPr="003A7173" w:rsidRDefault="005B0F87" w:rsidP="005B0F87">
      <w:pPr>
        <w:widowControl w:val="0"/>
        <w:autoSpaceDE w:val="0"/>
        <w:autoSpaceDN w:val="0"/>
        <w:adjustRightInd w:val="0"/>
        <w:spacing w:line="240" w:lineRule="auto"/>
        <w:ind w:left="480" w:hanging="480"/>
        <w:rPr>
          <w:rFonts w:ascii="AGaramond" w:hAnsi="AGaramond"/>
          <w:noProof/>
          <w:sz w:val="18"/>
          <w:szCs w:val="18"/>
        </w:rPr>
      </w:pPr>
      <w:r w:rsidRPr="003A7173">
        <w:rPr>
          <w:rFonts w:ascii="AGaramond" w:hAnsi="AGaramond"/>
          <w:noProof/>
          <w:sz w:val="18"/>
          <w:szCs w:val="18"/>
        </w:rPr>
        <w:t>Zafarmand, S. J., Sugiyama, K., Watanabe, M., Wikström, F., Williams, H., Venkatesh, G., … Aydıno</w:t>
      </w:r>
      <w:r w:rsidRPr="003A7173">
        <w:rPr>
          <w:rFonts w:ascii="Cambria" w:hAnsi="Cambria" w:cs="Cambria"/>
          <w:noProof/>
          <w:sz w:val="18"/>
          <w:szCs w:val="18"/>
        </w:rPr>
        <w:t>ğ</w:t>
      </w:r>
      <w:r w:rsidRPr="003A7173">
        <w:rPr>
          <w:rFonts w:ascii="AGaramond" w:hAnsi="AGaramond"/>
          <w:noProof/>
          <w:sz w:val="18"/>
          <w:szCs w:val="18"/>
        </w:rPr>
        <w:t xml:space="preserve">lu, N. Z. (2016). </w:t>
      </w:r>
      <w:r w:rsidRPr="003A7173">
        <w:rPr>
          <w:rFonts w:ascii="AGaramond" w:hAnsi="AGaramond"/>
          <w:i/>
          <w:noProof/>
          <w:sz w:val="18"/>
          <w:szCs w:val="18"/>
        </w:rPr>
        <w:t>A life cycle perspective on environmental effects of customer focused packaging developmen</w:t>
      </w:r>
      <w:r w:rsidRPr="003A7173">
        <w:rPr>
          <w:rFonts w:ascii="AGaramond" w:hAnsi="AGaramond"/>
          <w:noProof/>
          <w:sz w:val="18"/>
          <w:szCs w:val="18"/>
        </w:rPr>
        <w:t xml:space="preserve">t. </w:t>
      </w:r>
      <w:r w:rsidRPr="003A7173">
        <w:rPr>
          <w:rFonts w:ascii="AGaramond" w:hAnsi="AGaramond"/>
          <w:iCs/>
          <w:noProof/>
          <w:sz w:val="18"/>
          <w:szCs w:val="18"/>
        </w:rPr>
        <w:t>Journal of Cleaner Production</w:t>
      </w:r>
      <w:r w:rsidRPr="003A7173">
        <w:rPr>
          <w:rFonts w:ascii="AGaramond" w:hAnsi="AGaramond"/>
          <w:noProof/>
          <w:sz w:val="18"/>
          <w:szCs w:val="18"/>
        </w:rPr>
        <w:t xml:space="preserve">, </w:t>
      </w:r>
      <w:r w:rsidRPr="003A7173">
        <w:rPr>
          <w:rFonts w:ascii="AGaramond" w:hAnsi="AGaramond"/>
          <w:iCs/>
          <w:noProof/>
          <w:sz w:val="18"/>
          <w:szCs w:val="18"/>
        </w:rPr>
        <w:t>19</w:t>
      </w:r>
      <w:r w:rsidRPr="003A7173">
        <w:rPr>
          <w:rFonts w:ascii="AGaramond" w:hAnsi="AGaramond"/>
          <w:noProof/>
          <w:sz w:val="18"/>
          <w:szCs w:val="18"/>
        </w:rPr>
        <w:t>(1), 43–48. https://doi.org/10.1016/j.jclepro.2013.10.042</w:t>
      </w:r>
    </w:p>
    <w:p w14:paraId="2BAA329C" w14:textId="4D3EE3D9" w:rsidR="00187C5C" w:rsidRPr="00566548" w:rsidRDefault="0085156D" w:rsidP="00451012">
      <w:pPr>
        <w:widowControl w:val="0"/>
        <w:autoSpaceDE w:val="0"/>
        <w:autoSpaceDN w:val="0"/>
        <w:adjustRightInd w:val="0"/>
        <w:spacing w:line="240" w:lineRule="auto"/>
        <w:ind w:left="480" w:hanging="480"/>
        <w:rPr>
          <w:rFonts w:ascii="AGaramond" w:hAnsi="AGaramond"/>
          <w:sz w:val="18"/>
          <w:szCs w:val="18"/>
        </w:rPr>
      </w:pPr>
      <w:r w:rsidRPr="003A7173">
        <w:rPr>
          <w:rFonts w:ascii="AGaramond" w:hAnsi="AGaramond" w:cs="Arial"/>
          <w:sz w:val="18"/>
          <w:szCs w:val="18"/>
        </w:rPr>
        <w:fldChar w:fldCharType="end"/>
      </w:r>
    </w:p>
    <w:sectPr w:rsidR="00187C5C" w:rsidRPr="00566548" w:rsidSect="009F6F16">
      <w:headerReference w:type="even" r:id="rId16"/>
      <w:headerReference w:type="default" r:id="rId17"/>
      <w:pgSz w:w="11900" w:h="16840"/>
      <w:pgMar w:top="1418" w:right="1021" w:bottom="1134" w:left="1021" w:header="73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D52960" w14:textId="77777777" w:rsidR="006A45D4" w:rsidRDefault="006A45D4" w:rsidP="000F076F">
      <w:pPr>
        <w:spacing w:line="240" w:lineRule="auto"/>
      </w:pPr>
      <w:r>
        <w:separator/>
      </w:r>
    </w:p>
  </w:endnote>
  <w:endnote w:type="continuationSeparator" w:id="0">
    <w:p w14:paraId="36BA109F" w14:textId="77777777" w:rsidR="006A45D4" w:rsidRDefault="006A45D4" w:rsidP="000F076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rinda">
    <w:panose1 w:val="020B0502040204020203"/>
    <w:charset w:val="00"/>
    <w:family w:val="swiss"/>
    <w:pitch w:val="variable"/>
    <w:sig w:usb0="0001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Garamond">
    <w:altName w:val="Cambria"/>
    <w:panose1 w:val="020B0604020202020204"/>
    <w:charset w:val="00"/>
    <w:family w:val="roman"/>
    <w:pitch w:val="variable"/>
    <w:sig w:usb0="800000AF" w:usb1="4000004A" w:usb2="00000000" w:usb3="00000000" w:csb0="00000001" w:csb1="00000000"/>
  </w:font>
  <w:font w:name="Arial">
    <w:panose1 w:val="020B0604020202020204"/>
    <w:charset w:val="00"/>
    <w:family w:val="swiss"/>
    <w:pitch w:val="variable"/>
    <w:sig w:usb0="E0002AFF" w:usb1="C0007843" w:usb2="00000009" w:usb3="00000000" w:csb0="000001FF" w:csb1="00000000"/>
  </w:font>
  <w:font w:name="MetaBold Bold">
    <w:altName w:val="Courier New"/>
    <w:panose1 w:val="020B0604020202020204"/>
    <w:charset w:val="00"/>
    <w:family w:val="auto"/>
    <w:pitch w:val="variable"/>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ヒラギノ角ゴ Pro W3">
    <w:altName w:val="Yu Gothic"/>
    <w:panose1 w:val="020B0300000000000000"/>
    <w:charset w:val="80"/>
    <w:family w:val="auto"/>
    <w:pitch w:val="variable"/>
    <w:sig w:usb0="E00002FF" w:usb1="7AC7FFFF" w:usb2="00000012" w:usb3="00000000" w:csb0="0002000D" w:csb1="00000000"/>
  </w:font>
  <w:font w:name="Helvetica Neue">
    <w:altName w:val="Helvetica Neue"/>
    <w:panose1 w:val="02000503000000020004"/>
    <w:charset w:val="00"/>
    <w:family w:val="auto"/>
    <w:pitch w:val="variable"/>
    <w:sig w:usb0="E50002FF" w:usb1="500079DB" w:usb2="00000010" w:usb3="00000000" w:csb0="00000001" w:csb1="00000000"/>
  </w:font>
  <w:font w:name="Roboto">
    <w:altName w:val="Arial"/>
    <w:panose1 w:val="020B0604020202020204"/>
    <w:charset w:val="00"/>
    <w:family w:val="roman"/>
    <w:notTrueType/>
    <w:pitch w:val="default"/>
  </w:font>
  <w:font w:name="MetaNormal">
    <w:altName w:val="Calibri"/>
    <w:panose1 w:val="020B06040202020202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07AA29" w14:textId="77777777" w:rsidR="006A45D4" w:rsidRDefault="006A45D4" w:rsidP="000F076F">
      <w:pPr>
        <w:spacing w:line="240" w:lineRule="auto"/>
      </w:pPr>
      <w:r>
        <w:separator/>
      </w:r>
    </w:p>
  </w:footnote>
  <w:footnote w:type="continuationSeparator" w:id="0">
    <w:p w14:paraId="1848E46C" w14:textId="77777777" w:rsidR="006A45D4" w:rsidRDefault="006A45D4" w:rsidP="000F076F">
      <w:pPr>
        <w:spacing w:line="240" w:lineRule="auto"/>
      </w:pPr>
      <w:r>
        <w:continuationSeparator/>
      </w:r>
    </w:p>
  </w:footnote>
  <w:footnote w:id="1">
    <w:p w14:paraId="14CA89B6" w14:textId="2F278556" w:rsidR="005B0F87" w:rsidRPr="00C13B0D" w:rsidRDefault="00CE71D9">
      <w:pPr>
        <w:pStyle w:val="Testonotaapidipagina"/>
        <w:rPr>
          <w:sz w:val="16"/>
          <w:szCs w:val="16"/>
          <w:lang w:val="it-IT"/>
        </w:rPr>
      </w:pPr>
      <w:r w:rsidRPr="00C13B0D">
        <w:rPr>
          <w:rStyle w:val="Rimandonotaapidipagina"/>
          <w:sz w:val="16"/>
          <w:szCs w:val="16"/>
        </w:rPr>
        <w:footnoteRef/>
      </w:r>
      <w:r w:rsidRPr="00C13B0D">
        <w:rPr>
          <w:sz w:val="16"/>
          <w:szCs w:val="16"/>
        </w:rPr>
        <w:t xml:space="preserve"> </w:t>
      </w:r>
      <w:hyperlink r:id="rId1" w:history="1">
        <w:r w:rsidR="005B0F87" w:rsidRPr="00C13B0D">
          <w:rPr>
            <w:rStyle w:val="Collegamentoipertestuale"/>
            <w:sz w:val="16"/>
            <w:szCs w:val="16"/>
          </w:rPr>
          <w:t>https://www.european-bioplastics.org/</w:t>
        </w:r>
      </w:hyperlink>
    </w:p>
  </w:footnote>
  <w:footnote w:id="2">
    <w:p w14:paraId="218B22E8" w14:textId="019E8999" w:rsidR="005B0F87" w:rsidRPr="009821DA" w:rsidRDefault="003073F1">
      <w:pPr>
        <w:pStyle w:val="Testonotaapidipagina"/>
        <w:rPr>
          <w:lang w:val="it-IT"/>
        </w:rPr>
      </w:pPr>
      <w:r w:rsidRPr="00C13B0D">
        <w:rPr>
          <w:rStyle w:val="Rimandonotaapidipagina"/>
          <w:sz w:val="16"/>
          <w:szCs w:val="16"/>
        </w:rPr>
        <w:footnoteRef/>
      </w:r>
      <w:r w:rsidRPr="00C13B0D">
        <w:rPr>
          <w:sz w:val="16"/>
          <w:szCs w:val="16"/>
        </w:rPr>
        <w:t xml:space="preserve"> </w:t>
      </w:r>
      <w:hyperlink r:id="rId2" w:history="1">
        <w:r w:rsidR="005B0F87" w:rsidRPr="00C13B0D">
          <w:rPr>
            <w:rStyle w:val="Collegamentoipertestuale"/>
            <w:sz w:val="16"/>
            <w:szCs w:val="16"/>
          </w:rPr>
          <w:t>http://www.conai.org/</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5FF86D" w14:textId="77777777" w:rsidR="006A45D4" w:rsidRPr="009F6F16" w:rsidRDefault="006A45D4" w:rsidP="001E425B">
    <w:pPr>
      <w:pStyle w:val="Intestazione"/>
      <w:ind w:firstLine="0"/>
      <w:jc w:val="left"/>
    </w:pPr>
    <w:r w:rsidRPr="001E425B">
      <w:rPr>
        <w:rFonts w:ascii="MetaNormal" w:hAnsi="MetaNormal"/>
        <w:sz w:val="15"/>
        <w:szCs w:val="15"/>
      </w:rPr>
      <w:t>Author</w:t>
    </w:r>
    <w:r>
      <w:t xml:space="preserve"> </w:t>
    </w:r>
    <w:r w:rsidRPr="001E425B">
      <w:rPr>
        <w:rFonts w:ascii="MetaBold Bold" w:hAnsi="MetaBold Bold"/>
        <w:sz w:val="19"/>
        <w:szCs w:val="19"/>
      </w:rPr>
      <w:t>|</w:t>
    </w:r>
    <w:r>
      <w:rPr>
        <w:rFonts w:ascii="MetaBold Bold" w:hAnsi="MetaBold Bold"/>
        <w:sz w:val="19"/>
        <w:szCs w:val="19"/>
      </w:rPr>
      <w:t xml:space="preserve"> </w:t>
    </w:r>
    <w:r w:rsidRPr="001E425B">
      <w:rPr>
        <w:rFonts w:ascii="MetaBold Bold" w:hAnsi="MetaBold Bold"/>
        <w:sz w:val="15"/>
        <w:szCs w:val="15"/>
      </w:rPr>
      <w:t>Full paper title</w:t>
    </w:r>
    <w:r>
      <w:t xml:space="preserve"> </w:t>
    </w:r>
    <w:r w:rsidRPr="001E425B">
      <w:rPr>
        <w:rFonts w:ascii="MetaBold Bold" w:hAnsi="MetaBold Bold"/>
        <w:sz w:val="19"/>
        <w:szCs w:val="19"/>
      </w:rPr>
      <w:t>|</w:t>
    </w:r>
    <w:r>
      <w:t xml:space="preserve"> </w:t>
    </w:r>
    <w:r w:rsidRPr="001E425B">
      <w:rPr>
        <w:rStyle w:val="Numeropagina"/>
        <w:rFonts w:ascii="AGaramond" w:hAnsi="AGaramond"/>
        <w:sz w:val="16"/>
        <w:szCs w:val="16"/>
      </w:rPr>
      <w:fldChar w:fldCharType="begin"/>
    </w:r>
    <w:r w:rsidRPr="001E425B">
      <w:rPr>
        <w:rStyle w:val="Numeropagina"/>
        <w:rFonts w:ascii="AGaramond" w:hAnsi="AGaramond"/>
        <w:sz w:val="16"/>
        <w:szCs w:val="16"/>
      </w:rPr>
      <w:instrText xml:space="preserve"> PAGE </w:instrText>
    </w:r>
    <w:r w:rsidRPr="001E425B">
      <w:rPr>
        <w:rStyle w:val="Numeropagina"/>
        <w:rFonts w:ascii="AGaramond" w:hAnsi="AGaramond"/>
        <w:sz w:val="16"/>
        <w:szCs w:val="16"/>
      </w:rPr>
      <w:fldChar w:fldCharType="separate"/>
    </w:r>
    <w:r>
      <w:rPr>
        <w:rStyle w:val="Numeropagina"/>
        <w:rFonts w:ascii="AGaramond" w:hAnsi="AGaramond"/>
        <w:noProof/>
        <w:sz w:val="16"/>
        <w:szCs w:val="16"/>
      </w:rPr>
      <w:t>2</w:t>
    </w:r>
    <w:r w:rsidRPr="001E425B">
      <w:rPr>
        <w:rStyle w:val="Numeropagina"/>
        <w:rFonts w:ascii="AGaramond" w:hAnsi="AGaramond"/>
        <w:sz w:val="16"/>
        <w:szCs w:val="1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5FF86E" w14:textId="2922D82B" w:rsidR="006A45D4" w:rsidRPr="009F6F16" w:rsidRDefault="006A45D4" w:rsidP="001E425B">
    <w:pPr>
      <w:pStyle w:val="Intestazione"/>
      <w:jc w:val="right"/>
    </w:pPr>
    <w:r w:rsidRPr="002760F7">
      <w:rPr>
        <w:rFonts w:ascii="MetaNormal" w:hAnsi="MetaNormal"/>
        <w:sz w:val="15"/>
        <w:szCs w:val="15"/>
        <w:lang w:val="en-GB"/>
      </w:rPr>
      <w:t>Santi R.; Piselli A.; Elegir G.</w:t>
    </w:r>
    <w:r>
      <w:rPr>
        <w:rFonts w:ascii="MetaNormal" w:hAnsi="MetaNormal"/>
        <w:sz w:val="15"/>
        <w:szCs w:val="15"/>
        <w:lang w:val="en-GB"/>
      </w:rPr>
      <w:t>; Del Curto B.</w:t>
    </w:r>
    <w:r w:rsidRPr="002760F7">
      <w:rPr>
        <w:lang w:val="en-GB"/>
      </w:rPr>
      <w:t xml:space="preserve"> </w:t>
    </w:r>
    <w:r w:rsidRPr="001E425B">
      <w:rPr>
        <w:rFonts w:ascii="MetaBold Bold" w:hAnsi="MetaBold Bold"/>
        <w:sz w:val="19"/>
        <w:szCs w:val="19"/>
      </w:rPr>
      <w:t>|</w:t>
    </w:r>
    <w:r>
      <w:rPr>
        <w:rFonts w:ascii="MetaBold Bold" w:hAnsi="MetaBold Bold"/>
        <w:sz w:val="19"/>
        <w:szCs w:val="19"/>
      </w:rPr>
      <w:t xml:space="preserve"> </w:t>
    </w:r>
    <w:r w:rsidRPr="000952D7">
      <w:rPr>
        <w:rFonts w:ascii="MetaBold Bold" w:hAnsi="MetaBold Bold"/>
        <w:sz w:val="15"/>
        <w:szCs w:val="15"/>
      </w:rPr>
      <w:t>Misleading Identities: do perceptual attributes of materials drive the disposal of single-use packaging in the correct waste stream?</w:t>
    </w:r>
    <w:r w:rsidRPr="001E425B">
      <w:rPr>
        <w:rFonts w:ascii="MetaBold Bold" w:hAnsi="MetaBold Bold"/>
        <w:sz w:val="19"/>
        <w:szCs w:val="19"/>
      </w:rPr>
      <w:t>|</w:t>
    </w:r>
    <w:r>
      <w:t xml:space="preserve"> </w:t>
    </w:r>
    <w:r w:rsidRPr="001E425B">
      <w:rPr>
        <w:rStyle w:val="Numeropagina"/>
        <w:rFonts w:ascii="AGaramond" w:hAnsi="AGaramond"/>
        <w:sz w:val="16"/>
        <w:szCs w:val="16"/>
      </w:rPr>
      <w:fldChar w:fldCharType="begin"/>
    </w:r>
    <w:r w:rsidRPr="001E425B">
      <w:rPr>
        <w:rStyle w:val="Numeropagina"/>
        <w:rFonts w:ascii="AGaramond" w:hAnsi="AGaramond"/>
        <w:sz w:val="16"/>
        <w:szCs w:val="16"/>
      </w:rPr>
      <w:instrText xml:space="preserve"> PAGE </w:instrText>
    </w:r>
    <w:r w:rsidRPr="001E425B">
      <w:rPr>
        <w:rStyle w:val="Numeropagina"/>
        <w:rFonts w:ascii="AGaramond" w:hAnsi="AGaramond"/>
        <w:sz w:val="16"/>
        <w:szCs w:val="16"/>
      </w:rPr>
      <w:fldChar w:fldCharType="separate"/>
    </w:r>
    <w:r w:rsidR="003A7173">
      <w:rPr>
        <w:rStyle w:val="Numeropagina"/>
        <w:rFonts w:ascii="AGaramond" w:hAnsi="AGaramond"/>
        <w:noProof/>
        <w:sz w:val="16"/>
        <w:szCs w:val="16"/>
      </w:rPr>
      <w:t>7</w:t>
    </w:r>
    <w:r w:rsidRPr="001E425B">
      <w:rPr>
        <w:rStyle w:val="Numeropagina"/>
        <w:rFonts w:ascii="AGaramond" w:hAnsi="AGaramond"/>
        <w:sz w:val="16"/>
        <w:szCs w:val="16"/>
      </w:rPr>
      <w:fldChar w:fldCharType="end"/>
    </w:r>
  </w:p>
  <w:p w14:paraId="7A5FF86F" w14:textId="77777777" w:rsidR="006A45D4" w:rsidRPr="001E425B" w:rsidRDefault="006A45D4" w:rsidP="001E425B">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241C8A4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1EB68744"/>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E55A5E0E"/>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D65E6FF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F300D05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CEECCC8C"/>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CFF80D2A"/>
    <w:lvl w:ilvl="0">
      <w:start w:val="1"/>
      <w:numFmt w:val="decimal"/>
      <w:pStyle w:val="Reference"/>
      <w:lvlText w:val="[%1]"/>
      <w:lvlJc w:val="left"/>
      <w:pPr>
        <w:tabs>
          <w:tab w:val="num" w:pos="360"/>
        </w:tabs>
        <w:ind w:left="357" w:hanging="357"/>
      </w:pPr>
    </w:lvl>
  </w:abstractNum>
  <w:abstractNum w:abstractNumId="7" w15:restartNumberingAfterBreak="0">
    <w:nsid w:val="FFFFFF82"/>
    <w:multiLevelType w:val="singleLevel"/>
    <w:tmpl w:val="6C80E36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FCAE611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98DA6D68"/>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BFF22DC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9E41F76"/>
    <w:multiLevelType w:val="hybridMultilevel"/>
    <w:tmpl w:val="90C67EA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146476C4"/>
    <w:multiLevelType w:val="hybridMultilevel"/>
    <w:tmpl w:val="5748BDEC"/>
    <w:lvl w:ilvl="0" w:tplc="A5F2CB72">
      <w:start w:val="1"/>
      <w:numFmt w:val="bullet"/>
      <w:pStyle w:val="XBulletlist"/>
      <w:lvlText w:val=""/>
      <w:lvlJc w:val="left"/>
      <w:pPr>
        <w:ind w:left="397" w:hanging="17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8073BD"/>
    <w:multiLevelType w:val="hybridMultilevel"/>
    <w:tmpl w:val="18F27C0C"/>
    <w:lvl w:ilvl="0" w:tplc="FE6649CA">
      <w:start w:val="4"/>
      <w:numFmt w:val="bullet"/>
      <w:lvlText w:val="-"/>
      <w:lvlJc w:val="left"/>
      <w:pPr>
        <w:ind w:left="720" w:hanging="360"/>
      </w:pPr>
      <w:rPr>
        <w:rFonts w:ascii="Times New Roman" w:eastAsia="Cambria"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6953611"/>
    <w:multiLevelType w:val="hybridMultilevel"/>
    <w:tmpl w:val="C2689564"/>
    <w:lvl w:ilvl="0" w:tplc="CDA00E88">
      <w:numFmt w:val="bullet"/>
      <w:lvlText w:val=""/>
      <w:lvlJc w:val="left"/>
      <w:pPr>
        <w:ind w:left="720" w:hanging="360"/>
      </w:pPr>
      <w:rPr>
        <w:rFonts w:ascii="Wingdings" w:eastAsia="Cambria" w:hAnsi="Wingdings"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584522EC"/>
    <w:multiLevelType w:val="hybridMultilevel"/>
    <w:tmpl w:val="1C5C5CCC"/>
    <w:lvl w:ilvl="0" w:tplc="08CAB13A">
      <w:start w:val="1"/>
      <w:numFmt w:val="bullet"/>
      <w:pStyle w:val="BulletpointsX"/>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5"/>
  </w:num>
  <w:num w:numId="3">
    <w:abstractNumId w:val="0"/>
  </w:num>
  <w:num w:numId="4">
    <w:abstractNumId w:val="1"/>
  </w:num>
  <w:num w:numId="5">
    <w:abstractNumId w:val="2"/>
  </w:num>
  <w:num w:numId="6">
    <w:abstractNumId w:val="3"/>
  </w:num>
  <w:num w:numId="7">
    <w:abstractNumId w:val="4"/>
  </w:num>
  <w:num w:numId="8">
    <w:abstractNumId w:val="9"/>
  </w:num>
  <w:num w:numId="9">
    <w:abstractNumId w:val="5"/>
  </w:num>
  <w:num w:numId="10">
    <w:abstractNumId w:val="7"/>
  </w:num>
  <w:num w:numId="11">
    <w:abstractNumId w:val="8"/>
  </w:num>
  <w:num w:numId="12">
    <w:abstractNumId w:val="10"/>
  </w:num>
  <w:num w:numId="13">
    <w:abstractNumId w:val="12"/>
  </w:num>
  <w:num w:numId="14">
    <w:abstractNumId w:val="14"/>
  </w:num>
  <w:num w:numId="15">
    <w:abstractNumId w:val="11"/>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hideSpellingErrors/>
  <w:hideGrammaticalErrors/>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283"/>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712E"/>
    <w:rsid w:val="00000715"/>
    <w:rsid w:val="000010D2"/>
    <w:rsid w:val="00021BAA"/>
    <w:rsid w:val="000750CB"/>
    <w:rsid w:val="00075871"/>
    <w:rsid w:val="00087217"/>
    <w:rsid w:val="000929A2"/>
    <w:rsid w:val="000952D7"/>
    <w:rsid w:val="000A52A2"/>
    <w:rsid w:val="000B2DCE"/>
    <w:rsid w:val="000E1EEF"/>
    <w:rsid w:val="000E2549"/>
    <w:rsid w:val="000F0701"/>
    <w:rsid w:val="000F076F"/>
    <w:rsid w:val="001013A9"/>
    <w:rsid w:val="00113A70"/>
    <w:rsid w:val="001203FA"/>
    <w:rsid w:val="00133336"/>
    <w:rsid w:val="001401F7"/>
    <w:rsid w:val="00141F80"/>
    <w:rsid w:val="00151B8C"/>
    <w:rsid w:val="00184256"/>
    <w:rsid w:val="00187C5C"/>
    <w:rsid w:val="001A6C88"/>
    <w:rsid w:val="001B02F2"/>
    <w:rsid w:val="001B7175"/>
    <w:rsid w:val="001D1523"/>
    <w:rsid w:val="001E425B"/>
    <w:rsid w:val="002060DB"/>
    <w:rsid w:val="0024107B"/>
    <w:rsid w:val="002419AA"/>
    <w:rsid w:val="0026190C"/>
    <w:rsid w:val="002700D9"/>
    <w:rsid w:val="002760F7"/>
    <w:rsid w:val="00280AF7"/>
    <w:rsid w:val="00292A75"/>
    <w:rsid w:val="002A7F23"/>
    <w:rsid w:val="002B0832"/>
    <w:rsid w:val="002B6F7A"/>
    <w:rsid w:val="002D54CC"/>
    <w:rsid w:val="002E14F0"/>
    <w:rsid w:val="0030528E"/>
    <w:rsid w:val="003073F1"/>
    <w:rsid w:val="0030775C"/>
    <w:rsid w:val="0031449F"/>
    <w:rsid w:val="0031641A"/>
    <w:rsid w:val="0038507B"/>
    <w:rsid w:val="003A4C78"/>
    <w:rsid w:val="003A6572"/>
    <w:rsid w:val="003A7173"/>
    <w:rsid w:val="003E341C"/>
    <w:rsid w:val="0040228F"/>
    <w:rsid w:val="004052CD"/>
    <w:rsid w:val="004240B0"/>
    <w:rsid w:val="00432778"/>
    <w:rsid w:val="00434DF6"/>
    <w:rsid w:val="00451012"/>
    <w:rsid w:val="004715EF"/>
    <w:rsid w:val="0049692E"/>
    <w:rsid w:val="00497A06"/>
    <w:rsid w:val="004A23B2"/>
    <w:rsid w:val="004B4708"/>
    <w:rsid w:val="004B70CC"/>
    <w:rsid w:val="004C3961"/>
    <w:rsid w:val="004C3BCA"/>
    <w:rsid w:val="004D161A"/>
    <w:rsid w:val="004D67D4"/>
    <w:rsid w:val="004F1419"/>
    <w:rsid w:val="004F414B"/>
    <w:rsid w:val="004F6BF9"/>
    <w:rsid w:val="00515F98"/>
    <w:rsid w:val="005216FC"/>
    <w:rsid w:val="0052498F"/>
    <w:rsid w:val="00524ECD"/>
    <w:rsid w:val="00532837"/>
    <w:rsid w:val="00560BE6"/>
    <w:rsid w:val="00563EA5"/>
    <w:rsid w:val="00565BCE"/>
    <w:rsid w:val="00566548"/>
    <w:rsid w:val="005666C8"/>
    <w:rsid w:val="00573548"/>
    <w:rsid w:val="00581EFB"/>
    <w:rsid w:val="005875A1"/>
    <w:rsid w:val="00590B5A"/>
    <w:rsid w:val="005A0224"/>
    <w:rsid w:val="005B0F87"/>
    <w:rsid w:val="005D2E4B"/>
    <w:rsid w:val="0060132C"/>
    <w:rsid w:val="00604764"/>
    <w:rsid w:val="006209EC"/>
    <w:rsid w:val="006301EE"/>
    <w:rsid w:val="00647FBE"/>
    <w:rsid w:val="00650082"/>
    <w:rsid w:val="00654A58"/>
    <w:rsid w:val="00666CC9"/>
    <w:rsid w:val="0066707F"/>
    <w:rsid w:val="00677E5A"/>
    <w:rsid w:val="006940F0"/>
    <w:rsid w:val="006A45D4"/>
    <w:rsid w:val="006B3ED7"/>
    <w:rsid w:val="006C74E4"/>
    <w:rsid w:val="006D1CE7"/>
    <w:rsid w:val="006E55DB"/>
    <w:rsid w:val="006E6C1D"/>
    <w:rsid w:val="006F5CF1"/>
    <w:rsid w:val="00701E22"/>
    <w:rsid w:val="00702718"/>
    <w:rsid w:val="00713241"/>
    <w:rsid w:val="007149A5"/>
    <w:rsid w:val="007158EB"/>
    <w:rsid w:val="00733435"/>
    <w:rsid w:val="007431C9"/>
    <w:rsid w:val="0074355B"/>
    <w:rsid w:val="00743E9D"/>
    <w:rsid w:val="00745FEC"/>
    <w:rsid w:val="007571CE"/>
    <w:rsid w:val="00791B46"/>
    <w:rsid w:val="007954E1"/>
    <w:rsid w:val="007A5399"/>
    <w:rsid w:val="007B33AB"/>
    <w:rsid w:val="007B6373"/>
    <w:rsid w:val="007D6F40"/>
    <w:rsid w:val="007E6C17"/>
    <w:rsid w:val="007F2972"/>
    <w:rsid w:val="007F6CA4"/>
    <w:rsid w:val="00803244"/>
    <w:rsid w:val="008035B0"/>
    <w:rsid w:val="00815605"/>
    <w:rsid w:val="00824F33"/>
    <w:rsid w:val="0084712E"/>
    <w:rsid w:val="0085156D"/>
    <w:rsid w:val="0085775C"/>
    <w:rsid w:val="00864A05"/>
    <w:rsid w:val="008856CD"/>
    <w:rsid w:val="00890C9D"/>
    <w:rsid w:val="008968B0"/>
    <w:rsid w:val="008A08D7"/>
    <w:rsid w:val="008A1792"/>
    <w:rsid w:val="008B2137"/>
    <w:rsid w:val="008B62E4"/>
    <w:rsid w:val="008C6F7C"/>
    <w:rsid w:val="008D2490"/>
    <w:rsid w:val="008D2B44"/>
    <w:rsid w:val="008E4CED"/>
    <w:rsid w:val="008E5335"/>
    <w:rsid w:val="009073E8"/>
    <w:rsid w:val="009133B9"/>
    <w:rsid w:val="009176EB"/>
    <w:rsid w:val="00924AE7"/>
    <w:rsid w:val="00924CD1"/>
    <w:rsid w:val="009254EF"/>
    <w:rsid w:val="00930B76"/>
    <w:rsid w:val="00943DA6"/>
    <w:rsid w:val="00945FCF"/>
    <w:rsid w:val="009538F0"/>
    <w:rsid w:val="0095390E"/>
    <w:rsid w:val="00972F76"/>
    <w:rsid w:val="00974BCF"/>
    <w:rsid w:val="009762D1"/>
    <w:rsid w:val="00980F5F"/>
    <w:rsid w:val="009821DA"/>
    <w:rsid w:val="009914C7"/>
    <w:rsid w:val="009B1D35"/>
    <w:rsid w:val="009F1A6E"/>
    <w:rsid w:val="009F6F16"/>
    <w:rsid w:val="009F742C"/>
    <w:rsid w:val="00A02E57"/>
    <w:rsid w:val="00A16697"/>
    <w:rsid w:val="00A33BE3"/>
    <w:rsid w:val="00A45482"/>
    <w:rsid w:val="00A70A80"/>
    <w:rsid w:val="00A77BC4"/>
    <w:rsid w:val="00AA166D"/>
    <w:rsid w:val="00AB45FF"/>
    <w:rsid w:val="00AB4FEA"/>
    <w:rsid w:val="00AC59F0"/>
    <w:rsid w:val="00AD47C8"/>
    <w:rsid w:val="00AE1EA8"/>
    <w:rsid w:val="00B1113E"/>
    <w:rsid w:val="00B1146D"/>
    <w:rsid w:val="00B3448B"/>
    <w:rsid w:val="00B36FEA"/>
    <w:rsid w:val="00B42FA6"/>
    <w:rsid w:val="00B455A8"/>
    <w:rsid w:val="00B8250C"/>
    <w:rsid w:val="00BA3F40"/>
    <w:rsid w:val="00BB20BB"/>
    <w:rsid w:val="00BC481F"/>
    <w:rsid w:val="00BD63A8"/>
    <w:rsid w:val="00C01226"/>
    <w:rsid w:val="00C06B6C"/>
    <w:rsid w:val="00C10347"/>
    <w:rsid w:val="00C11936"/>
    <w:rsid w:val="00C13B0D"/>
    <w:rsid w:val="00C1624F"/>
    <w:rsid w:val="00C17A06"/>
    <w:rsid w:val="00C24B2E"/>
    <w:rsid w:val="00C452EC"/>
    <w:rsid w:val="00C464A0"/>
    <w:rsid w:val="00CB4D79"/>
    <w:rsid w:val="00CE0C49"/>
    <w:rsid w:val="00CE5DBD"/>
    <w:rsid w:val="00CE71D9"/>
    <w:rsid w:val="00CF6548"/>
    <w:rsid w:val="00D020CA"/>
    <w:rsid w:val="00D029DE"/>
    <w:rsid w:val="00D34CB4"/>
    <w:rsid w:val="00D359CC"/>
    <w:rsid w:val="00D42D7A"/>
    <w:rsid w:val="00D470F0"/>
    <w:rsid w:val="00D80F72"/>
    <w:rsid w:val="00D81647"/>
    <w:rsid w:val="00D90D5F"/>
    <w:rsid w:val="00D911BD"/>
    <w:rsid w:val="00DB09DB"/>
    <w:rsid w:val="00DB72D0"/>
    <w:rsid w:val="00DC3B1F"/>
    <w:rsid w:val="00DC45BB"/>
    <w:rsid w:val="00DC45FF"/>
    <w:rsid w:val="00DE4439"/>
    <w:rsid w:val="00DE4CB3"/>
    <w:rsid w:val="00DE5358"/>
    <w:rsid w:val="00DF26DF"/>
    <w:rsid w:val="00DF65B7"/>
    <w:rsid w:val="00E04485"/>
    <w:rsid w:val="00E203B8"/>
    <w:rsid w:val="00E2464A"/>
    <w:rsid w:val="00E32228"/>
    <w:rsid w:val="00E42AFD"/>
    <w:rsid w:val="00E43AE2"/>
    <w:rsid w:val="00E62B68"/>
    <w:rsid w:val="00E64C41"/>
    <w:rsid w:val="00E85A6B"/>
    <w:rsid w:val="00E97C58"/>
    <w:rsid w:val="00EA0112"/>
    <w:rsid w:val="00EB1B04"/>
    <w:rsid w:val="00EC4740"/>
    <w:rsid w:val="00EE3922"/>
    <w:rsid w:val="00EE6E4B"/>
    <w:rsid w:val="00F01B68"/>
    <w:rsid w:val="00F57183"/>
    <w:rsid w:val="00F81B13"/>
    <w:rsid w:val="00F85739"/>
    <w:rsid w:val="00FD15F4"/>
    <w:rsid w:val="00FD68AF"/>
    <w:rsid w:val="00FE639F"/>
    <w:rsid w:val="00FE7262"/>
    <w:rsid w:val="00FF26D2"/>
  </w:rsids>
  <m:mathPr>
    <m:mathFont m:val="Cambria Math"/>
    <m:brkBin m:val="before"/>
    <m:brkBinSub m:val="--"/>
    <m:smallFrac m:val="0"/>
    <m:dispDef/>
    <m:lMargin m:val="0"/>
    <m:rMargin m:val="0"/>
    <m:defJc m:val="centerGroup"/>
    <m:wrapIndent m:val="1440"/>
    <m:intLim m:val="subSup"/>
    <m:naryLim m:val="undOvr"/>
  </m:mathPr>
  <w:themeFontLang w:val="en-US" w:eastAsia="ja-JP" w:bidi="bn-BD"/>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7A5FF808"/>
  <w14:defaultImageDpi w14:val="300"/>
  <w15:docId w15:val="{56A8A1BB-CB1D-422A-B977-B9767660E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4355B"/>
    <w:pPr>
      <w:tabs>
        <w:tab w:val="left" w:pos="284"/>
      </w:tabs>
      <w:spacing w:line="240" w:lineRule="exact"/>
      <w:jc w:val="both"/>
    </w:pPr>
    <w:rPr>
      <w:rFonts w:ascii="Times New Roman" w:eastAsia="Cambria" w:hAnsi="Times New Roman" w:cs="Times New Roman"/>
      <w:sz w:val="20"/>
      <w:lang w:val="en-GB"/>
    </w:rPr>
  </w:style>
  <w:style w:type="paragraph" w:styleId="Titolo1">
    <w:name w:val="heading 1"/>
    <w:basedOn w:val="Normale"/>
    <w:next w:val="Normale"/>
    <w:link w:val="Titolo1Carattere"/>
    <w:uiPriority w:val="9"/>
    <w:qFormat/>
    <w:rsid w:val="00E64C41"/>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itleTableX">
    <w:name w:val="Title Table X"/>
    <w:basedOn w:val="Normale"/>
    <w:qFormat/>
    <w:rsid w:val="00AC59F0"/>
    <w:pPr>
      <w:jc w:val="center"/>
    </w:pPr>
    <w:rPr>
      <w:rFonts w:ascii="AGaramond" w:hAnsi="AGaramond" w:cs="Arial"/>
      <w:bCs/>
      <w:sz w:val="15"/>
      <w:szCs w:val="15"/>
    </w:rPr>
  </w:style>
  <w:style w:type="paragraph" w:customStyle="1" w:styleId="TableX">
    <w:name w:val="Table X"/>
    <w:basedOn w:val="Corpodeltesto3"/>
    <w:qFormat/>
    <w:rsid w:val="00E04485"/>
    <w:pPr>
      <w:bidi/>
      <w:spacing w:after="0"/>
      <w:ind w:firstLine="0"/>
      <w:jc w:val="center"/>
    </w:pPr>
    <w:rPr>
      <w:rFonts w:ascii="AGaramond" w:hAnsi="AGaramond" w:cs="Arial"/>
      <w:sz w:val="20"/>
    </w:rPr>
  </w:style>
  <w:style w:type="paragraph" w:customStyle="1" w:styleId="HeaderAbs">
    <w:name w:val="Header (Abs."/>
    <w:aliases w:val="Ref.,Ack.)"/>
    <w:basedOn w:val="Titolo1"/>
    <w:rsid w:val="00E64C41"/>
    <w:pPr>
      <w:keepLines w:val="0"/>
      <w:tabs>
        <w:tab w:val="clear" w:pos="284"/>
      </w:tabs>
      <w:spacing w:before="240" w:after="240" w:line="240" w:lineRule="auto"/>
      <w:jc w:val="left"/>
    </w:pPr>
    <w:rPr>
      <w:rFonts w:ascii="Times New Roman" w:eastAsia="Times New Roman" w:hAnsi="Times New Roman" w:cs="Times New Roman"/>
      <w:bCs w:val="0"/>
      <w:caps/>
      <w:color w:val="auto"/>
      <w:sz w:val="24"/>
      <w:szCs w:val="20"/>
      <w:lang w:val="en-US"/>
    </w:rPr>
  </w:style>
  <w:style w:type="paragraph" w:customStyle="1" w:styleId="Reference">
    <w:name w:val="Reference"/>
    <w:basedOn w:val="Normale"/>
    <w:qFormat/>
    <w:rsid w:val="00AC59F0"/>
    <w:pPr>
      <w:numPr>
        <w:numId w:val="1"/>
      </w:numPr>
      <w:tabs>
        <w:tab w:val="clear" w:pos="284"/>
      </w:tabs>
      <w:spacing w:after="240" w:line="240" w:lineRule="auto"/>
      <w:jc w:val="left"/>
    </w:pPr>
    <w:rPr>
      <w:rFonts w:ascii="AGaramond" w:eastAsia="Times New Roman" w:hAnsi="AGaramond"/>
      <w:sz w:val="18"/>
      <w:szCs w:val="20"/>
    </w:rPr>
  </w:style>
  <w:style w:type="paragraph" w:styleId="Intestazione">
    <w:name w:val="header"/>
    <w:basedOn w:val="Normale"/>
    <w:link w:val="IntestazioneCarattere"/>
    <w:uiPriority w:val="99"/>
    <w:rsid w:val="00E64C41"/>
    <w:pPr>
      <w:tabs>
        <w:tab w:val="clear" w:pos="284"/>
        <w:tab w:val="center" w:pos="4153"/>
        <w:tab w:val="right" w:pos="9072"/>
      </w:tabs>
      <w:spacing w:line="240" w:lineRule="auto"/>
      <w:ind w:firstLine="567"/>
    </w:pPr>
    <w:rPr>
      <w:rFonts w:eastAsia="Times New Roman"/>
      <w:sz w:val="18"/>
      <w:szCs w:val="20"/>
      <w:lang w:val="en-US"/>
    </w:rPr>
  </w:style>
  <w:style w:type="character" w:customStyle="1" w:styleId="IntestazioneCarattere">
    <w:name w:val="Intestazione Carattere"/>
    <w:basedOn w:val="Carpredefinitoparagrafo"/>
    <w:link w:val="Intestazione"/>
    <w:uiPriority w:val="99"/>
    <w:rsid w:val="00E64C41"/>
    <w:rPr>
      <w:rFonts w:ascii="Times New Roman" w:eastAsia="Times New Roman" w:hAnsi="Times New Roman" w:cs="Times New Roman"/>
      <w:sz w:val="18"/>
      <w:szCs w:val="20"/>
    </w:rPr>
  </w:style>
  <w:style w:type="character" w:styleId="Collegamentoipertestuale">
    <w:name w:val="Hyperlink"/>
    <w:basedOn w:val="Carpredefinitoparagrafo"/>
    <w:rsid w:val="00E64C41"/>
    <w:rPr>
      <w:color w:val="0000FF"/>
      <w:u w:val="single"/>
    </w:rPr>
  </w:style>
  <w:style w:type="paragraph" w:styleId="Corpodeltesto3">
    <w:name w:val="Body Text 3"/>
    <w:basedOn w:val="Normale"/>
    <w:link w:val="Corpodeltesto3Carattere"/>
    <w:rsid w:val="00E64C41"/>
    <w:pPr>
      <w:tabs>
        <w:tab w:val="clear" w:pos="284"/>
      </w:tabs>
      <w:spacing w:after="120" w:line="240" w:lineRule="auto"/>
      <w:ind w:firstLine="567"/>
    </w:pPr>
    <w:rPr>
      <w:rFonts w:eastAsia="Times New Roman"/>
      <w:sz w:val="16"/>
      <w:szCs w:val="20"/>
    </w:rPr>
  </w:style>
  <w:style w:type="character" w:customStyle="1" w:styleId="Corpodeltesto3Carattere">
    <w:name w:val="Corpo del testo 3 Carattere"/>
    <w:basedOn w:val="Carpredefinitoparagrafo"/>
    <w:link w:val="Corpodeltesto3"/>
    <w:rsid w:val="00E64C41"/>
    <w:rPr>
      <w:rFonts w:ascii="Times New Roman" w:eastAsia="Times New Roman" w:hAnsi="Times New Roman" w:cs="Times New Roman"/>
      <w:sz w:val="16"/>
      <w:szCs w:val="20"/>
      <w:lang w:val="en-GB"/>
    </w:rPr>
  </w:style>
  <w:style w:type="character" w:styleId="Rimandonotaapidipagina">
    <w:name w:val="footnote reference"/>
    <w:aliases w:val="Footnote Reference X"/>
    <w:basedOn w:val="Carpredefinitoparagrafo"/>
    <w:uiPriority w:val="99"/>
    <w:unhideWhenUsed/>
    <w:rsid w:val="00E04485"/>
    <w:rPr>
      <w:rFonts w:ascii="AGaramond" w:hAnsi="AGaramond"/>
      <w:vertAlign w:val="superscript"/>
    </w:rPr>
  </w:style>
  <w:style w:type="paragraph" w:customStyle="1" w:styleId="TableCaption">
    <w:name w:val="Table_Caption"/>
    <w:basedOn w:val="Normale"/>
    <w:rsid w:val="00E64C41"/>
    <w:pPr>
      <w:keepNext/>
      <w:tabs>
        <w:tab w:val="clear" w:pos="284"/>
      </w:tabs>
      <w:spacing w:before="240" w:after="120" w:line="240" w:lineRule="auto"/>
      <w:jc w:val="center"/>
    </w:pPr>
    <w:rPr>
      <w:rFonts w:eastAsia="Times New Roman"/>
    </w:rPr>
  </w:style>
  <w:style w:type="paragraph" w:customStyle="1" w:styleId="PapertitleX">
    <w:name w:val="Paper title X"/>
    <w:basedOn w:val="Normale"/>
    <w:qFormat/>
    <w:rsid w:val="00AC59F0"/>
    <w:pPr>
      <w:keepNext/>
      <w:keepLines/>
      <w:tabs>
        <w:tab w:val="left" w:pos="-720"/>
      </w:tabs>
      <w:suppressAutoHyphens/>
      <w:spacing w:before="1800" w:line="340" w:lineRule="exact"/>
      <w:jc w:val="left"/>
      <w:outlineLvl w:val="0"/>
    </w:pPr>
    <w:rPr>
      <w:rFonts w:ascii="MetaBold Bold" w:hAnsi="MetaBold Bold"/>
      <w:sz w:val="24"/>
    </w:rPr>
  </w:style>
  <w:style w:type="character" w:customStyle="1" w:styleId="Titolo1Carattere">
    <w:name w:val="Titolo 1 Carattere"/>
    <w:basedOn w:val="Carpredefinitoparagrafo"/>
    <w:link w:val="Titolo1"/>
    <w:uiPriority w:val="9"/>
    <w:rsid w:val="00E64C41"/>
    <w:rPr>
      <w:rFonts w:asciiTheme="majorHAnsi" w:eastAsiaTheme="majorEastAsia" w:hAnsiTheme="majorHAnsi" w:cstheme="majorBidi"/>
      <w:b/>
      <w:bCs/>
      <w:color w:val="345A8A" w:themeColor="accent1" w:themeShade="B5"/>
      <w:sz w:val="32"/>
      <w:szCs w:val="32"/>
      <w:lang w:val="en-GB"/>
    </w:rPr>
  </w:style>
  <w:style w:type="paragraph" w:styleId="Testofumetto">
    <w:name w:val="Balloon Text"/>
    <w:basedOn w:val="Normale"/>
    <w:link w:val="TestofumettoCarattere"/>
    <w:uiPriority w:val="99"/>
    <w:semiHidden/>
    <w:unhideWhenUsed/>
    <w:rsid w:val="00E64C41"/>
    <w:pPr>
      <w:spacing w:line="240" w:lineRule="auto"/>
    </w:pPr>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E64C41"/>
    <w:rPr>
      <w:rFonts w:ascii="Lucida Grande" w:eastAsia="Cambria" w:hAnsi="Lucida Grande" w:cs="Lucida Grande"/>
      <w:sz w:val="18"/>
      <w:szCs w:val="18"/>
      <w:lang w:val="en-GB"/>
    </w:rPr>
  </w:style>
  <w:style w:type="paragraph" w:styleId="Testonotaapidipagina">
    <w:name w:val="footnote text"/>
    <w:aliases w:val="Footnote Text X"/>
    <w:basedOn w:val="Normale"/>
    <w:link w:val="TestonotaapidipaginaCarattere"/>
    <w:uiPriority w:val="99"/>
    <w:semiHidden/>
    <w:unhideWhenUsed/>
    <w:qFormat/>
    <w:rsid w:val="00E04485"/>
    <w:pPr>
      <w:spacing w:line="240" w:lineRule="auto"/>
    </w:pPr>
    <w:rPr>
      <w:rFonts w:ascii="AGaramond" w:hAnsi="AGaramond"/>
      <w:sz w:val="24"/>
    </w:rPr>
  </w:style>
  <w:style w:type="character" w:customStyle="1" w:styleId="TestonotaapidipaginaCarattere">
    <w:name w:val="Testo nota a piè di pagina Carattere"/>
    <w:aliases w:val="Footnote Text X Carattere"/>
    <w:basedOn w:val="Carpredefinitoparagrafo"/>
    <w:link w:val="Testonotaapidipagina"/>
    <w:uiPriority w:val="99"/>
    <w:semiHidden/>
    <w:rsid w:val="00E04485"/>
    <w:rPr>
      <w:rFonts w:ascii="AGaramond" w:eastAsia="Cambria" w:hAnsi="AGaramond" w:cs="Times New Roman"/>
      <w:lang w:val="en-GB"/>
    </w:rPr>
  </w:style>
  <w:style w:type="paragraph" w:customStyle="1" w:styleId="AbstractX">
    <w:name w:val="Abstract X"/>
    <w:basedOn w:val="ParagraphHeadingX"/>
    <w:qFormat/>
    <w:rsid w:val="008968B0"/>
    <w:pPr>
      <w:spacing w:before="960"/>
    </w:pPr>
  </w:style>
  <w:style w:type="character" w:styleId="Collegamentovisitato">
    <w:name w:val="FollowedHyperlink"/>
    <w:basedOn w:val="Carpredefinitoparagrafo"/>
    <w:uiPriority w:val="99"/>
    <w:semiHidden/>
    <w:unhideWhenUsed/>
    <w:rsid w:val="00566548"/>
    <w:rPr>
      <w:color w:val="800080" w:themeColor="followedHyperlink"/>
      <w:u w:val="single"/>
    </w:rPr>
  </w:style>
  <w:style w:type="paragraph" w:styleId="Pidipagina">
    <w:name w:val="footer"/>
    <w:basedOn w:val="Normale"/>
    <w:link w:val="PidipaginaCarattere"/>
    <w:uiPriority w:val="99"/>
    <w:unhideWhenUsed/>
    <w:rsid w:val="002E14F0"/>
    <w:pPr>
      <w:tabs>
        <w:tab w:val="clear" w:pos="284"/>
        <w:tab w:val="center" w:pos="4320"/>
        <w:tab w:val="right" w:pos="8640"/>
      </w:tabs>
      <w:spacing w:line="240" w:lineRule="auto"/>
    </w:pPr>
  </w:style>
  <w:style w:type="character" w:customStyle="1" w:styleId="PidipaginaCarattere">
    <w:name w:val="Piè di pagina Carattere"/>
    <w:basedOn w:val="Carpredefinitoparagrafo"/>
    <w:link w:val="Pidipagina"/>
    <w:uiPriority w:val="99"/>
    <w:rsid w:val="002E14F0"/>
    <w:rPr>
      <w:rFonts w:ascii="Times New Roman" w:eastAsia="Cambria" w:hAnsi="Times New Roman" w:cs="Times New Roman"/>
      <w:sz w:val="20"/>
      <w:lang w:val="en-GB"/>
    </w:rPr>
  </w:style>
  <w:style w:type="character" w:styleId="Numeropagina">
    <w:name w:val="page number"/>
    <w:basedOn w:val="Carpredefinitoparagrafo"/>
    <w:uiPriority w:val="99"/>
    <w:semiHidden/>
    <w:unhideWhenUsed/>
    <w:rsid w:val="009F6F16"/>
  </w:style>
  <w:style w:type="paragraph" w:customStyle="1" w:styleId="BulletpointsX">
    <w:name w:val="Bullet points X"/>
    <w:basedOn w:val="Normale"/>
    <w:qFormat/>
    <w:rsid w:val="00000715"/>
    <w:pPr>
      <w:numPr>
        <w:numId w:val="2"/>
      </w:numPr>
      <w:spacing w:before="120" w:after="120"/>
      <w:ind w:left="714" w:hanging="357"/>
    </w:pPr>
    <w:rPr>
      <w:rFonts w:ascii="AGaramond" w:eastAsia="SimSun" w:hAnsi="AGaramond"/>
      <w:sz w:val="22"/>
    </w:rPr>
  </w:style>
  <w:style w:type="paragraph" w:customStyle="1" w:styleId="XParagraph">
    <w:name w:val="X Paragraph"/>
    <w:basedOn w:val="Normale"/>
    <w:link w:val="XParagraphChar"/>
    <w:autoRedefine/>
    <w:qFormat/>
    <w:rsid w:val="00000715"/>
    <w:pPr>
      <w:tabs>
        <w:tab w:val="clear" w:pos="284"/>
      </w:tabs>
      <w:spacing w:after="120" w:line="264" w:lineRule="auto"/>
      <w:jc w:val="left"/>
    </w:pPr>
    <w:rPr>
      <w:rFonts w:ascii="Calibri" w:eastAsia="ヒラギノ角ゴ Pro W3" w:hAnsi="Calibri"/>
      <w:color w:val="000000"/>
      <w:sz w:val="24"/>
    </w:rPr>
  </w:style>
  <w:style w:type="paragraph" w:customStyle="1" w:styleId="AuthorX">
    <w:name w:val="Author X"/>
    <w:basedOn w:val="Normale"/>
    <w:qFormat/>
    <w:rsid w:val="00AC59F0"/>
    <w:pPr>
      <w:spacing w:line="240" w:lineRule="auto"/>
    </w:pPr>
    <w:rPr>
      <w:rFonts w:ascii="AGaramond" w:eastAsia="Times New Roman" w:hAnsi="AGaramond"/>
      <w:i/>
      <w:sz w:val="22"/>
      <w:szCs w:val="22"/>
    </w:rPr>
  </w:style>
  <w:style w:type="paragraph" w:customStyle="1" w:styleId="AffiliationX">
    <w:name w:val="Affiliation X"/>
    <w:basedOn w:val="Normale"/>
    <w:qFormat/>
    <w:rsid w:val="00AC59F0"/>
    <w:pPr>
      <w:spacing w:line="240" w:lineRule="auto"/>
    </w:pPr>
    <w:rPr>
      <w:rFonts w:ascii="AGaramond" w:eastAsia="Times New Roman" w:hAnsi="AGaramond"/>
      <w:sz w:val="22"/>
      <w:szCs w:val="22"/>
    </w:rPr>
  </w:style>
  <w:style w:type="paragraph" w:customStyle="1" w:styleId="ParagraphX">
    <w:name w:val="Paragraph X"/>
    <w:basedOn w:val="Normale"/>
    <w:qFormat/>
    <w:rsid w:val="00AC59F0"/>
    <w:pPr>
      <w:spacing w:line="240" w:lineRule="auto"/>
    </w:pPr>
    <w:rPr>
      <w:rFonts w:ascii="AGaramond" w:eastAsia="Times New Roman" w:hAnsi="AGaramond"/>
      <w:sz w:val="22"/>
      <w:szCs w:val="22"/>
    </w:rPr>
  </w:style>
  <w:style w:type="character" w:customStyle="1" w:styleId="XParagraphChar">
    <w:name w:val="X Paragraph Char"/>
    <w:link w:val="XParagraph"/>
    <w:rsid w:val="00000715"/>
    <w:rPr>
      <w:rFonts w:ascii="Calibri" w:eastAsia="ヒラギノ角ゴ Pro W3" w:hAnsi="Calibri" w:cs="Times New Roman"/>
      <w:color w:val="000000"/>
      <w:lang w:val="en-GB"/>
    </w:rPr>
  </w:style>
  <w:style w:type="paragraph" w:customStyle="1" w:styleId="Style1">
    <w:name w:val="Style1"/>
    <w:basedOn w:val="Normale"/>
    <w:qFormat/>
    <w:rsid w:val="00AC59F0"/>
    <w:pPr>
      <w:keepNext/>
      <w:keepLines/>
      <w:tabs>
        <w:tab w:val="left" w:pos="-720"/>
      </w:tabs>
      <w:suppressAutoHyphens/>
      <w:spacing w:before="240" w:after="120" w:line="340" w:lineRule="exact"/>
      <w:jc w:val="left"/>
      <w:outlineLvl w:val="0"/>
    </w:pPr>
    <w:rPr>
      <w:rFonts w:ascii="MetaBold Bold" w:hAnsi="MetaBold Bold"/>
      <w:sz w:val="21"/>
      <w:szCs w:val="21"/>
    </w:rPr>
  </w:style>
  <w:style w:type="paragraph" w:customStyle="1" w:styleId="FootnoteX">
    <w:name w:val="Footnote X"/>
    <w:basedOn w:val="Normale"/>
    <w:qFormat/>
    <w:rsid w:val="00AC59F0"/>
    <w:pPr>
      <w:spacing w:line="240" w:lineRule="auto"/>
    </w:pPr>
    <w:rPr>
      <w:rFonts w:ascii="AGaramond" w:hAnsi="AGaramond"/>
      <w:sz w:val="16"/>
      <w:szCs w:val="16"/>
      <w:vertAlign w:val="superscript"/>
      <w:lang w:val="it-IT"/>
    </w:rPr>
  </w:style>
  <w:style w:type="paragraph" w:customStyle="1" w:styleId="ParagraphHeadingX">
    <w:name w:val="Paragraph Heading X"/>
    <w:basedOn w:val="Normale"/>
    <w:qFormat/>
    <w:rsid w:val="00E04485"/>
    <w:pPr>
      <w:keepNext/>
      <w:keepLines/>
      <w:tabs>
        <w:tab w:val="left" w:pos="-720"/>
      </w:tabs>
      <w:suppressAutoHyphens/>
      <w:spacing w:before="360" w:after="120" w:line="340" w:lineRule="exact"/>
      <w:jc w:val="left"/>
      <w:outlineLvl w:val="0"/>
    </w:pPr>
    <w:rPr>
      <w:rFonts w:ascii="MetaBold Bold" w:hAnsi="MetaBold Bold"/>
      <w:sz w:val="21"/>
      <w:szCs w:val="21"/>
    </w:rPr>
  </w:style>
  <w:style w:type="paragraph" w:customStyle="1" w:styleId="Heading2X">
    <w:name w:val="Heading 2 X"/>
    <w:basedOn w:val="Normale"/>
    <w:qFormat/>
    <w:rsid w:val="00E04485"/>
    <w:pPr>
      <w:spacing w:before="360" w:after="120"/>
    </w:pPr>
    <w:rPr>
      <w:rFonts w:ascii="MetaBold Bold" w:hAnsi="MetaBold Bold"/>
      <w:sz w:val="18"/>
      <w:szCs w:val="18"/>
    </w:rPr>
  </w:style>
  <w:style w:type="paragraph" w:customStyle="1" w:styleId="FigurecaptionX">
    <w:name w:val="Figure caption X"/>
    <w:basedOn w:val="Normale"/>
    <w:qFormat/>
    <w:rsid w:val="00AC59F0"/>
    <w:pPr>
      <w:tabs>
        <w:tab w:val="clear" w:pos="284"/>
      </w:tabs>
      <w:spacing w:line="240" w:lineRule="auto"/>
      <w:jc w:val="center"/>
    </w:pPr>
    <w:rPr>
      <w:rFonts w:ascii="AGaramond" w:eastAsia="Times New Roman" w:hAnsi="AGaramond" w:cs="Arial"/>
      <w:bCs/>
      <w:iCs/>
      <w:sz w:val="15"/>
      <w:szCs w:val="15"/>
    </w:rPr>
  </w:style>
  <w:style w:type="paragraph" w:customStyle="1" w:styleId="XBulletlist">
    <w:name w:val="X Bullet list"/>
    <w:autoRedefine/>
    <w:qFormat/>
    <w:rsid w:val="00000715"/>
    <w:pPr>
      <w:numPr>
        <w:numId w:val="13"/>
      </w:numPr>
      <w:spacing w:before="60" w:after="120" w:line="264" w:lineRule="auto"/>
      <w:ind w:left="851" w:right="481" w:hanging="284"/>
      <w:contextualSpacing/>
    </w:pPr>
    <w:rPr>
      <w:rFonts w:ascii="Calibri" w:eastAsia="ヒラギノ角ゴ Pro W3" w:hAnsi="Calibri" w:cs="Times New Roman"/>
      <w:color w:val="000000"/>
      <w:szCs w:val="20"/>
      <w:lang w:val="en-GB" w:eastAsia="en-GB"/>
    </w:rPr>
  </w:style>
  <w:style w:type="paragraph" w:styleId="NormaleWeb">
    <w:name w:val="Normal (Web)"/>
    <w:basedOn w:val="Normale"/>
    <w:uiPriority w:val="99"/>
    <w:semiHidden/>
    <w:unhideWhenUsed/>
    <w:rsid w:val="008A08D7"/>
    <w:pPr>
      <w:tabs>
        <w:tab w:val="clear" w:pos="284"/>
      </w:tabs>
      <w:spacing w:before="100" w:beforeAutospacing="1" w:after="100" w:afterAutospacing="1" w:line="240" w:lineRule="auto"/>
      <w:jc w:val="left"/>
    </w:pPr>
    <w:rPr>
      <w:rFonts w:eastAsia="Times New Roman"/>
      <w:sz w:val="24"/>
      <w:lang w:val="it-IT" w:eastAsia="it-IT"/>
    </w:rPr>
  </w:style>
  <w:style w:type="table" w:styleId="Grigliatabella">
    <w:name w:val="Table Grid"/>
    <w:basedOn w:val="Tabellanormale"/>
    <w:uiPriority w:val="39"/>
    <w:rsid w:val="0085156D"/>
    <w:rPr>
      <w:rFonts w:eastAsiaTheme="minorHAnsi"/>
      <w:sz w:val="22"/>
      <w:szCs w:val="22"/>
      <w:lang w:val="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uiPriority w:val="99"/>
    <w:semiHidden/>
    <w:unhideWhenUsed/>
    <w:rsid w:val="0052498F"/>
    <w:rPr>
      <w:sz w:val="16"/>
      <w:szCs w:val="16"/>
    </w:rPr>
  </w:style>
  <w:style w:type="paragraph" w:styleId="Testocommento">
    <w:name w:val="annotation text"/>
    <w:basedOn w:val="Normale"/>
    <w:link w:val="TestocommentoCarattere"/>
    <w:uiPriority w:val="99"/>
    <w:unhideWhenUsed/>
    <w:rsid w:val="0052498F"/>
    <w:pPr>
      <w:spacing w:line="240" w:lineRule="auto"/>
    </w:pPr>
    <w:rPr>
      <w:szCs w:val="20"/>
    </w:rPr>
  </w:style>
  <w:style w:type="character" w:customStyle="1" w:styleId="TestocommentoCarattere">
    <w:name w:val="Testo commento Carattere"/>
    <w:basedOn w:val="Carpredefinitoparagrafo"/>
    <w:link w:val="Testocommento"/>
    <w:uiPriority w:val="99"/>
    <w:rsid w:val="0052498F"/>
    <w:rPr>
      <w:rFonts w:ascii="Times New Roman" w:eastAsia="Cambria" w:hAnsi="Times New Roman" w:cs="Times New Roman"/>
      <w:sz w:val="20"/>
      <w:szCs w:val="20"/>
      <w:lang w:val="en-GB"/>
    </w:rPr>
  </w:style>
  <w:style w:type="paragraph" w:styleId="Soggettocommento">
    <w:name w:val="annotation subject"/>
    <w:basedOn w:val="Testocommento"/>
    <w:next w:val="Testocommento"/>
    <w:link w:val="SoggettocommentoCarattere"/>
    <w:uiPriority w:val="99"/>
    <w:semiHidden/>
    <w:unhideWhenUsed/>
    <w:rsid w:val="0052498F"/>
    <w:rPr>
      <w:b/>
      <w:bCs/>
    </w:rPr>
  </w:style>
  <w:style w:type="character" w:customStyle="1" w:styleId="SoggettocommentoCarattere">
    <w:name w:val="Soggetto commento Carattere"/>
    <w:basedOn w:val="TestocommentoCarattere"/>
    <w:link w:val="Soggettocommento"/>
    <w:uiPriority w:val="99"/>
    <w:semiHidden/>
    <w:rsid w:val="0052498F"/>
    <w:rPr>
      <w:rFonts w:ascii="Times New Roman" w:eastAsia="Cambria" w:hAnsi="Times New Roman" w:cs="Times New Roman"/>
      <w:b/>
      <w:bCs/>
      <w:sz w:val="20"/>
      <w:szCs w:val="20"/>
      <w:lang w:val="en-GB"/>
    </w:rPr>
  </w:style>
  <w:style w:type="paragraph" w:styleId="Revisione">
    <w:name w:val="Revision"/>
    <w:hidden/>
    <w:uiPriority w:val="99"/>
    <w:semiHidden/>
    <w:rsid w:val="00DF65B7"/>
    <w:rPr>
      <w:rFonts w:ascii="Times New Roman" w:eastAsia="Cambria" w:hAnsi="Times New Roman" w:cs="Times New Roman"/>
      <w:sz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80763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arbara.delcurto@polimi.it" TargetMode="External"/><Relationship Id="rId5" Type="http://schemas.openxmlformats.org/officeDocument/2006/relationships/webSettings" Target="webSettings.xml"/><Relationship Id="rId15" Type="http://schemas.openxmlformats.org/officeDocument/2006/relationships/chart" Target="charts/chart2.xml"/><Relationship Id="rId10" Type="http://schemas.openxmlformats.org/officeDocument/2006/relationships/hyperlink" Target="https://creativecommons.org/licenses/by-nc-sa/4.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1.xml"/></Relationships>
</file>

<file path=word/_rels/footnotes.xml.rels><?xml version="1.0" encoding="UTF-8" standalone="yes"?>
<Relationships xmlns="http://schemas.openxmlformats.org/package/2006/relationships"><Relationship Id="rId2" Type="http://schemas.openxmlformats.org/officeDocument/2006/relationships/hyperlink" Target="http://www.conai.org/" TargetMode="External"/><Relationship Id="rId1" Type="http://schemas.openxmlformats.org/officeDocument/2006/relationships/hyperlink" Target="https://www.european-bioplastics.org/"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polimi365-my.sharepoint.com/personal/10404531_polimi_it/Documents/PhD/test%20sensoriale/Utima%20elaborazione%20dati/Session%20unite.xls"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polimi365-my.sharepoint.com/personal/10404531_polimi_it/Documents/PhD/test%20sensoriale/Utima%20elaborazione%20dati/Session%20unite.xls"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somme!$G$2</c:f>
              <c:strCache>
                <c:ptCount val="1"/>
                <c:pt idx="0">
                  <c:v>Rightly conferred </c:v>
                </c:pt>
              </c:strCache>
            </c:strRef>
          </c:tx>
          <c:spPr>
            <a:solidFill>
              <a:schemeClr val="accent5">
                <a:lumMod val="75000"/>
              </a:schemeClr>
            </a:solidFill>
            <a:ln>
              <a:noFill/>
            </a:ln>
            <a:effectLst/>
          </c:spPr>
          <c:invertIfNegative val="0"/>
          <c:dPt>
            <c:idx val="0"/>
            <c:invertIfNegative val="0"/>
            <c:bubble3D val="0"/>
            <c:extLst>
              <c:ext xmlns:c16="http://schemas.microsoft.com/office/drawing/2014/chart" uri="{C3380CC4-5D6E-409C-BE32-E72D297353CC}">
                <c16:uniqueId val="{00000001-8FDA-4E2B-BA4D-64F4AE986C43}"/>
              </c:ext>
            </c:extLst>
          </c:dPt>
          <c:dPt>
            <c:idx val="1"/>
            <c:invertIfNegative val="0"/>
            <c:bubble3D val="0"/>
            <c:extLst>
              <c:ext xmlns:c16="http://schemas.microsoft.com/office/drawing/2014/chart" uri="{C3380CC4-5D6E-409C-BE32-E72D297353CC}">
                <c16:uniqueId val="{00000003-8FDA-4E2B-BA4D-64F4AE986C43}"/>
              </c:ext>
            </c:extLst>
          </c:dPt>
          <c:dPt>
            <c:idx val="2"/>
            <c:invertIfNegative val="0"/>
            <c:bubble3D val="0"/>
            <c:extLst>
              <c:ext xmlns:c16="http://schemas.microsoft.com/office/drawing/2014/chart" uri="{C3380CC4-5D6E-409C-BE32-E72D297353CC}">
                <c16:uniqueId val="{00000005-8FDA-4E2B-BA4D-64F4AE986C43}"/>
              </c:ext>
            </c:extLst>
          </c:dPt>
          <c:dLbls>
            <c:dLbl>
              <c:idx val="0"/>
              <c:tx>
                <c:rich>
                  <a:bodyPr/>
                  <a:lstStyle/>
                  <a:p>
                    <a:r>
                      <a:rPr lang="en-US"/>
                      <a:t>24%</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8FDA-4E2B-BA4D-64F4AE986C43}"/>
                </c:ext>
              </c:extLst>
            </c:dLbl>
            <c:dLbl>
              <c:idx val="1"/>
              <c:tx>
                <c:rich>
                  <a:bodyPr/>
                  <a:lstStyle/>
                  <a:p>
                    <a:r>
                      <a:rPr lang="en-US"/>
                      <a:t>96%</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8FDA-4E2B-BA4D-64F4AE986C43}"/>
                </c:ext>
              </c:extLst>
            </c:dLbl>
            <c:dLbl>
              <c:idx val="2"/>
              <c:tx>
                <c:rich>
                  <a:bodyPr/>
                  <a:lstStyle/>
                  <a:p>
                    <a:r>
                      <a:rPr lang="en-US"/>
                      <a:t>74%</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8FDA-4E2B-BA4D-64F4AE986C43}"/>
                </c:ext>
              </c:extLst>
            </c:dLbl>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Garamond" panose="02020500000000000000" pitchFamily="18" charset="0"/>
                    <a:ea typeface="+mn-ea"/>
                    <a:cs typeface="+mn-cs"/>
                  </a:defRPr>
                </a:pPr>
                <a:endParaRPr lang="it-I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somme!$H$1:$J$1</c:f>
              <c:strCache>
                <c:ptCount val="3"/>
                <c:pt idx="0">
                  <c:v>Compostable SUPs</c:v>
                </c:pt>
                <c:pt idx="1">
                  <c:v>Plastic SUPs</c:v>
                </c:pt>
                <c:pt idx="2">
                  <c:v>Paper SUPs</c:v>
                </c:pt>
              </c:strCache>
            </c:strRef>
          </c:cat>
          <c:val>
            <c:numRef>
              <c:f>somme!$H$2:$J$2</c:f>
              <c:numCache>
                <c:formatCode>General</c:formatCode>
                <c:ptCount val="3"/>
                <c:pt idx="0">
                  <c:v>39</c:v>
                </c:pt>
                <c:pt idx="1">
                  <c:v>155</c:v>
                </c:pt>
                <c:pt idx="2">
                  <c:v>40</c:v>
                </c:pt>
              </c:numCache>
            </c:numRef>
          </c:val>
          <c:extLst>
            <c:ext xmlns:c16="http://schemas.microsoft.com/office/drawing/2014/chart" uri="{C3380CC4-5D6E-409C-BE32-E72D297353CC}">
              <c16:uniqueId val="{00000006-8FDA-4E2B-BA4D-64F4AE986C43}"/>
            </c:ext>
          </c:extLst>
        </c:ser>
        <c:ser>
          <c:idx val="1"/>
          <c:order val="1"/>
          <c:tx>
            <c:strRef>
              <c:f>somme!$G$3</c:f>
              <c:strCache>
                <c:ptCount val="1"/>
                <c:pt idx="0">
                  <c:v>Wrongly conferred </c:v>
                </c:pt>
              </c:strCache>
            </c:strRef>
          </c:tx>
          <c:spPr>
            <a:solidFill>
              <a:schemeClr val="accent2"/>
            </a:solidFill>
            <a:ln>
              <a:noFill/>
            </a:ln>
            <a:effectLst/>
          </c:spPr>
          <c:invertIfNegative val="0"/>
          <c:dLbls>
            <c:delete val="1"/>
          </c:dLbls>
          <c:cat>
            <c:strRef>
              <c:f>somme!$H$1:$J$1</c:f>
              <c:strCache>
                <c:ptCount val="3"/>
                <c:pt idx="0">
                  <c:v>Compostable SUPs</c:v>
                </c:pt>
                <c:pt idx="1">
                  <c:v>Plastic SUPs</c:v>
                </c:pt>
                <c:pt idx="2">
                  <c:v>Paper SUPs</c:v>
                </c:pt>
              </c:strCache>
            </c:strRef>
          </c:cat>
          <c:val>
            <c:numRef>
              <c:f>somme!$H$3:$J$3</c:f>
              <c:numCache>
                <c:formatCode>General</c:formatCode>
                <c:ptCount val="3"/>
                <c:pt idx="0">
                  <c:v>123</c:v>
                </c:pt>
                <c:pt idx="1">
                  <c:v>7</c:v>
                </c:pt>
                <c:pt idx="2">
                  <c:v>14</c:v>
                </c:pt>
              </c:numCache>
            </c:numRef>
          </c:val>
          <c:extLst>
            <c:ext xmlns:c16="http://schemas.microsoft.com/office/drawing/2014/chart" uri="{C3380CC4-5D6E-409C-BE32-E72D297353CC}">
              <c16:uniqueId val="{00000007-8FDA-4E2B-BA4D-64F4AE986C43}"/>
            </c:ext>
          </c:extLst>
        </c:ser>
        <c:dLbls>
          <c:dLblPos val="ctr"/>
          <c:showLegendKey val="0"/>
          <c:showVal val="1"/>
          <c:showCatName val="0"/>
          <c:showSerName val="0"/>
          <c:showPercent val="0"/>
          <c:showBubbleSize val="0"/>
        </c:dLbls>
        <c:gapWidth val="150"/>
        <c:overlap val="100"/>
        <c:axId val="220041312"/>
        <c:axId val="1"/>
      </c:barChart>
      <c:catAx>
        <c:axId val="220041312"/>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AGaramond" panose="02020500000000000000" pitchFamily="18" charset="0"/>
                <a:ea typeface="+mn-ea"/>
                <a:cs typeface="+mn-cs"/>
              </a:defRPr>
            </a:pPr>
            <a:endParaRPr lang="it-IT"/>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dk1">
                    <a:lumMod val="65000"/>
                    <a:lumOff val="35000"/>
                  </a:schemeClr>
                </a:solidFill>
                <a:latin typeface="AGaramond" panose="02020500000000000000" pitchFamily="18" charset="0"/>
                <a:ea typeface="+mn-ea"/>
                <a:cs typeface="+mn-cs"/>
              </a:defRPr>
            </a:pPr>
            <a:endParaRPr lang="it-IT"/>
          </a:p>
        </c:txPr>
        <c:crossAx val="220041312"/>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AGaramond" panose="02020500000000000000" pitchFamily="18" charset="0"/>
              <a:ea typeface="+mn-ea"/>
              <a:cs typeface="+mn-cs"/>
            </a:defRPr>
          </a:pPr>
          <a:endParaRPr lang="it-IT"/>
        </a:p>
      </c:txPr>
    </c:legend>
    <c:plotVisOnly val="1"/>
    <c:dispBlanksAs val="gap"/>
    <c:showDLblsOverMax val="0"/>
  </c:chart>
  <c:spPr>
    <a:solidFill>
      <a:schemeClr val="lt1"/>
    </a:solidFill>
    <a:ln w="9525" cap="flat" cmpd="sng" algn="ctr">
      <a:noFill/>
      <a:round/>
    </a:ln>
    <a:effectLst/>
  </c:spPr>
  <c:txPr>
    <a:bodyPr/>
    <a:lstStyle/>
    <a:p>
      <a:pPr>
        <a:defRPr sz="1000">
          <a:latin typeface="AGaramond" panose="02020500000000000000" pitchFamily="18" charset="0"/>
        </a:defRPr>
      </a:pPr>
      <a:endParaRPr lang="it-I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1" i="0" u="none" strike="noStrike" kern="1200" baseline="0">
                <a:solidFill>
                  <a:schemeClr val="dk1">
                    <a:lumMod val="65000"/>
                    <a:lumOff val="35000"/>
                  </a:schemeClr>
                </a:solidFill>
                <a:latin typeface="AGaramond" panose="02020500000000000000" pitchFamily="18" charset="0"/>
                <a:ea typeface="+mn-ea"/>
                <a:cs typeface="+mn-cs"/>
              </a:defRPr>
            </a:pPr>
            <a:r>
              <a:rPr lang="it-IT" sz="900">
                <a:latin typeface="AGaramond" panose="02020500000000000000" pitchFamily="18" charset="0"/>
              </a:rPr>
              <a:t>Compostable SUPs</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dk1">
                  <a:lumMod val="65000"/>
                  <a:lumOff val="35000"/>
                </a:schemeClr>
              </a:solidFill>
              <a:latin typeface="AGaramond" panose="02020500000000000000" pitchFamily="18" charset="0"/>
              <a:ea typeface="+mn-ea"/>
              <a:cs typeface="+mn-cs"/>
            </a:defRPr>
          </a:pPr>
          <a:endParaRPr lang="it-IT"/>
        </a:p>
      </c:txPr>
    </c:title>
    <c:autoTitleDeleted val="0"/>
    <c:plotArea>
      <c:layout>
        <c:manualLayout>
          <c:layoutTarget val="inner"/>
          <c:xMode val="edge"/>
          <c:yMode val="edge"/>
          <c:x val="0.28080140867245651"/>
          <c:y val="0.19259083297817584"/>
          <c:w val="0.45659699915124941"/>
          <c:h val="0.58759347628130321"/>
        </c:manualLayout>
      </c:layout>
      <c:pieChart>
        <c:varyColors val="1"/>
        <c:ser>
          <c:idx val="0"/>
          <c:order val="0"/>
          <c:dPt>
            <c:idx val="0"/>
            <c:bubble3D val="0"/>
            <c:spPr>
              <a:solidFill>
                <a:schemeClr val="bg2">
                  <a:lumMod val="5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4E51-4EEE-B1DC-AFCE5F44D45E}"/>
              </c:ext>
            </c:extLst>
          </c:dPt>
          <c:dPt>
            <c:idx val="1"/>
            <c:bubble3D val="0"/>
            <c:spPr>
              <a:solidFill>
                <a:srgbClr val="D6A300"/>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4E51-4EEE-B1DC-AFCE5F44D45E}"/>
              </c:ext>
            </c:extLst>
          </c:dPt>
          <c:dPt>
            <c:idx val="2"/>
            <c:bubble3D val="0"/>
            <c:spPr>
              <a:solidFill>
                <a:schemeClr val="accent5">
                  <a:lumMod val="75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4E51-4EEE-B1DC-AFCE5F44D45E}"/>
              </c:ext>
            </c:extLst>
          </c:dPt>
          <c:dLbls>
            <c:dLbl>
              <c:idx val="0"/>
              <c:layout>
                <c:manualLayout>
                  <c:x val="-0.14631064416292464"/>
                  <c:y val="0.18259425300490828"/>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4E51-4EEE-B1DC-AFCE5F44D45E}"/>
                </c:ext>
              </c:extLst>
            </c:dLbl>
            <c:dLbl>
              <c:idx val="2"/>
              <c:layout>
                <c:manualLayout>
                  <c:x val="0.15762254044537219"/>
                  <c:y val="0.1754074530761279"/>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4E51-4EEE-B1DC-AFCE5F44D45E}"/>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it-IT"/>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'Analisi Azioni'!$A$91:$A$93</c:f>
              <c:strCache>
                <c:ptCount val="3"/>
                <c:pt idx="0">
                  <c:v>Organic bin</c:v>
                </c:pt>
                <c:pt idx="1">
                  <c:v>Plastic bin</c:v>
                </c:pt>
                <c:pt idx="2">
                  <c:v>Paper bin</c:v>
                </c:pt>
              </c:strCache>
            </c:strRef>
          </c:cat>
          <c:val>
            <c:numRef>
              <c:f>'Analisi Azioni'!$B$91:$B$93</c:f>
              <c:numCache>
                <c:formatCode>General</c:formatCode>
                <c:ptCount val="3"/>
                <c:pt idx="0">
                  <c:v>39</c:v>
                </c:pt>
                <c:pt idx="1">
                  <c:v>83</c:v>
                </c:pt>
                <c:pt idx="2">
                  <c:v>40</c:v>
                </c:pt>
              </c:numCache>
            </c:numRef>
          </c:val>
          <c:extLst>
            <c:ext xmlns:c16="http://schemas.microsoft.com/office/drawing/2014/chart" uri="{C3380CC4-5D6E-409C-BE32-E72D297353CC}">
              <c16:uniqueId val="{00000006-4E51-4EEE-B1DC-AFCE5F44D45E}"/>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AGaramond" panose="02020500000000000000" pitchFamily="18" charset="0"/>
              <a:ea typeface="+mn-ea"/>
              <a:cs typeface="+mn-cs"/>
            </a:defRPr>
          </a:pPr>
          <a:endParaRPr lang="it-IT"/>
        </a:p>
      </c:txPr>
    </c:legend>
    <c:plotVisOnly val="1"/>
    <c:dispBlanksAs val="gap"/>
    <c:showDLblsOverMax val="0"/>
  </c:chart>
  <c:spPr>
    <a:pattFill prst="dkDnDiag">
      <a:fgClr>
        <a:schemeClr val="lt1">
          <a:lumMod val="95000"/>
        </a:schemeClr>
      </a:fgClr>
      <a:bgClr>
        <a:schemeClr val="lt1"/>
      </a:bgClr>
    </a:pattFill>
    <a:ln w="9525" cap="flat" cmpd="sng" algn="ctr">
      <a:noFill/>
      <a:round/>
    </a:ln>
    <a:effectLst/>
  </c:spPr>
  <c:txPr>
    <a:bodyPr/>
    <a:lstStyle/>
    <a:p>
      <a:pPr>
        <a:defRPr/>
      </a:pPr>
      <a:endParaRPr lang="it-I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03">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2.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D1D4A8-F609-4C47-A518-71DC5ECC70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15072</Words>
  <Characters>85915</Characters>
  <Application>Microsoft Office Word</Application>
  <DocSecurity>4</DocSecurity>
  <Lines>715</Lines>
  <Paragraphs>201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Emanuela Delfino</dc:creator>
  <cp:keywords/>
  <dc:description/>
  <cp:lastModifiedBy>Barbara Del Curto</cp:lastModifiedBy>
  <cp:revision>2</cp:revision>
  <cp:lastPrinted>2019-02-27T16:16:00Z</cp:lastPrinted>
  <dcterms:created xsi:type="dcterms:W3CDTF">2021-03-18T08:50:00Z</dcterms:created>
  <dcterms:modified xsi:type="dcterms:W3CDTF">2021-03-18T08:50:00Z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683f40d0-aeb7-307f-afb6-73069928839d</vt:lpwstr>
  </property>
  <property fmtid="{D5CDD505-2E9C-101B-9397-08002B2CF9AE}" pid="24" name="Mendeley Citation Style_1">
    <vt:lpwstr>http://www.zotero.org/styles/apa</vt:lpwstr>
  </property>
</Properties>
</file>