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05E5" w:rsidRPr="002D1ED7" w:rsidRDefault="001805E5" w:rsidP="00956553">
      <w:pPr>
        <w:spacing w:before="113" w:after="113" w:line="360" w:lineRule="auto"/>
        <w:rPr>
          <w:rFonts w:ascii="Arial" w:eastAsia="Times New Roman" w:hAnsi="Arial" w:cs="Calibri"/>
          <w:b/>
          <w:i/>
          <w:lang w:val="en-GB" w:eastAsia="ar-SA" w:bidi="ar-SA"/>
        </w:rPr>
      </w:pPr>
      <w:r w:rsidRPr="002D1ED7">
        <w:rPr>
          <w:rFonts w:ascii="Arial" w:hAnsi="Arial"/>
          <w:b/>
          <w:lang w:val="en-US"/>
        </w:rPr>
        <w:t>Ultrafine particles (UFPs) from domestic wood stoves: genotoxicity in human lung carcinoma A549 cells</w:t>
      </w:r>
    </w:p>
    <w:p w:rsidR="001805E5" w:rsidRPr="002D1ED7" w:rsidRDefault="001805E5" w:rsidP="00A5783A">
      <w:pPr>
        <w:snapToGrid w:val="0"/>
        <w:spacing w:before="113" w:after="113" w:line="276" w:lineRule="auto"/>
        <w:ind w:right="-285"/>
        <w:jc w:val="both"/>
        <w:rPr>
          <w:rFonts w:ascii="Arial" w:hAnsi="Arial"/>
        </w:rPr>
      </w:pPr>
      <w:r w:rsidRPr="002D1ED7">
        <w:rPr>
          <w:rFonts w:ascii="Arial" w:hAnsi="Arial"/>
        </w:rPr>
        <w:t>Marabini,</w:t>
      </w:r>
      <w:r w:rsidRPr="002D1ED7">
        <w:t xml:space="preserve"> </w:t>
      </w:r>
      <w:r w:rsidRPr="002D1ED7">
        <w:rPr>
          <w:rFonts w:ascii="Arial" w:hAnsi="Arial"/>
        </w:rPr>
        <w:t>Laura</w:t>
      </w:r>
      <w:r w:rsidRPr="002D1ED7">
        <w:rPr>
          <w:rFonts w:ascii="Arial" w:hAnsi="Arial"/>
          <w:vertAlign w:val="superscript"/>
        </w:rPr>
        <w:t>1</w:t>
      </w:r>
      <w:r w:rsidRPr="002D1ED7">
        <w:rPr>
          <w:rFonts w:ascii="Arial" w:hAnsi="Arial"/>
        </w:rPr>
        <w:t>; Ozgen, Senem</w:t>
      </w:r>
      <w:r w:rsidRPr="002D1ED7">
        <w:rPr>
          <w:rFonts w:ascii="Arial" w:hAnsi="Arial"/>
          <w:vertAlign w:val="superscript"/>
        </w:rPr>
        <w:t>3,7</w:t>
      </w:r>
      <w:r w:rsidRPr="002D1ED7">
        <w:rPr>
          <w:rFonts w:ascii="Arial" w:hAnsi="Arial"/>
        </w:rPr>
        <w:t>; Turacchi,</w:t>
      </w:r>
      <w:r w:rsidRPr="002D1ED7">
        <w:t xml:space="preserve"> </w:t>
      </w:r>
      <w:r w:rsidRPr="002D1ED7">
        <w:rPr>
          <w:rFonts w:ascii="Arial" w:hAnsi="Arial"/>
        </w:rPr>
        <w:t>Silvia</w:t>
      </w:r>
      <w:r w:rsidRPr="002D1ED7">
        <w:rPr>
          <w:rFonts w:ascii="Arial" w:hAnsi="Arial"/>
          <w:vertAlign w:val="superscript"/>
        </w:rPr>
        <w:t>1</w:t>
      </w:r>
      <w:r w:rsidRPr="002D1ED7">
        <w:rPr>
          <w:rFonts w:ascii="Arial" w:hAnsi="Arial"/>
        </w:rPr>
        <w:t>;  Aminti, Stefania</w:t>
      </w:r>
      <w:r w:rsidRPr="002D1ED7">
        <w:rPr>
          <w:rFonts w:ascii="Arial" w:hAnsi="Arial"/>
          <w:vertAlign w:val="superscript"/>
        </w:rPr>
        <w:t>1</w:t>
      </w:r>
      <w:r w:rsidRPr="002D1ED7">
        <w:rPr>
          <w:rFonts w:ascii="Arial" w:hAnsi="Arial"/>
        </w:rPr>
        <w:t>;  Arnaboldi, Francesca</w:t>
      </w:r>
      <w:r w:rsidRPr="002D1ED7">
        <w:rPr>
          <w:rFonts w:ascii="Arial" w:hAnsi="Arial"/>
          <w:vertAlign w:val="superscript"/>
        </w:rPr>
        <w:t>2</w:t>
      </w:r>
      <w:r w:rsidRPr="002D1ED7">
        <w:rPr>
          <w:rFonts w:ascii="Arial" w:hAnsi="Arial"/>
        </w:rPr>
        <w:t>; Lonati, Giovanni</w:t>
      </w:r>
      <w:r w:rsidRPr="002D1ED7">
        <w:rPr>
          <w:rFonts w:ascii="Arial" w:hAnsi="Arial"/>
          <w:vertAlign w:val="superscript"/>
        </w:rPr>
        <w:t>3</w:t>
      </w:r>
      <w:r w:rsidRPr="002D1ED7">
        <w:rPr>
          <w:rFonts w:ascii="Arial" w:hAnsi="Arial"/>
        </w:rPr>
        <w:t>; Fermo, Paola</w:t>
      </w:r>
      <w:r w:rsidRPr="002D1ED7">
        <w:rPr>
          <w:rFonts w:ascii="Arial" w:hAnsi="Arial"/>
          <w:vertAlign w:val="superscript"/>
        </w:rPr>
        <w:t>4</w:t>
      </w:r>
      <w:r w:rsidRPr="002D1ED7">
        <w:rPr>
          <w:rFonts w:ascii="Arial" w:hAnsi="Arial"/>
        </w:rPr>
        <w:t>; Corbella, Lorenza</w:t>
      </w:r>
      <w:r w:rsidRPr="002D1ED7">
        <w:rPr>
          <w:rFonts w:ascii="Arial" w:hAnsi="Arial"/>
          <w:vertAlign w:val="superscript"/>
        </w:rPr>
        <w:t>4</w:t>
      </w:r>
      <w:r w:rsidRPr="002D1ED7">
        <w:rPr>
          <w:rFonts w:ascii="Arial" w:hAnsi="Arial"/>
        </w:rPr>
        <w:t>; Valli, Gianluigi</w:t>
      </w:r>
      <w:r w:rsidRPr="002D1ED7">
        <w:rPr>
          <w:rFonts w:ascii="Arial" w:hAnsi="Arial"/>
          <w:vertAlign w:val="superscript"/>
        </w:rPr>
        <w:t>5</w:t>
      </w:r>
      <w:r w:rsidRPr="002D1ED7">
        <w:rPr>
          <w:rFonts w:ascii="Arial" w:hAnsi="Arial"/>
        </w:rPr>
        <w:t>; Bernardoni, Vera</w:t>
      </w:r>
      <w:r w:rsidRPr="002D1ED7">
        <w:rPr>
          <w:rFonts w:ascii="Arial" w:hAnsi="Arial"/>
          <w:vertAlign w:val="superscript"/>
        </w:rPr>
        <w:t>5</w:t>
      </w:r>
      <w:r w:rsidRPr="002D1ED7">
        <w:rPr>
          <w:rFonts w:ascii="Arial" w:hAnsi="Arial"/>
        </w:rPr>
        <w:t>;  Dell’Acqua,</w:t>
      </w:r>
      <w:r w:rsidRPr="002D1ED7">
        <w:t xml:space="preserve"> </w:t>
      </w:r>
      <w:r w:rsidRPr="002D1ED7">
        <w:rPr>
          <w:rFonts w:ascii="Arial" w:hAnsi="Arial"/>
        </w:rPr>
        <w:t>Manuela</w:t>
      </w:r>
      <w:r w:rsidRPr="002D1ED7">
        <w:rPr>
          <w:rFonts w:ascii="Arial" w:hAnsi="Arial"/>
          <w:vertAlign w:val="superscript"/>
        </w:rPr>
        <w:t>5</w:t>
      </w:r>
      <w:r w:rsidRPr="002D1ED7">
        <w:rPr>
          <w:rFonts w:ascii="Arial" w:hAnsi="Arial"/>
        </w:rPr>
        <w:t>; Vecchi, Roberta</w:t>
      </w:r>
      <w:r w:rsidRPr="002D1ED7">
        <w:rPr>
          <w:rFonts w:ascii="Arial" w:hAnsi="Arial"/>
          <w:vertAlign w:val="superscript"/>
        </w:rPr>
        <w:t>5</w:t>
      </w:r>
      <w:r w:rsidRPr="002D1ED7">
        <w:rPr>
          <w:rFonts w:ascii="Arial" w:hAnsi="Arial"/>
        </w:rPr>
        <w:t>; Becagli, Silvia</w:t>
      </w:r>
      <w:r w:rsidRPr="002D1ED7">
        <w:rPr>
          <w:rFonts w:ascii="Arial" w:hAnsi="Arial"/>
          <w:vertAlign w:val="superscript"/>
        </w:rPr>
        <w:t>6</w:t>
      </w:r>
      <w:r w:rsidRPr="002D1ED7">
        <w:rPr>
          <w:rFonts w:ascii="Arial" w:hAnsi="Arial"/>
        </w:rPr>
        <w:t>; Caruso, Donatella</w:t>
      </w:r>
      <w:r w:rsidRPr="002D1ED7">
        <w:rPr>
          <w:rFonts w:ascii="Arial" w:hAnsi="Arial"/>
          <w:vertAlign w:val="superscript"/>
        </w:rPr>
        <w:t>1</w:t>
      </w:r>
      <w:r w:rsidRPr="002D1ED7">
        <w:rPr>
          <w:rFonts w:ascii="Arial" w:hAnsi="Arial"/>
        </w:rPr>
        <w:t>; Galli, Corrado L.</w:t>
      </w:r>
      <w:r w:rsidRPr="002D1ED7">
        <w:rPr>
          <w:rFonts w:ascii="Arial" w:hAnsi="Arial"/>
          <w:vertAlign w:val="superscript"/>
        </w:rPr>
        <w:t>1</w:t>
      </w:r>
      <w:r w:rsidRPr="002D1ED7">
        <w:rPr>
          <w:rFonts w:ascii="Arial" w:hAnsi="Arial"/>
        </w:rPr>
        <w:t>; Marinovich, Marina</w:t>
      </w:r>
      <w:r w:rsidRPr="002D1ED7">
        <w:rPr>
          <w:rFonts w:ascii="Arial" w:hAnsi="Arial"/>
          <w:vertAlign w:val="superscript"/>
        </w:rPr>
        <w:t>1</w:t>
      </w:r>
      <w:r w:rsidRPr="002D1ED7">
        <w:rPr>
          <w:rFonts w:ascii="Arial" w:hAnsi="Arial"/>
        </w:rPr>
        <w:t xml:space="preserve"> </w:t>
      </w:r>
    </w:p>
    <w:p w:rsidR="001805E5" w:rsidRPr="002D1ED7" w:rsidRDefault="001805E5" w:rsidP="00956553">
      <w:pPr>
        <w:snapToGrid w:val="0"/>
        <w:spacing w:before="113" w:after="113" w:line="276" w:lineRule="auto"/>
        <w:rPr>
          <w:rFonts w:ascii="Arial" w:hAnsi="Arial"/>
          <w:i/>
          <w:sz w:val="20"/>
          <w:szCs w:val="20"/>
          <w:vertAlign w:val="superscript"/>
          <w:lang w:val="en-GB"/>
        </w:rPr>
      </w:pPr>
      <w:r w:rsidRPr="002D1ED7">
        <w:rPr>
          <w:rFonts w:ascii="Arial" w:hAnsi="Arial"/>
          <w:i/>
          <w:sz w:val="20"/>
          <w:szCs w:val="20"/>
          <w:vertAlign w:val="superscript"/>
          <w:lang w:val="en-GB"/>
        </w:rPr>
        <w:t>1</w:t>
      </w:r>
      <w:r w:rsidRPr="002D1ED7">
        <w:rPr>
          <w:rFonts w:ascii="Arial" w:hAnsi="Arial"/>
          <w:i/>
          <w:sz w:val="20"/>
          <w:szCs w:val="20"/>
          <w:lang w:val="en-GB"/>
        </w:rPr>
        <w:t xml:space="preserve">Department of Pharmacological and Biomolecular Sciences, Università degli Studi di Milano, Milan, Via   Balzaretti 9, 20133, </w:t>
      </w:r>
      <w:smartTag w:uri="urn:schemas-microsoft-com:office:smarttags" w:element="City">
        <w:r w:rsidRPr="002D1ED7">
          <w:rPr>
            <w:rFonts w:ascii="Arial" w:hAnsi="Arial"/>
            <w:i/>
            <w:sz w:val="20"/>
            <w:szCs w:val="20"/>
            <w:lang w:val="en-GB"/>
          </w:rPr>
          <w:t>Milan</w:t>
        </w:r>
      </w:smartTag>
      <w:r w:rsidRPr="002D1ED7">
        <w:rPr>
          <w:rFonts w:ascii="Arial" w:hAnsi="Arial"/>
          <w:i/>
          <w:sz w:val="20"/>
          <w:szCs w:val="20"/>
          <w:lang w:val="en-GB"/>
        </w:rPr>
        <w:t xml:space="preserve"> </w:t>
      </w:r>
      <w:smartTag w:uri="urn:schemas-microsoft-com:office:smarttags" w:element="place">
        <w:smartTag w:uri="urn:schemas-microsoft-com:office:smarttags" w:element="country-region">
          <w:r w:rsidRPr="002D1ED7">
            <w:rPr>
              <w:rFonts w:ascii="Arial" w:hAnsi="Arial"/>
              <w:i/>
              <w:sz w:val="20"/>
              <w:szCs w:val="20"/>
              <w:lang w:val="en-GB"/>
            </w:rPr>
            <w:t>Italy</w:t>
          </w:r>
        </w:smartTag>
      </w:smartTag>
    </w:p>
    <w:p w:rsidR="001805E5" w:rsidRPr="002D1ED7" w:rsidRDefault="001805E5" w:rsidP="00956553">
      <w:pPr>
        <w:snapToGrid w:val="0"/>
        <w:spacing w:before="113" w:after="113" w:line="276" w:lineRule="auto"/>
        <w:rPr>
          <w:rFonts w:ascii="Arial" w:hAnsi="Arial"/>
          <w:i/>
          <w:sz w:val="20"/>
          <w:szCs w:val="20"/>
          <w:lang w:val="en-GB"/>
        </w:rPr>
      </w:pPr>
      <w:r w:rsidRPr="002D1ED7">
        <w:rPr>
          <w:rFonts w:ascii="Arial" w:hAnsi="Arial"/>
          <w:i/>
          <w:sz w:val="20"/>
          <w:szCs w:val="20"/>
          <w:vertAlign w:val="superscript"/>
          <w:lang w:val="en-GB"/>
        </w:rPr>
        <w:t>2</w:t>
      </w:r>
      <w:r w:rsidRPr="002D1ED7">
        <w:rPr>
          <w:rFonts w:ascii="Arial" w:hAnsi="Arial"/>
          <w:i/>
          <w:sz w:val="20"/>
          <w:szCs w:val="20"/>
          <w:lang w:val="en-GB"/>
        </w:rPr>
        <w:t xml:space="preserve"> Department of Biomedical Sciences for Health, Lab of Structural and Ultrastructural Morphology, Università degli Studi di Milano, </w:t>
      </w:r>
      <w:smartTag w:uri="urn:schemas-microsoft-com:office:smarttags" w:element="place">
        <w:smartTag w:uri="urn:schemas-microsoft-com:office:smarttags" w:element="City">
          <w:r w:rsidRPr="002D1ED7">
            <w:rPr>
              <w:rFonts w:ascii="Arial" w:hAnsi="Arial"/>
              <w:i/>
              <w:sz w:val="20"/>
              <w:szCs w:val="20"/>
              <w:lang w:val="en-GB"/>
            </w:rPr>
            <w:t>Milan</w:t>
          </w:r>
        </w:smartTag>
        <w:r w:rsidRPr="002D1ED7">
          <w:rPr>
            <w:rFonts w:ascii="Arial" w:hAnsi="Arial"/>
            <w:i/>
            <w:sz w:val="20"/>
            <w:szCs w:val="20"/>
            <w:lang w:val="en-GB"/>
          </w:rPr>
          <w:t xml:space="preserve">, </w:t>
        </w:r>
        <w:smartTag w:uri="urn:schemas-microsoft-com:office:smarttags" w:element="country-region">
          <w:r w:rsidRPr="002D1ED7">
            <w:rPr>
              <w:rFonts w:ascii="Arial" w:hAnsi="Arial"/>
              <w:i/>
              <w:sz w:val="20"/>
              <w:szCs w:val="20"/>
              <w:lang w:val="en-GB"/>
            </w:rPr>
            <w:t>Italy</w:t>
          </w:r>
        </w:smartTag>
      </w:smartTag>
    </w:p>
    <w:p w:rsidR="001805E5" w:rsidRPr="002D1ED7" w:rsidRDefault="001805E5" w:rsidP="00956553">
      <w:pPr>
        <w:snapToGrid w:val="0"/>
        <w:spacing w:before="113" w:after="113" w:line="276" w:lineRule="auto"/>
        <w:rPr>
          <w:rFonts w:ascii="Arial" w:hAnsi="Arial"/>
          <w:i/>
          <w:sz w:val="20"/>
          <w:szCs w:val="20"/>
          <w:vertAlign w:val="superscript"/>
          <w:lang w:val="en-US"/>
        </w:rPr>
      </w:pPr>
      <w:r w:rsidRPr="002D1ED7">
        <w:rPr>
          <w:rFonts w:ascii="Arial" w:hAnsi="Arial"/>
          <w:i/>
          <w:sz w:val="20"/>
          <w:szCs w:val="20"/>
          <w:vertAlign w:val="superscript"/>
          <w:lang w:val="en-US"/>
        </w:rPr>
        <w:t xml:space="preserve">3 </w:t>
      </w:r>
      <w:r w:rsidRPr="002D1ED7">
        <w:rPr>
          <w:rFonts w:ascii="Arial" w:hAnsi="Arial"/>
          <w:i/>
          <w:sz w:val="20"/>
          <w:szCs w:val="20"/>
          <w:lang w:val="en-US"/>
        </w:rPr>
        <w:t>Department of Civil and Environmental Engineering,</w:t>
      </w:r>
      <w:r w:rsidRPr="002D1ED7">
        <w:rPr>
          <w:rFonts w:ascii="Arial" w:hAnsi="Arial"/>
          <w:i/>
          <w:sz w:val="20"/>
          <w:szCs w:val="20"/>
          <w:vertAlign w:val="superscript"/>
          <w:lang w:val="en-US"/>
        </w:rPr>
        <w:t xml:space="preserve"> </w:t>
      </w:r>
      <w:r w:rsidRPr="002D1ED7">
        <w:rPr>
          <w:rFonts w:ascii="Arial" w:hAnsi="Arial"/>
          <w:i/>
          <w:sz w:val="20"/>
          <w:szCs w:val="20"/>
          <w:lang w:val="en-US"/>
        </w:rPr>
        <w:t xml:space="preserve">Politecnico di Milano, </w:t>
      </w:r>
      <w:smartTag w:uri="urn:schemas-microsoft-com:office:smarttags" w:element="place">
        <w:smartTag w:uri="urn:schemas-microsoft-com:office:smarttags" w:element="City">
          <w:r w:rsidRPr="002D1ED7">
            <w:rPr>
              <w:rFonts w:ascii="Arial" w:hAnsi="Arial"/>
              <w:i/>
              <w:sz w:val="20"/>
              <w:szCs w:val="20"/>
              <w:lang w:val="en-US"/>
            </w:rPr>
            <w:t>Milan</w:t>
          </w:r>
        </w:smartTag>
        <w:r w:rsidRPr="002D1ED7">
          <w:rPr>
            <w:rFonts w:ascii="Arial" w:hAnsi="Arial"/>
            <w:i/>
            <w:sz w:val="20"/>
            <w:szCs w:val="20"/>
            <w:lang w:val="en-US"/>
          </w:rPr>
          <w:t xml:space="preserve">, </w:t>
        </w:r>
        <w:smartTag w:uri="urn:schemas-microsoft-com:office:smarttags" w:element="country-region">
          <w:r w:rsidRPr="002D1ED7">
            <w:rPr>
              <w:rFonts w:ascii="Arial" w:hAnsi="Arial"/>
              <w:i/>
              <w:sz w:val="20"/>
              <w:szCs w:val="20"/>
              <w:lang w:val="en-US"/>
            </w:rPr>
            <w:t>Italy</w:t>
          </w:r>
        </w:smartTag>
      </w:smartTag>
      <w:r w:rsidRPr="002D1ED7">
        <w:rPr>
          <w:rFonts w:ascii="Arial" w:hAnsi="Arial"/>
          <w:i/>
          <w:sz w:val="20"/>
          <w:szCs w:val="20"/>
          <w:vertAlign w:val="superscript"/>
          <w:lang w:val="en-US"/>
        </w:rPr>
        <w:t xml:space="preserve"> </w:t>
      </w:r>
    </w:p>
    <w:p w:rsidR="001805E5" w:rsidRPr="002D1ED7" w:rsidRDefault="001805E5" w:rsidP="00956553">
      <w:pPr>
        <w:snapToGrid w:val="0"/>
        <w:spacing w:before="113" w:after="113" w:line="276" w:lineRule="auto"/>
        <w:rPr>
          <w:rFonts w:ascii="Arial" w:hAnsi="Arial"/>
          <w:i/>
          <w:sz w:val="20"/>
          <w:szCs w:val="20"/>
        </w:rPr>
      </w:pPr>
      <w:r w:rsidRPr="002D1ED7">
        <w:rPr>
          <w:rFonts w:ascii="Arial" w:hAnsi="Arial"/>
          <w:i/>
          <w:sz w:val="20"/>
          <w:szCs w:val="20"/>
          <w:vertAlign w:val="superscript"/>
        </w:rPr>
        <w:t>4</w:t>
      </w:r>
      <w:r w:rsidRPr="002D1ED7">
        <w:rPr>
          <w:rFonts w:ascii="Arial" w:hAnsi="Arial"/>
          <w:i/>
          <w:sz w:val="20"/>
          <w:szCs w:val="20"/>
        </w:rPr>
        <w:t>Department of Chemistry, Università degli Studi di Milano, Milan, Italy</w:t>
      </w:r>
    </w:p>
    <w:p w:rsidR="001805E5" w:rsidRPr="002D1ED7" w:rsidRDefault="001805E5" w:rsidP="00956553">
      <w:pPr>
        <w:snapToGrid w:val="0"/>
        <w:spacing w:before="113" w:after="113" w:line="276" w:lineRule="auto"/>
        <w:rPr>
          <w:rFonts w:ascii="Arial" w:hAnsi="Arial"/>
          <w:i/>
          <w:sz w:val="20"/>
          <w:szCs w:val="20"/>
        </w:rPr>
      </w:pPr>
      <w:r w:rsidRPr="002D1ED7">
        <w:rPr>
          <w:rFonts w:ascii="Arial" w:hAnsi="Arial"/>
          <w:i/>
          <w:sz w:val="20"/>
          <w:szCs w:val="20"/>
          <w:vertAlign w:val="superscript"/>
        </w:rPr>
        <w:t>5</w:t>
      </w:r>
      <w:r w:rsidRPr="002D1ED7">
        <w:rPr>
          <w:rFonts w:ascii="Arial" w:hAnsi="Arial"/>
          <w:i/>
          <w:sz w:val="20"/>
          <w:szCs w:val="20"/>
        </w:rPr>
        <w:t xml:space="preserve"> Department of Physics, Università degli Studi di Milano, Milan, Italy</w:t>
      </w:r>
    </w:p>
    <w:p w:rsidR="001805E5" w:rsidRPr="002D1ED7" w:rsidRDefault="001805E5" w:rsidP="00956553">
      <w:pPr>
        <w:snapToGrid w:val="0"/>
        <w:spacing w:before="113" w:after="113" w:line="276" w:lineRule="auto"/>
        <w:rPr>
          <w:rFonts w:ascii="Arial" w:hAnsi="Arial"/>
          <w:i/>
          <w:sz w:val="20"/>
          <w:szCs w:val="20"/>
        </w:rPr>
      </w:pPr>
      <w:r w:rsidRPr="002D1ED7">
        <w:rPr>
          <w:rFonts w:ascii="Arial" w:hAnsi="Arial"/>
          <w:i/>
          <w:sz w:val="20"/>
          <w:szCs w:val="20"/>
          <w:vertAlign w:val="superscript"/>
        </w:rPr>
        <w:t>6</w:t>
      </w:r>
      <w:r w:rsidRPr="002D1ED7">
        <w:rPr>
          <w:rFonts w:ascii="Arial" w:hAnsi="Arial"/>
          <w:i/>
          <w:sz w:val="20"/>
          <w:szCs w:val="20"/>
        </w:rPr>
        <w:t>Department of Chemistry “Ugo Schiff”, Università degli Studi di Firenze, Sesto Fiorentino, Italy</w:t>
      </w:r>
    </w:p>
    <w:p w:rsidR="001805E5" w:rsidRPr="002D1ED7" w:rsidRDefault="001805E5" w:rsidP="00956553">
      <w:pPr>
        <w:snapToGrid w:val="0"/>
        <w:spacing w:before="113" w:after="113" w:line="276" w:lineRule="auto"/>
        <w:rPr>
          <w:rFonts w:ascii="Arial" w:hAnsi="Arial"/>
          <w:i/>
          <w:sz w:val="20"/>
          <w:szCs w:val="20"/>
          <w:lang w:val="en-GB"/>
        </w:rPr>
      </w:pPr>
      <w:r w:rsidRPr="002D1ED7">
        <w:rPr>
          <w:rFonts w:ascii="Arial" w:hAnsi="Arial"/>
          <w:i/>
          <w:sz w:val="20"/>
          <w:szCs w:val="20"/>
          <w:vertAlign w:val="superscript"/>
          <w:lang w:val="en-GB"/>
        </w:rPr>
        <w:t>7</w:t>
      </w:r>
      <w:r w:rsidRPr="002D1ED7">
        <w:rPr>
          <w:rFonts w:ascii="Arial" w:hAnsi="Arial"/>
          <w:i/>
          <w:sz w:val="20"/>
          <w:szCs w:val="20"/>
          <w:lang w:val="en-GB"/>
        </w:rPr>
        <w:t xml:space="preserve">LEAP Energy and Environment Laboratory, </w:t>
      </w:r>
      <w:smartTag w:uri="urn:schemas-microsoft-com:office:smarttags" w:element="place">
        <w:smartTag w:uri="urn:schemas-microsoft-com:office:smarttags" w:element="City">
          <w:r w:rsidRPr="002D1ED7">
            <w:rPr>
              <w:rFonts w:ascii="Arial" w:hAnsi="Arial"/>
              <w:i/>
              <w:sz w:val="20"/>
              <w:szCs w:val="20"/>
              <w:lang w:val="en-GB"/>
            </w:rPr>
            <w:t>Piacenza</w:t>
          </w:r>
        </w:smartTag>
        <w:r w:rsidRPr="002D1ED7">
          <w:rPr>
            <w:rFonts w:ascii="Arial" w:hAnsi="Arial"/>
            <w:i/>
            <w:sz w:val="20"/>
            <w:szCs w:val="20"/>
            <w:lang w:val="en-GB"/>
          </w:rPr>
          <w:t xml:space="preserve">, </w:t>
        </w:r>
        <w:smartTag w:uri="urn:schemas-microsoft-com:office:smarttags" w:element="country-region">
          <w:r w:rsidRPr="002D1ED7">
            <w:rPr>
              <w:rFonts w:ascii="Arial" w:hAnsi="Arial"/>
              <w:i/>
              <w:sz w:val="20"/>
              <w:szCs w:val="20"/>
              <w:lang w:val="en-GB"/>
            </w:rPr>
            <w:t>Italy</w:t>
          </w:r>
        </w:smartTag>
      </w:smartTag>
    </w:p>
    <w:p w:rsidR="001805E5" w:rsidRPr="002D1ED7" w:rsidRDefault="001805E5" w:rsidP="00956553">
      <w:pPr>
        <w:snapToGrid w:val="0"/>
        <w:spacing w:before="113" w:after="113" w:line="276" w:lineRule="auto"/>
        <w:rPr>
          <w:rFonts w:ascii="Arial" w:hAnsi="Arial"/>
          <w:sz w:val="20"/>
          <w:szCs w:val="20"/>
          <w:lang w:val="en-GB"/>
        </w:rPr>
      </w:pPr>
    </w:p>
    <w:p w:rsidR="001805E5" w:rsidRPr="002D1ED7" w:rsidRDefault="001805E5" w:rsidP="003D1D13">
      <w:pPr>
        <w:snapToGrid w:val="0"/>
        <w:spacing w:before="113" w:after="113" w:line="276" w:lineRule="auto"/>
        <w:rPr>
          <w:rFonts w:ascii="Arial" w:hAnsi="Arial"/>
          <w:sz w:val="20"/>
          <w:szCs w:val="20"/>
        </w:rPr>
      </w:pPr>
      <w:r w:rsidRPr="002D1ED7">
        <w:rPr>
          <w:rFonts w:ascii="Arial" w:hAnsi="Arial"/>
          <w:sz w:val="20"/>
          <w:szCs w:val="20"/>
        </w:rPr>
        <w:t xml:space="preserve">*Corresponding Author: </w:t>
      </w:r>
    </w:p>
    <w:p w:rsidR="001805E5" w:rsidRPr="002D1ED7" w:rsidRDefault="001805E5" w:rsidP="003D1D13">
      <w:pPr>
        <w:snapToGrid w:val="0"/>
        <w:spacing w:before="113" w:after="113" w:line="276" w:lineRule="auto"/>
        <w:rPr>
          <w:rFonts w:ascii="Arial" w:hAnsi="Arial"/>
          <w:sz w:val="20"/>
          <w:szCs w:val="20"/>
        </w:rPr>
      </w:pPr>
      <w:r w:rsidRPr="002D1ED7">
        <w:rPr>
          <w:rFonts w:ascii="Arial" w:hAnsi="Arial"/>
          <w:sz w:val="20"/>
          <w:szCs w:val="20"/>
        </w:rPr>
        <w:t>Laura Marabini, Department of Pharmacological and Biomecular Sciences, Università degli Studi di Milano</w:t>
      </w:r>
    </w:p>
    <w:p w:rsidR="001805E5" w:rsidRPr="002D1ED7" w:rsidRDefault="001805E5" w:rsidP="003D1D13">
      <w:pPr>
        <w:snapToGrid w:val="0"/>
        <w:spacing w:before="113" w:after="113" w:line="276" w:lineRule="auto"/>
        <w:rPr>
          <w:rFonts w:ascii="Arial" w:hAnsi="Arial"/>
          <w:sz w:val="20"/>
          <w:szCs w:val="20"/>
        </w:rPr>
      </w:pPr>
      <w:r w:rsidRPr="002D1ED7">
        <w:rPr>
          <w:rFonts w:ascii="Arial" w:hAnsi="Arial"/>
          <w:sz w:val="20"/>
          <w:szCs w:val="20"/>
        </w:rPr>
        <w:t>Via Balzaretti, 9 20133 Milano (Italy)</w:t>
      </w:r>
    </w:p>
    <w:p w:rsidR="001805E5" w:rsidRPr="002D1ED7" w:rsidRDefault="001805E5" w:rsidP="003D1D13">
      <w:pPr>
        <w:snapToGrid w:val="0"/>
        <w:spacing w:before="113" w:after="113" w:line="276" w:lineRule="auto"/>
        <w:rPr>
          <w:rFonts w:ascii="Arial" w:hAnsi="Arial"/>
          <w:sz w:val="20"/>
          <w:szCs w:val="20"/>
          <w:lang w:val="en-US"/>
        </w:rPr>
      </w:pPr>
      <w:r w:rsidRPr="002D1ED7">
        <w:rPr>
          <w:rFonts w:ascii="Arial" w:hAnsi="Arial"/>
          <w:sz w:val="20"/>
          <w:szCs w:val="20"/>
          <w:lang w:val="en-US"/>
        </w:rPr>
        <w:t>Tel  +390250318357</w:t>
      </w:r>
    </w:p>
    <w:p w:rsidR="001805E5" w:rsidRPr="002D1ED7" w:rsidRDefault="001805E5" w:rsidP="003D1D13">
      <w:pPr>
        <w:snapToGrid w:val="0"/>
        <w:spacing w:before="113" w:after="113" w:line="276" w:lineRule="auto"/>
        <w:rPr>
          <w:rFonts w:ascii="Arial" w:hAnsi="Arial"/>
          <w:sz w:val="20"/>
          <w:szCs w:val="20"/>
          <w:lang w:val="en-GB"/>
        </w:rPr>
      </w:pPr>
      <w:r w:rsidRPr="002D1ED7">
        <w:rPr>
          <w:rFonts w:ascii="Arial" w:hAnsi="Arial"/>
          <w:sz w:val="20"/>
          <w:szCs w:val="20"/>
          <w:lang w:val="en-GB"/>
        </w:rPr>
        <w:t>laura.marabini@unimi.it</w:t>
      </w:r>
    </w:p>
    <w:p w:rsidR="001805E5" w:rsidRPr="002D1ED7" w:rsidRDefault="001805E5" w:rsidP="003D1D13">
      <w:pPr>
        <w:snapToGrid w:val="0"/>
        <w:spacing w:before="113" w:after="113" w:line="276" w:lineRule="auto"/>
        <w:rPr>
          <w:rFonts w:ascii="Arial" w:hAnsi="Arial"/>
          <w:sz w:val="20"/>
          <w:szCs w:val="20"/>
          <w:lang w:val="en-GB"/>
        </w:rPr>
      </w:pPr>
    </w:p>
    <w:p w:rsidR="001805E5" w:rsidRPr="002D1ED7" w:rsidRDefault="001805E5">
      <w:pPr>
        <w:widowControl/>
        <w:suppressAutoHyphens w:val="0"/>
        <w:spacing w:after="200" w:line="276" w:lineRule="auto"/>
        <w:rPr>
          <w:rFonts w:ascii="Arial" w:hAnsi="Arial"/>
          <w:sz w:val="20"/>
          <w:szCs w:val="20"/>
          <w:lang w:val="en-GB"/>
        </w:rPr>
      </w:pPr>
    </w:p>
    <w:p w:rsidR="001805E5" w:rsidRPr="002D1ED7" w:rsidRDefault="001805E5" w:rsidP="00956553">
      <w:pPr>
        <w:snapToGrid w:val="0"/>
        <w:spacing w:before="113" w:after="113" w:line="360" w:lineRule="auto"/>
        <w:rPr>
          <w:rFonts w:ascii="Arial" w:hAnsi="Arial"/>
          <w:lang w:val="en-GB"/>
        </w:rPr>
      </w:pPr>
      <w:r w:rsidRPr="002D1ED7">
        <w:rPr>
          <w:rFonts w:ascii="Arial" w:hAnsi="Arial"/>
          <w:b/>
          <w:lang w:val="en-GB"/>
        </w:rPr>
        <w:t xml:space="preserve">ABSTRACT </w:t>
      </w:r>
    </w:p>
    <w:p w:rsidR="001805E5" w:rsidRPr="002D1ED7" w:rsidRDefault="001805E5" w:rsidP="003A20BB">
      <w:pPr>
        <w:snapToGrid w:val="0"/>
        <w:spacing w:before="113" w:after="113" w:line="360" w:lineRule="auto"/>
        <w:jc w:val="both"/>
        <w:rPr>
          <w:rFonts w:ascii="Arial" w:hAnsi="Arial"/>
          <w:lang w:val="en-GB"/>
        </w:rPr>
      </w:pPr>
      <w:r w:rsidRPr="002D1ED7">
        <w:rPr>
          <w:rFonts w:ascii="Arial" w:hAnsi="Arial"/>
          <w:lang w:val="en-GB"/>
        </w:rPr>
        <w:t>As a component of the TOBICUP (TOxicity of BIomass COmbustion generated Ultrafine Particles) project, we have examined the genotoxicity of ultrafine particles (UFPs, d&lt;100 nm) produced by the combustion of logwood and pellets (hardwood and softwood). Chemical composition of UFP was assessed by a suite of analytical techniques.  Genotoxicity evaluation was performed on A549 human lung carcinoma cells. The comet assay and γ-H2AX evaluation showed significant DNA damage after 24 h treatment. The results are interpreted with respect to the physical and chemical properties of UFPs and the type and efficiency of the combustion conditions in residential pellet or logwood stoves.</w:t>
      </w:r>
    </w:p>
    <w:p w:rsidR="001805E5" w:rsidRPr="002D1ED7" w:rsidRDefault="001805E5" w:rsidP="002D1ED7">
      <w:pPr>
        <w:widowControl/>
        <w:suppressAutoHyphens w:val="0"/>
        <w:spacing w:after="200" w:line="276" w:lineRule="auto"/>
        <w:rPr>
          <w:rFonts w:ascii="Arial" w:hAnsi="Arial"/>
          <w:b/>
          <w:i/>
          <w:lang w:val="en-US"/>
        </w:rPr>
      </w:pPr>
      <w:r w:rsidRPr="002D1ED7">
        <w:rPr>
          <w:rFonts w:ascii="Arial" w:hAnsi="Arial"/>
          <w:lang w:val="en-GB"/>
        </w:rPr>
        <w:br w:type="page"/>
      </w:r>
      <w:r w:rsidRPr="002D1ED7">
        <w:rPr>
          <w:rFonts w:ascii="Arial" w:hAnsi="Arial"/>
          <w:b/>
          <w:i/>
          <w:lang w:val="en-GB"/>
        </w:rPr>
        <w:t>1. Introduction</w:t>
      </w:r>
    </w:p>
    <w:p w:rsidR="001805E5" w:rsidRPr="002D1ED7" w:rsidRDefault="001805E5" w:rsidP="006263D1">
      <w:pPr>
        <w:snapToGrid w:val="0"/>
        <w:spacing w:before="113" w:after="113" w:line="360" w:lineRule="auto"/>
        <w:ind w:firstLine="360"/>
        <w:jc w:val="both"/>
        <w:rPr>
          <w:rFonts w:ascii="Arial" w:hAnsi="Arial"/>
          <w:lang w:val="en-GB"/>
        </w:rPr>
      </w:pPr>
      <w:r w:rsidRPr="002D1ED7">
        <w:rPr>
          <w:rFonts w:ascii="Arial" w:hAnsi="Arial"/>
          <w:lang w:val="en-US"/>
        </w:rPr>
        <w:t xml:space="preserve">Toxic effects of emissions from fossil-fuel burning are well known [1]. Environmental and human health considerations are prompting the development of alternative  home-heating systems, and there is renewed interest in wood-burning stoves. </w:t>
      </w:r>
      <w:r w:rsidRPr="002D1ED7">
        <w:rPr>
          <w:rFonts w:ascii="Arial" w:hAnsi="Arial"/>
          <w:lang w:val="en-GB"/>
        </w:rPr>
        <w:t xml:space="preserve">The adverse health effects of biomass combustion can lead to respiratory symptoms and disease among persons living in areas with high wood-smoke exposure [2,3]. Epidemiological studies have shown that particles with aerodynamic diameter &lt;2.5 </w:t>
      </w:r>
      <w:r w:rsidRPr="002D1ED7">
        <w:rPr>
          <w:rFonts w:ascii="Arial" w:hAnsi="Arial" w:cs="Times New Roman"/>
          <w:lang w:val="en-GB"/>
        </w:rPr>
        <w:t>µ</w:t>
      </w:r>
      <w:r w:rsidRPr="002D1ED7">
        <w:rPr>
          <w:rFonts w:ascii="Arial" w:hAnsi="Arial"/>
          <w:lang w:val="en-GB"/>
        </w:rPr>
        <w:t>m (PM2.5) can exacerbate inflammatory diseases such as asthma or acute bronchitis; they may also cause acute heart attacks or contribute to chronic diseases (e.g., diabetes, cardiovascular diseases, pulmonary cancer) [4-6]. Wood smoke may cause health effects similar to particulate matter from other sources, e.g. traffic-emitted particles</w:t>
      </w:r>
      <w:r w:rsidRPr="002D1ED7">
        <w:rPr>
          <w:lang w:val="en-GB"/>
        </w:rPr>
        <w:t xml:space="preserve"> </w:t>
      </w:r>
      <w:r w:rsidRPr="002D1ED7">
        <w:rPr>
          <w:rFonts w:ascii="Arial" w:hAnsi="Arial"/>
          <w:lang w:val="en-GB"/>
        </w:rPr>
        <w:t>[7].</w:t>
      </w:r>
    </w:p>
    <w:p w:rsidR="001805E5" w:rsidRPr="002D1ED7" w:rsidRDefault="001805E5" w:rsidP="006263D1">
      <w:pPr>
        <w:snapToGrid w:val="0"/>
        <w:spacing w:before="113" w:after="113" w:line="360" w:lineRule="auto"/>
        <w:ind w:firstLine="360"/>
        <w:jc w:val="both"/>
        <w:rPr>
          <w:rFonts w:ascii="Arial" w:hAnsi="Arial"/>
          <w:lang w:val="en-GB"/>
        </w:rPr>
      </w:pPr>
      <w:r w:rsidRPr="002D1ED7">
        <w:rPr>
          <w:rFonts w:ascii="Arial" w:hAnsi="Arial"/>
          <w:lang w:val="en-GB"/>
        </w:rPr>
        <w:t xml:space="preserve">In in vitro studies, </w:t>
      </w:r>
      <w:r w:rsidRPr="002D1ED7">
        <w:rPr>
          <w:rFonts w:ascii="Arial" w:hAnsi="Arial" w:cs="Arial"/>
          <w:color w:val="222222"/>
          <w:lang/>
        </w:rPr>
        <w:t>PM2.5 particl</w:t>
      </w:r>
      <w:r w:rsidRPr="002D1ED7">
        <w:rPr>
          <w:rFonts w:ascii="Arial" w:hAnsi="Arial"/>
          <w:lang/>
        </w:rPr>
        <w:t>es</w:t>
      </w:r>
      <w:r w:rsidRPr="002D1ED7">
        <w:rPr>
          <w:rFonts w:ascii="Arial" w:hAnsi="Arial"/>
          <w:lang w:val="en-GB"/>
        </w:rPr>
        <w:t xml:space="preserve"> can cause the release of pro-inflammatory cytokines, oxidative stress, and DNA damage [8,9]. In alveolar macrophages and epithelial cells, nanoparticles can induce production of inflammatory proteins, including cytokines and chemokines [10]. Among pro-inflammatory mediators, interleukin-8 (IL-8) is of particular relevance; this chemokine is a neutrophil attractor and the possible cause of tissue damage. </w:t>
      </w:r>
    </w:p>
    <w:p w:rsidR="001805E5" w:rsidRPr="002D1ED7" w:rsidRDefault="001805E5" w:rsidP="006263D1">
      <w:pPr>
        <w:snapToGrid w:val="0"/>
        <w:spacing w:before="113" w:after="113" w:line="360" w:lineRule="auto"/>
        <w:ind w:firstLine="360"/>
        <w:jc w:val="both"/>
        <w:rPr>
          <w:rFonts w:ascii="Arial" w:hAnsi="Arial"/>
          <w:lang w:val="en-GB"/>
        </w:rPr>
      </w:pPr>
      <w:r w:rsidRPr="002D1ED7">
        <w:rPr>
          <w:rFonts w:ascii="Arial" w:hAnsi="Arial"/>
          <w:lang w:val="en-GB"/>
        </w:rPr>
        <w:t>Burning pellets can generate biologically active fine particulate matter [11]. The physicochemical properties of ultrafine particles (UFPs, i.e., particles with aerodynamic &lt;100 nm) depend on the substances forming the cores of the particles and the chemical components that enrich the surfaces. Ultrafine particles emitted during wood combustion</w:t>
      </w:r>
      <w:r w:rsidRPr="002D1ED7" w:rsidDel="00CE74AC">
        <w:rPr>
          <w:rFonts w:ascii="Arial" w:hAnsi="Arial"/>
          <w:lang w:val="en-GB"/>
        </w:rPr>
        <w:t xml:space="preserve"> </w:t>
      </w:r>
      <w:r w:rsidRPr="002D1ED7">
        <w:rPr>
          <w:rFonts w:ascii="Arial" w:hAnsi="Arial"/>
          <w:lang w:val="en-GB"/>
        </w:rPr>
        <w:t xml:space="preserve">in stoves may be enriched in combustion by-products such as polycyclic aromatic hydrocarbons (PAHs), ions, heavy metals, and other oxidant components present in the air. These particles can also undergo chemical modification by UVA and UVB radiation. </w:t>
      </w:r>
    </w:p>
    <w:p w:rsidR="001805E5" w:rsidRPr="002D1ED7" w:rsidRDefault="001805E5" w:rsidP="006263D1">
      <w:pPr>
        <w:snapToGrid w:val="0"/>
        <w:spacing w:before="113" w:after="113" w:line="360" w:lineRule="auto"/>
        <w:ind w:firstLine="360"/>
        <w:jc w:val="both"/>
        <w:rPr>
          <w:rFonts w:ascii="Arial" w:hAnsi="Arial"/>
          <w:lang w:val="en-GB"/>
        </w:rPr>
      </w:pPr>
      <w:r w:rsidRPr="002D1ED7">
        <w:rPr>
          <w:rFonts w:ascii="Arial" w:hAnsi="Arial"/>
          <w:lang w:val="en-GB"/>
        </w:rPr>
        <w:t>In vivo data in healthy humans, obtained after 3-4 h exposure to wood smoke particles, show enhanced DNA repair activity and systemic effects (although minor and limited) related to oxidative stress and inflammation. Minor pro-inflammatory lymphocytic and mast cell effects and soluble inflammatory markers</w:t>
      </w:r>
      <w:r w:rsidRPr="002D1ED7" w:rsidDel="00E95303">
        <w:rPr>
          <w:rFonts w:ascii="Arial" w:hAnsi="Arial"/>
          <w:lang w:val="en-GB"/>
        </w:rPr>
        <w:t xml:space="preserve"> </w:t>
      </w:r>
      <w:r w:rsidRPr="002D1ED7">
        <w:rPr>
          <w:rFonts w:ascii="Arial" w:hAnsi="Arial"/>
          <w:lang w:val="en-GB"/>
        </w:rPr>
        <w:t>have been detected in bronchial biopsies after short-term exposure to PM1 [7,12-15].</w:t>
      </w:r>
    </w:p>
    <w:p w:rsidR="001805E5" w:rsidRPr="002D1ED7" w:rsidRDefault="001805E5" w:rsidP="002D1ED7">
      <w:pPr>
        <w:spacing w:line="360" w:lineRule="auto"/>
        <w:ind w:firstLine="360"/>
        <w:jc w:val="both"/>
        <w:textAlignment w:val="top"/>
        <w:rPr>
          <w:rFonts w:ascii="Arial" w:hAnsi="Arial" w:cs="Arial"/>
          <w:color w:val="222222"/>
          <w:kern w:val="0"/>
          <w:lang w:eastAsia="it-IT" w:bidi="ar-SA"/>
        </w:rPr>
      </w:pPr>
      <w:r w:rsidRPr="002D1ED7">
        <w:rPr>
          <w:rFonts w:ascii="Arial" w:hAnsi="Arial"/>
          <w:lang w:val="en-GB"/>
        </w:rPr>
        <w:t xml:space="preserve">We recently described the effects of UFP samples collected from stoves on IL-8 induction in two human cell lines (A549 and THP-1) and human peripheral blood leukocytes [16]. </w:t>
      </w:r>
      <w:r w:rsidRPr="002D1ED7">
        <w:rPr>
          <w:rFonts w:ascii="Arial" w:hAnsi="Arial" w:cs="Arial"/>
          <w:color w:val="222222"/>
          <w:kern w:val="0"/>
          <w:lang w:eastAsia="it-IT" w:bidi="ar-SA"/>
        </w:rPr>
        <w:t xml:space="preserve">THP-1 cells </w:t>
      </w:r>
      <w:r w:rsidRPr="002D1ED7">
        <w:rPr>
          <w:rFonts w:ascii="Arial" w:hAnsi="Arial"/>
          <w:lang w:val="en-GB"/>
        </w:rPr>
        <w:t>showed</w:t>
      </w:r>
      <w:r w:rsidRPr="002D1ED7">
        <w:rPr>
          <w:rFonts w:ascii="Arial" w:hAnsi="Arial" w:cs="Arial"/>
          <w:color w:val="222222"/>
          <w:kern w:val="0"/>
          <w:lang w:eastAsia="it-IT" w:bidi="ar-SA"/>
        </w:rPr>
        <w:t xml:space="preserve"> higher sensitivity than A549 cells; a greater effect was seen with particles obtained from burning wood (hardwood logs?) vs. softwood (fir) pellets, likely due to differences in levoglucosan content.</w:t>
      </w:r>
    </w:p>
    <w:p w:rsidR="001805E5" w:rsidRPr="002D1ED7" w:rsidRDefault="001805E5" w:rsidP="002D1ED7">
      <w:pPr>
        <w:spacing w:line="360" w:lineRule="auto"/>
        <w:ind w:firstLine="360"/>
        <w:jc w:val="both"/>
        <w:textAlignment w:val="top"/>
        <w:rPr>
          <w:rFonts w:ascii="Arial" w:hAnsi="Arial"/>
          <w:lang w:val="en-GB"/>
        </w:rPr>
      </w:pPr>
      <w:r w:rsidRPr="002D1ED7">
        <w:rPr>
          <w:rFonts w:ascii="Arial" w:hAnsi="Arial"/>
          <w:lang w:val="en-GB"/>
        </w:rPr>
        <w:t xml:space="preserve">Here, we have studied the modes of action and genotoxicities in human type II alveolar cells (A549 cell line) of UFPs produced by combustion of two widely-used types of firewood, beech and fir, in state-of-the-art commercial pellet and logwood room-heaters, following the standardized burning process reported previously. We measured UFP intracellular disposition by Transmission Electron Microscopy (TEM); measured intracellular oxygen and nitrogen reactive species; and assessed genotoxicity by the comet assay and by γH2AX histone immunostaining. </w:t>
      </w:r>
    </w:p>
    <w:p w:rsidR="001805E5" w:rsidRPr="002D1ED7" w:rsidRDefault="001805E5" w:rsidP="006263D1">
      <w:pPr>
        <w:snapToGrid w:val="0"/>
        <w:spacing w:before="113" w:after="113" w:line="360" w:lineRule="auto"/>
        <w:ind w:firstLine="360"/>
        <w:jc w:val="both"/>
        <w:rPr>
          <w:rFonts w:ascii="Arial" w:hAnsi="Arial"/>
          <w:lang w:val="en-GB"/>
        </w:rPr>
      </w:pPr>
      <w:r w:rsidRPr="002D1ED7">
        <w:rPr>
          <w:rFonts w:ascii="Arial" w:hAnsi="Arial"/>
          <w:lang w:val="en-GB"/>
        </w:rPr>
        <w:t>The emissions and chemical compositions of UFPs depend on the combustion conditions in the residential heating appliance [17]; even an appliance operating under optimal conditions may produce high levels of UFP [18]. Population exposure to UFP sources is increasing, especially since emission close to ground level results in only limited dispersion of the particles. Simulating the real-world behaviour of the heating appliances is therefore important. The UFP sampling strategy employed here follows the approach successfully implemented previously [19].</w:t>
      </w:r>
    </w:p>
    <w:p w:rsidR="001805E5" w:rsidRDefault="001805E5" w:rsidP="004A3973">
      <w:pPr>
        <w:snapToGrid w:val="0"/>
        <w:spacing w:before="113" w:after="113" w:line="360" w:lineRule="auto"/>
        <w:jc w:val="both"/>
        <w:rPr>
          <w:rFonts w:ascii="Arial" w:hAnsi="Arial"/>
          <w:b/>
          <w:i/>
          <w:lang w:val="en-GB"/>
        </w:rPr>
      </w:pP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b/>
          <w:i/>
          <w:lang w:val="en-GB"/>
        </w:rPr>
        <w:t>2</w:t>
      </w:r>
      <w:r w:rsidRPr="002D1ED7">
        <w:rPr>
          <w:rFonts w:ascii="Arial" w:hAnsi="Arial"/>
          <w:i/>
          <w:lang w:val="en-GB"/>
        </w:rPr>
        <w:t xml:space="preserve">. </w:t>
      </w:r>
      <w:r w:rsidRPr="002D1ED7">
        <w:rPr>
          <w:rFonts w:ascii="Arial" w:hAnsi="Arial"/>
          <w:b/>
          <w:i/>
          <w:lang w:val="en-GB"/>
        </w:rPr>
        <w:t>Materials and Methods</w:t>
      </w: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i/>
          <w:lang w:val="en-GB"/>
        </w:rPr>
        <w:t>2.1. Stoves tested; combustion cycle</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Two state-of-the-art room heaters - a pellet stove, 11 kW, and a logwood stove, 8 kW - were tested under simulated real-world loading and operation pattern in the Laboratory for Energy and Environment of Piacenza, Italy (LEAP) facility (www.leap.polimi.it). Softwood (fir) and hardwood (beech) biomass fuels were used. Detailed descriptions are published elsewhere [20]; see also Supplementary Fig. SM1.</w:t>
      </w:r>
    </w:p>
    <w:p w:rsidR="001805E5" w:rsidRPr="002D1ED7" w:rsidRDefault="001805E5" w:rsidP="00247EF2">
      <w:pPr>
        <w:snapToGrid w:val="0"/>
        <w:spacing w:before="113" w:after="113" w:line="360" w:lineRule="auto"/>
        <w:jc w:val="both"/>
        <w:rPr>
          <w:rFonts w:ascii="Arial" w:hAnsi="Arial"/>
          <w:lang w:val="en-GB"/>
        </w:rPr>
      </w:pPr>
      <w:r w:rsidRPr="002D1ED7">
        <w:rPr>
          <w:rFonts w:ascii="Arial" w:hAnsi="Arial"/>
          <w:i/>
          <w:lang w:val="en-GB"/>
        </w:rPr>
        <w:t>2.2.</w:t>
      </w:r>
      <w:r w:rsidRPr="002D1ED7">
        <w:rPr>
          <w:rFonts w:ascii="Arial" w:hAnsi="Arial"/>
          <w:lang w:val="en-GB"/>
        </w:rPr>
        <w:t xml:space="preserve"> </w:t>
      </w:r>
      <w:r w:rsidRPr="002D1ED7">
        <w:rPr>
          <w:rFonts w:ascii="Arial" w:hAnsi="Arial"/>
          <w:i/>
          <w:lang w:val="en-GB"/>
        </w:rPr>
        <w:t>UFP sample collection</w:t>
      </w:r>
      <w:r w:rsidRPr="002D1ED7">
        <w:rPr>
          <w:rFonts w:ascii="Arial" w:hAnsi="Arial"/>
          <w:lang w:val="en-GB"/>
        </w:rPr>
        <w:t xml:space="preserve">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Three multi-stage impactors operating in parallel sampled the flue gas. All UFP samples collected on the two lower impaction stages and the back-up filter were weighed and then characterized for their chemical composition; elements, water-soluble ions, total carbon, polycyclic hydrocarbons and anhydrosugars (tracers for wood combustion) were quantified. UFP samples detached from aluminum substrates were sent for toxicological determination. Further details on the experimental methods are available in the Supplementary Material and in Corsini et al. [16,2121].</w:t>
      </w:r>
    </w:p>
    <w:p w:rsidR="001805E5" w:rsidRDefault="001805E5" w:rsidP="004A3973">
      <w:pPr>
        <w:snapToGrid w:val="0"/>
        <w:spacing w:before="113" w:after="113" w:line="360" w:lineRule="auto"/>
        <w:jc w:val="both"/>
        <w:rPr>
          <w:rFonts w:ascii="Arial" w:hAnsi="Arial"/>
          <w:i/>
          <w:lang w:val="en-GB"/>
        </w:rPr>
      </w:pP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i/>
          <w:lang w:val="en-GB"/>
        </w:rPr>
        <w:t>2.3. Cell line; cell culture</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A549, a human lung adenocarcinoma alveolar basal epithelial cell line, was obtained from Zooprofilattico Institute (</w:t>
      </w:r>
      <w:smartTag w:uri="urn:schemas-microsoft-com:office:smarttags" w:element="place">
        <w:smartTag w:uri="urn:schemas-microsoft-com:office:smarttags" w:element="City">
          <w:r w:rsidRPr="002D1ED7">
            <w:rPr>
              <w:rFonts w:ascii="Arial" w:hAnsi="Arial"/>
              <w:lang w:val="en-GB"/>
            </w:rPr>
            <w:t>Brescia</w:t>
          </w:r>
        </w:smartTag>
        <w:r w:rsidRPr="002D1ED7">
          <w:rPr>
            <w:rFonts w:ascii="Arial" w:hAnsi="Arial"/>
            <w:lang w:val="en-GB"/>
          </w:rPr>
          <w:t xml:space="preserve">, </w:t>
        </w:r>
        <w:smartTag w:uri="urn:schemas-microsoft-com:office:smarttags" w:element="country-region">
          <w:r w:rsidRPr="002D1ED7">
            <w:rPr>
              <w:rFonts w:ascii="Arial" w:hAnsi="Arial"/>
              <w:lang w:val="en-GB"/>
            </w:rPr>
            <w:t>Italy</w:t>
          </w:r>
        </w:smartTag>
      </w:smartTag>
      <w:r w:rsidRPr="002D1ED7">
        <w:rPr>
          <w:rFonts w:ascii="Arial" w:hAnsi="Arial"/>
          <w:lang w:val="en-GB"/>
        </w:rPr>
        <w:t>). Cells were grown in T-75 culture flasks in a humidified atmosphere, 5% CO</w:t>
      </w:r>
      <w:r w:rsidRPr="002D1ED7">
        <w:rPr>
          <w:rFonts w:ascii="Arial" w:hAnsi="Arial"/>
          <w:vertAlign w:val="subscript"/>
          <w:lang w:val="en-GB"/>
        </w:rPr>
        <w:t>2</w:t>
      </w:r>
      <w:r w:rsidRPr="002D1ED7">
        <w:rPr>
          <w:rFonts w:ascii="Arial" w:hAnsi="Arial"/>
          <w:lang w:val="en-GB"/>
        </w:rPr>
        <w:t xml:space="preserve">, at </w:t>
      </w:r>
      <w:smartTag w:uri="urn:schemas-microsoft-com:office:smarttags" w:element="metricconverter">
        <w:smartTagPr>
          <w:attr w:name="ProductID" w:val="37°C"/>
        </w:smartTagPr>
        <w:r w:rsidRPr="002D1ED7">
          <w:rPr>
            <w:rFonts w:ascii="Arial" w:hAnsi="Arial"/>
            <w:lang w:val="en-GB"/>
          </w:rPr>
          <w:t>37°C</w:t>
        </w:r>
      </w:smartTag>
      <w:r w:rsidRPr="002D1ED7">
        <w:rPr>
          <w:rFonts w:ascii="Arial" w:hAnsi="Arial"/>
          <w:lang w:val="en-GB"/>
        </w:rPr>
        <w:t xml:space="preserve"> and were maintained in proliferation medium RPMI-1640 containing 10% fetal bovine serum (FBS), 1% penicillin-streptomycin (P/S) (100 IU/mL penicillin and 100 IU/mL streptomycin) 0.008% pyruvic acid, and 0.024% glutamine. Medium was changed after a growth period of 2 days and the cells split (1:15) every 5 days.</w:t>
      </w: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i/>
          <w:lang w:val="en-GB"/>
        </w:rPr>
        <w:t>2.4. UFP sample extraction for biological studies</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UFPs were detached from filters by sonication for 60 min in ethanol:water (50:50) solution. After detachment, samples were evaporated at </w:t>
      </w:r>
      <w:smartTag w:uri="urn:schemas-microsoft-com:office:smarttags" w:element="metricconverter">
        <w:smartTagPr>
          <w:attr w:name="ProductID" w:val="37°C"/>
        </w:smartTagPr>
        <w:r w:rsidRPr="002D1ED7">
          <w:rPr>
            <w:rFonts w:ascii="Arial" w:hAnsi="Arial"/>
            <w:lang w:val="en-GB"/>
          </w:rPr>
          <w:t>37°C</w:t>
        </w:r>
      </w:smartTag>
      <w:r w:rsidRPr="002D1ED7">
        <w:rPr>
          <w:rFonts w:ascii="Arial" w:hAnsi="Arial"/>
          <w:lang w:val="en-GB"/>
        </w:rPr>
        <w:t xml:space="preserve"> using an evaporator (Syncore Buchi) at low pressure (25 mpsi) for 24 h. Extracted UFPs were suspended (1 mg/ml) in phosphate-buffered saline (PBS). Stock solutions were vortexed for 30 s immediately before cell exposure. In order to evaluate the contribution of the blank, unexposed filters were also extracted under the same conditions; no changes in any of the parameters measured, compared to control cells, were observed (data not shown).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Stock solutions of samples were vortexed for 30 s at 50 Hz (Ultrasonicator UP50H Compact Lab Homogenizer, Hielscher ultrasonic GmbH; </w:t>
      </w:r>
      <w:smartTag w:uri="urn:schemas-microsoft-com:office:smarttags" w:element="place">
        <w:smartTag w:uri="urn:schemas-microsoft-com:office:smarttags" w:element="City">
          <w:r w:rsidRPr="002D1ED7">
            <w:rPr>
              <w:rFonts w:ascii="Arial" w:hAnsi="Arial"/>
              <w:lang w:val="en-GB"/>
            </w:rPr>
            <w:t>Telton</w:t>
          </w:r>
        </w:smartTag>
        <w:r w:rsidRPr="002D1ED7">
          <w:rPr>
            <w:rFonts w:ascii="Arial" w:hAnsi="Arial"/>
            <w:lang w:val="en-GB"/>
          </w:rPr>
          <w:t xml:space="preserve">, </w:t>
        </w:r>
        <w:smartTag w:uri="urn:schemas-microsoft-com:office:smarttags" w:element="country-region">
          <w:r w:rsidRPr="002D1ED7">
            <w:rPr>
              <w:rFonts w:ascii="Arial" w:hAnsi="Arial"/>
              <w:lang w:val="en-GB"/>
            </w:rPr>
            <w:t>Germany</w:t>
          </w:r>
        </w:smartTag>
      </w:smartTag>
      <w:r w:rsidRPr="002D1ED7">
        <w:rPr>
          <w:rFonts w:ascii="Arial" w:hAnsi="Arial"/>
          <w:lang w:val="en-GB"/>
        </w:rPr>
        <w:t xml:space="preserve">), three times, on ice, immediately before cell exposure. A549 cells were treated with UFP samples at 25-100 μg/mL for 24 h. </w:t>
      </w: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i/>
          <w:lang w:val="en-GB"/>
        </w:rPr>
        <w:t xml:space="preserve">2.5. Transmission electron microscopy (TEM)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UFP uptake was evaluated by transmission electron microscopy analysis. The cells were seeded in 35 mm petri dishes with complete medium for 24 h to obtain confluence, after which they were exposed to UFP (50 µg/mL) suspended in medium for 24 h. Afterwards, UFP suspensions were removed and the cells were washed with PBS, 1 mL, detached from the dish and centrifuged at 800 rpm for 10 min; the pellet was suspended in Sørensen buffer (0.1 M) and fixed for 2 h with 3% glutaraldehyde  in  Sørensen buffer (0.1 M, pH 7.4). The fixed pellets were washed three times with Sørensen buffer and post-fixed with 1% OsO</w:t>
      </w:r>
      <w:r w:rsidRPr="002D1ED7">
        <w:rPr>
          <w:rFonts w:ascii="Arial" w:hAnsi="Arial"/>
          <w:vertAlign w:val="subscript"/>
          <w:lang w:val="en-GB"/>
        </w:rPr>
        <w:t>4</w:t>
      </w:r>
      <w:r w:rsidRPr="002D1ED7">
        <w:rPr>
          <w:rFonts w:ascii="Arial" w:hAnsi="Arial"/>
          <w:lang w:val="en-GB"/>
        </w:rPr>
        <w:t xml:space="preserve"> (1 h) and then 1% uranyl acetate. The pellets were dehydrated in a graded acetone series before being transferred into Durcupan (Durcupan, Fluka) to solidify the cell pellets. Ultrathin sections were made with a Leica ultramicrotome, stained with lead citrate, and observed with a CX100 transmission electron microscope (JEOL, Tokyo). </w:t>
      </w: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i/>
          <w:lang w:val="en-GB"/>
        </w:rPr>
        <w:t xml:space="preserve">2.6. In vitro cytotoxicity assay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Cytotoxicity was assessed with the MTT assay, which measures the reduction of the tetrazolium salt 3-(4,5-dimethylthiazol-2-yl)-2,5-diphenyltetrazolium bromide (MTT) to (aqueous insoluble product) formazan catalysed by mitochondrial succinate dehydrogenase. Cells were cultured in 96-well plates and then treated with medium (control) or UFP suspension for 24 h. The medium was removed and the cells were washed three times with PBS (0.1 mL). RPMI 1640 medium, 0.2 mL, containing MTT (0.5 mg/mL) was added. After incubation for 3 h at 37 °C, the medium was removed and cells were washed with PBS (0.1 mL).  DMSO (0.2 mL) was carefully added to lyse the cells. The plates were shaken for 10 min and the absorbance of each well was read at 450 nm in a spectrophotometer (Multilabel counter Victor Wallac 1420). The values were expressed as % MTT reduction relative to the control.</w:t>
      </w:r>
    </w:p>
    <w:p w:rsidR="001805E5" w:rsidRPr="002D1ED7" w:rsidRDefault="001805E5" w:rsidP="004A3973">
      <w:pPr>
        <w:snapToGrid w:val="0"/>
        <w:spacing w:before="113" w:after="113" w:line="360" w:lineRule="auto"/>
        <w:jc w:val="both"/>
        <w:rPr>
          <w:rFonts w:ascii="Arial" w:hAnsi="Arial"/>
          <w:lang w:val="en-GB"/>
        </w:rPr>
      </w:pPr>
      <w:r w:rsidRPr="002D1ED7">
        <w:rPr>
          <w:rFonts w:ascii="Arial" w:hAnsi="Arial"/>
          <w:i/>
          <w:lang w:val="en-GB"/>
        </w:rPr>
        <w:t>2.7. Alkaline single-cell gel electrophoresis (SCGE, comet assay, pH&gt;13)</w:t>
      </w:r>
      <w:r w:rsidRPr="002D1ED7">
        <w:rPr>
          <w:rFonts w:ascii="Arial" w:hAnsi="Arial"/>
          <w:lang w:val="en-GB"/>
        </w:rPr>
        <w:t xml:space="preserve">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Cells embedded in agarose on a microscope slide were lysed with solution containing detergent and high salt to form nucleoids containing supercoiled loops of DNA. The DNA was allowed to unwind under alkaline conditions in the electrophoresis buffer. Following the unwinding, the DNA underwent electrophoresis at high pH (pH&gt;13), allowing fragmented DNA to migrate away from the nucleus. Give field strength in V/cm Once the slides were dry, they were stained with propidium iodide and observed by fluorescence microscopy [22]. Images of the fluorescent stained nuclei were analyzed using TriTek Comet Score Imaging Software 1.5. Nucleoids were classified in five categories (A, undamaged; B-D, damaged; E, ghost) on the basis of the area and intensity of the tail staining, and DNA damage was quantified as % DNA in the tail (% DNA-Tail), tail length (TL, µm), and tail moment (TM= % DNA-Tail x TL, µm).</w:t>
      </w: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i/>
          <w:lang w:val="en-GB"/>
        </w:rPr>
        <w:t>2.8. Detection of γ-H2AX foci</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After 24 h treatment, A549 cells grown on glass slides were fixed in cold methanol for 10 min. Cells were rehydrated in PBS (3 x 5 min) and permeabilized in PBS containing 0.5% Triton X-100 for 20 min. After blocking for 30 min in 3% BSA in PBS, cells were incubated with mouse anti-γ-H2AX (Millipore, 1:150 in BSA, 1%) for 2 h at room temperature, and, after PBS washing (3 x 5 min), incubated with a secondary anti mouse Alexa Fluor 488 antibody (1:500 Life Technology) for 1 h at room temperature. Nuclei were counterstained with DAPI (Vectasshield Mounting Medium). Images were acquired (60x) with a Nikon Eclipse E600 equipped with a digital camera Axioplan (Nikon, Tokio, Japan). The number of γ-H2AX foci/nucleus was determined using the ImageJ software, and cells classified in three groups (0-5, 6-10, &gt;10 foci) according to the number of foci per nucleus [23].</w:t>
      </w: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i/>
          <w:lang w:val="en-GB"/>
        </w:rPr>
        <w:t>2.9. Oxygen (ROS) and nitrogen (RNS) radicals specie production</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ROS formation was quantified according to Wang et al. [24] with some modifications, using the cell-permeable, non-fluorescent probe 2’,7’-dichlorofluorescin diacetate (DCFDA), which is de-esterified intracellularly and converted to highly fluorescent 2’,7’-dichlorofluorescein upon oxidation. Cells were seeded in black 96-well plates and incubated with 25 μM DCFDA at 37° C for 30 min. After incubation, culture medium was discarded, cells washed with PBS and fluorescence measured using a microplate reader (Multilabel counter Victor Wallac 1420, Perkin–Elmer, Monza, Italy) at 485 nm ex/530 nm em.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RNS formation was quantified using the cell-permeable, non-fluorescent probe DA-FM-DA (4-amino-5-methylamino-2',7'-difluorofluorescein diacetate) [25]. Cells were seeded in black 96-well plates and incubated with 25 μM DA-FM-DA at 37° C for 60 min. After incubation, the culture medium was discarded, the cells were washed with PBS and fluorescence was measured using a microplate reader at 485 nm ex/530 nm em. The results were calculated as fluorescence units (FU)/</w:t>
      </w:r>
      <w:r w:rsidRPr="002D1ED7">
        <w:rPr>
          <w:rFonts w:ascii="Arial" w:hAnsi="Arial" w:cs="Arial"/>
          <w:lang w:val="en-GB"/>
        </w:rPr>
        <w:t>µ</w:t>
      </w:r>
      <w:r w:rsidRPr="002D1ED7">
        <w:rPr>
          <w:rFonts w:ascii="Arial" w:hAnsi="Arial"/>
          <w:lang w:val="en-GB"/>
        </w:rPr>
        <w:t>g total cell protein. Protein concentration was measured by the method of Lowry et al. [26], using bovine serum albumin as standard.</w:t>
      </w:r>
    </w:p>
    <w:p w:rsidR="001805E5" w:rsidRPr="002D1ED7" w:rsidRDefault="001805E5" w:rsidP="004A3973">
      <w:pPr>
        <w:snapToGrid w:val="0"/>
        <w:spacing w:before="113" w:after="113" w:line="360" w:lineRule="auto"/>
        <w:jc w:val="both"/>
        <w:rPr>
          <w:rFonts w:ascii="Arial" w:hAnsi="Arial"/>
          <w:i/>
          <w:lang w:val="en-GB"/>
        </w:rPr>
      </w:pPr>
      <w:r w:rsidRPr="002D1ED7">
        <w:rPr>
          <w:rFonts w:ascii="Arial" w:hAnsi="Arial"/>
          <w:i/>
          <w:lang w:val="en-GB"/>
        </w:rPr>
        <w:t xml:space="preserve">2.10. Statistical analysis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Triplicate experiments were performed with independent samples. The results were analyzed using ANOVA t-test to assess statistical significance, one-way or two-way ANOVA analysis followed by post-hoc Dunnett or Bonferroni tests for multiple comparisons. Results were considered statistically significant at p &lt; 0.05. Analysis was carried out using the software package GraphPad Prism version 6.0. Statistical differences were considered at p&lt;0.05, p&lt;0.01 or p&lt;0.001 levels vs. the control group as indicated in the figures and captions. Results are expressed as mean ± standard deviation.</w:t>
      </w:r>
    </w:p>
    <w:p w:rsidR="001805E5" w:rsidRPr="002D1ED7" w:rsidRDefault="001805E5" w:rsidP="004A3973">
      <w:pPr>
        <w:snapToGrid w:val="0"/>
        <w:spacing w:before="113" w:after="113" w:line="360" w:lineRule="auto"/>
        <w:jc w:val="both"/>
        <w:rPr>
          <w:rFonts w:ascii="Arial" w:hAnsi="Arial"/>
          <w:lang w:val="en-GB"/>
        </w:rPr>
      </w:pPr>
    </w:p>
    <w:p w:rsidR="001805E5" w:rsidRPr="002D1ED7" w:rsidRDefault="001805E5" w:rsidP="005B6941">
      <w:pPr>
        <w:snapToGrid w:val="0"/>
        <w:spacing w:before="113" w:after="113" w:line="360" w:lineRule="auto"/>
        <w:jc w:val="both"/>
        <w:rPr>
          <w:rFonts w:ascii="Arial" w:hAnsi="Arial"/>
          <w:lang w:val="en-GB"/>
        </w:rPr>
      </w:pPr>
      <w:r w:rsidRPr="002D1ED7">
        <w:rPr>
          <w:rFonts w:ascii="Arial" w:hAnsi="Arial"/>
          <w:b/>
          <w:lang w:val="en-GB"/>
        </w:rPr>
        <w:t>3.</w:t>
      </w:r>
      <w:r w:rsidRPr="002D1ED7">
        <w:rPr>
          <w:rFonts w:ascii="Arial" w:hAnsi="Arial"/>
          <w:lang w:val="en-GB"/>
        </w:rPr>
        <w:t xml:space="preserve"> </w:t>
      </w:r>
      <w:r w:rsidRPr="002D1ED7">
        <w:rPr>
          <w:rFonts w:ascii="Arial" w:hAnsi="Arial"/>
          <w:b/>
          <w:lang w:val="en-GB"/>
        </w:rPr>
        <w:t>Results</w:t>
      </w:r>
    </w:p>
    <w:p w:rsidR="001805E5" w:rsidRPr="002D1ED7" w:rsidRDefault="001805E5" w:rsidP="005B6941">
      <w:pPr>
        <w:snapToGrid w:val="0"/>
        <w:spacing w:before="113" w:after="113" w:line="360" w:lineRule="auto"/>
        <w:jc w:val="both"/>
        <w:rPr>
          <w:rFonts w:ascii="Arial" w:hAnsi="Arial"/>
          <w:i/>
          <w:lang w:val="en-GB"/>
        </w:rPr>
      </w:pPr>
      <w:r w:rsidRPr="002D1ED7">
        <w:rPr>
          <w:rFonts w:ascii="Arial" w:hAnsi="Arial"/>
          <w:i/>
          <w:lang w:val="en-GB"/>
        </w:rPr>
        <w:t>3.1. Combustion conditions and UFP composition</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The UFP composition data were pooled into four main categories, based on the appliance operation (i.e., continuous vs. batch-wise) and wood type (beech and fir wood): beech (BP) and fir (FP) pellets combustion in an automatic stove, and the batch-wise combustion of beech (BW) and fir (FW) log wood in the manually fed wood stove. Table 1 reports the emission background information and flue gas average characteristics (e.g., flue gas temperature, flue gas excess oxygen) during the tests. The UFP composition is summarized in Table 2.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The automatic air and fuel supply and the distinguishing traits of the pelletized fuel (i.e., low moisture and small feed size with respect to wood logs) in BP and FP tests favoured a more efficient combustion through optimal mixing of fuel and air. Hence, UFP samples from the pellet stove were mostly ash-related material. Water-soluble inorganic species (WSIS, both cations and anions) accounted for 37% and 39% of the UFP for BP and FP respectively. In both cases, K</w:t>
      </w:r>
      <w:r w:rsidRPr="002D1ED7">
        <w:rPr>
          <w:rFonts w:ascii="Arial" w:hAnsi="Arial"/>
          <w:vertAlign w:val="superscript"/>
          <w:lang w:val="en-GB"/>
        </w:rPr>
        <w:t>+</w:t>
      </w:r>
      <w:r w:rsidRPr="002D1ED7">
        <w:rPr>
          <w:rFonts w:ascii="Arial" w:hAnsi="Arial"/>
          <w:lang w:val="en-GB"/>
        </w:rPr>
        <w:t xml:space="preserve"> and SO</w:t>
      </w:r>
      <w:r w:rsidRPr="002D1ED7">
        <w:rPr>
          <w:rFonts w:ascii="Arial" w:hAnsi="Arial"/>
          <w:vertAlign w:val="subscript"/>
          <w:lang w:val="en-GB"/>
        </w:rPr>
        <w:t>4</w:t>
      </w:r>
      <w:r w:rsidRPr="002D1ED7">
        <w:rPr>
          <w:rFonts w:ascii="Arial" w:hAnsi="Arial"/>
          <w:vertAlign w:val="superscript"/>
          <w:lang w:val="en-GB"/>
        </w:rPr>
        <w:t>--</w:t>
      </w:r>
      <w:r w:rsidRPr="002D1ED7">
        <w:rPr>
          <w:rFonts w:ascii="Arial" w:hAnsi="Arial"/>
          <w:lang w:val="en-GB"/>
        </w:rPr>
        <w:t xml:space="preserve"> were the main constituents of the WSIS (K</w:t>
      </w:r>
      <w:r w:rsidRPr="002D1ED7">
        <w:rPr>
          <w:rFonts w:ascii="Arial" w:hAnsi="Arial"/>
          <w:vertAlign w:val="superscript"/>
          <w:lang w:val="en-GB"/>
        </w:rPr>
        <w:t>+</w:t>
      </w:r>
      <w:r w:rsidRPr="002D1ED7">
        <w:rPr>
          <w:rFonts w:ascii="Arial" w:hAnsi="Arial"/>
          <w:lang w:val="en-GB"/>
        </w:rPr>
        <w:t>: 23% in FP and 25% in BP; SO</w:t>
      </w:r>
      <w:r w:rsidRPr="002D1ED7">
        <w:rPr>
          <w:rFonts w:ascii="Arial" w:hAnsi="Arial"/>
          <w:vertAlign w:val="subscript"/>
          <w:lang w:val="en-GB"/>
        </w:rPr>
        <w:t>4</w:t>
      </w:r>
      <w:r w:rsidRPr="002D1ED7">
        <w:rPr>
          <w:rFonts w:ascii="Arial" w:hAnsi="Arial"/>
          <w:vertAlign w:val="superscript"/>
          <w:lang w:val="en-GB"/>
        </w:rPr>
        <w:t>--</w:t>
      </w:r>
      <w:r w:rsidRPr="002D1ED7">
        <w:rPr>
          <w:rFonts w:ascii="Arial" w:hAnsi="Arial"/>
          <w:lang w:val="en-GB"/>
        </w:rPr>
        <w:t xml:space="preserve">: 12% in FP and 9% in BP). Other minor organic and inorganic ions contents (e.g., nitrite, nitrate, calcium, acetate, formate) were not different between the two type of pellets, except for a higher chloride content for FP tests. TC content of UFP from pellets combustion was higher for FP (13%) than for BP (4%). Trace amounts (about 100 µg/g) of anhydrosugars (AS) and PAHs were observed for all pellet samples without a clear trend between the wood types. The investigated elements accounted on average about 1% of the UFP without a relevant difference between the two wood types. There was great variability of the contributions of the various elements between the samples; however, Zn, Al, and Fe were the three dominant elemental species in all samples. Zn, in particular, was more abundant in FP.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The main difference between the wood log and pellet-burning samples was the higher presence of incomplete combustion products (mainly TC, PAH, AS). Lack of available oxygen in the high temperature zones in the chamber and low temperature combustion with excessive oxygen were the primary reasons for the increase of TC in the UFP from wood log combustion (for 90% FW and 49% for BW). Levoglucosan was the most abundant AS (7% for BW and 2% for FW), followed by mannosan and to a much lesser degree galactosan. Levoglucosan content in UFP samples from BW tests characterized by lower temperatures and higher excess air was about 4-fold higher than in FW samples. Samples from FW tests, on the other hand, characterized by intense combustion conditions (i.e., lowest excess oxygen and highest temperatures), contained about 30-fold higher PAH than BW samples (1 mg/g for BW and 32 mg/g for FW). PAH levels in wood samples were much higher than for pellet samples. The average PAH fingerprints of these samples shifted towards higher MW PAHs (Fig. SM2 in Supplementary Material). Elemental content of the UFP was about half that of pellet UFP, with similar contribution for both wood types. With the pellet UFPs, the three dominant elements were Zn, Al, and Fe. </w:t>
      </w:r>
    </w:p>
    <w:p w:rsidR="001805E5" w:rsidRPr="002D1ED7" w:rsidRDefault="001805E5" w:rsidP="005B6941">
      <w:pPr>
        <w:snapToGrid w:val="0"/>
        <w:spacing w:before="113" w:after="113" w:line="360" w:lineRule="auto"/>
        <w:jc w:val="both"/>
        <w:rPr>
          <w:rFonts w:ascii="Arial" w:hAnsi="Arial"/>
          <w:i/>
          <w:lang w:val="en-GB"/>
        </w:rPr>
      </w:pPr>
      <w:r w:rsidRPr="002D1ED7">
        <w:rPr>
          <w:rFonts w:ascii="Arial" w:hAnsi="Arial"/>
          <w:i/>
          <w:lang w:val="en-GB"/>
        </w:rPr>
        <w:t xml:space="preserve">3.2. Cellular uptake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Intracellular accumulation of different UFP was investigated by TEM observations of cells exposed to UFP (50 </w:t>
      </w:r>
      <w:r w:rsidRPr="002D1ED7">
        <w:rPr>
          <w:rFonts w:ascii="Arial" w:hAnsi="Arial" w:cs="Arial"/>
          <w:lang w:val="en-GB"/>
        </w:rPr>
        <w:t>µ</w:t>
      </w:r>
      <w:r w:rsidRPr="002D1ED7">
        <w:rPr>
          <w:rFonts w:ascii="Arial" w:hAnsi="Arial"/>
          <w:lang w:val="en-GB"/>
        </w:rPr>
        <w:t xml:space="preserve">g/ml) for 24 h. The particles were taken up by the cells and were mainly entrapped in various cytoplasmic compartments (Fig.1). Control cells were all nucleated and had abundant mitochondria in the cytoplasm (Fig.1 A, asterisk). All of the kinds of ultrafine particles were internalised by A549 cells, and appear aggregated in clusters. UFPs were never observed in nuclei but this may depend on observation time (data not shown). Ultrafine particles from fir pellet combustion were exclusively localized in mitochondria as small aggregates (Fig.1 B, arrows), while those from beech pellets were found as big aggregates in the cytoplasm only (Fig. 1 C, arrows). On the other hand, ultrafine particles from beech wood combustion in the wood stove were found in the cytoplasm (Fig.1 D, arrows). They were also localized in mitochondrial cristae (Fig.1 D, asterisk and arrows). </w:t>
      </w:r>
    </w:p>
    <w:p w:rsidR="001805E5" w:rsidRPr="002D1ED7" w:rsidRDefault="001805E5" w:rsidP="005B6941">
      <w:pPr>
        <w:snapToGrid w:val="0"/>
        <w:spacing w:before="113" w:after="113" w:line="360" w:lineRule="auto"/>
        <w:jc w:val="both"/>
        <w:rPr>
          <w:rFonts w:ascii="Arial" w:hAnsi="Arial"/>
          <w:i/>
          <w:lang w:val="en-GB"/>
        </w:rPr>
      </w:pPr>
      <w:r w:rsidRPr="002D1ED7">
        <w:rPr>
          <w:rFonts w:ascii="Arial" w:hAnsi="Arial"/>
          <w:i/>
          <w:lang w:val="en-GB"/>
        </w:rPr>
        <w:t>3.3. MTT test</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UFP cytotoxicity was evaluated by the MTT assay. Each sample (logwood or pellets) was tested at 50 and 100 µg/mL. All samples caused &lt;40% toxicity at all doses tested, allowing the use of 50 and 100 µg/mL concentrations for subsequent genotoxicity experiments. Cytotoxicity increased with dose. Significant differences compared to control samples were found for all samples, with the exception of FP at 50 µg/mL (Fig. 2). The overall comparison showed similar results for BP, FW and BW; higher cytotoxicity was associated with FW combustion. </w:t>
      </w:r>
    </w:p>
    <w:p w:rsidR="001805E5" w:rsidRPr="002D1ED7" w:rsidRDefault="001805E5" w:rsidP="005B6941">
      <w:pPr>
        <w:snapToGrid w:val="0"/>
        <w:spacing w:before="113" w:after="113" w:line="360" w:lineRule="auto"/>
        <w:jc w:val="both"/>
        <w:rPr>
          <w:rFonts w:ascii="Arial" w:hAnsi="Arial"/>
          <w:i/>
          <w:lang w:val="en-GB"/>
        </w:rPr>
      </w:pPr>
      <w:r w:rsidRPr="002D1ED7">
        <w:rPr>
          <w:rFonts w:ascii="Arial" w:hAnsi="Arial"/>
          <w:i/>
          <w:lang w:val="en-GB"/>
        </w:rPr>
        <w:t>3.4. Comet assay</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TL data showed significant DNA damage (single- and double-strand breaks; SSBs and DSBs) for all samples: pellet data was twice that for control cells and logwood data was twice as high as pellet data, except that BW50 was comparable to pellet results) (Fig. 3).</w:t>
      </w:r>
    </w:p>
    <w:p w:rsidR="001805E5" w:rsidRDefault="001805E5" w:rsidP="005B6941">
      <w:pPr>
        <w:snapToGrid w:val="0"/>
        <w:spacing w:before="113" w:after="113" w:line="360" w:lineRule="auto"/>
        <w:jc w:val="both"/>
        <w:rPr>
          <w:rFonts w:ascii="Arial" w:hAnsi="Arial"/>
          <w:lang w:val="en-GB"/>
        </w:rPr>
      </w:pPr>
    </w:p>
    <w:p w:rsidR="001805E5" w:rsidRPr="002D1ED7" w:rsidRDefault="001805E5" w:rsidP="005B6941">
      <w:pPr>
        <w:snapToGrid w:val="0"/>
        <w:spacing w:before="113" w:after="113" w:line="360" w:lineRule="auto"/>
        <w:jc w:val="both"/>
        <w:rPr>
          <w:rFonts w:ascii="Arial" w:hAnsi="Arial"/>
          <w:i/>
          <w:lang w:val="en-GB"/>
        </w:rPr>
      </w:pPr>
      <w:r w:rsidRPr="002D1ED7">
        <w:rPr>
          <w:rFonts w:ascii="Arial" w:hAnsi="Arial"/>
          <w:i/>
          <w:lang w:val="en-GB"/>
        </w:rPr>
        <w:t>3.5. Gamma-H2AX assay</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cs="Arial"/>
          <w:lang w:val="en-GB"/>
        </w:rPr>
        <w:t>γ-</w:t>
      </w:r>
      <w:r w:rsidRPr="002D1ED7">
        <w:rPr>
          <w:rFonts w:ascii="Arial" w:hAnsi="Arial"/>
          <w:lang w:val="en-GB"/>
        </w:rPr>
        <w:t xml:space="preserve">H2AX was investigated to study induction of DNA breaks. All samples from logwood or pellet combustion were tested at 50 </w:t>
      </w:r>
      <w:r w:rsidRPr="002D1ED7">
        <w:rPr>
          <w:rFonts w:ascii="Arial" w:hAnsi="Arial" w:cs="Arial"/>
          <w:lang w:val="en-GB"/>
        </w:rPr>
        <w:t>µ</w:t>
      </w:r>
      <w:r w:rsidRPr="002D1ED7">
        <w:rPr>
          <w:rFonts w:ascii="Arial" w:hAnsi="Arial"/>
          <w:lang w:val="en-GB"/>
        </w:rPr>
        <w:t>g/mL. No statistical difference was found among samples but all showed a significant increase in DNA DSBs compared to controls (Fig. 4-5). Largest significant changes were observed in % of cells with &gt; 10 foci  (p&lt;0.01 and p&lt;0.001).</w:t>
      </w:r>
    </w:p>
    <w:p w:rsidR="001805E5" w:rsidRPr="002D1ED7" w:rsidRDefault="001805E5" w:rsidP="005B6941">
      <w:pPr>
        <w:snapToGrid w:val="0"/>
        <w:spacing w:before="113" w:after="113" w:line="360" w:lineRule="auto"/>
        <w:jc w:val="both"/>
        <w:rPr>
          <w:rFonts w:ascii="Arial" w:hAnsi="Arial"/>
          <w:i/>
          <w:lang w:val="en-GB"/>
        </w:rPr>
      </w:pPr>
      <w:r w:rsidRPr="002D1ED7">
        <w:rPr>
          <w:rFonts w:ascii="Arial" w:hAnsi="Arial"/>
          <w:i/>
          <w:lang w:val="en-GB"/>
        </w:rPr>
        <w:t>3.6. Evaluation of intracellular reactive species of oxygen and nitrogen (ROS and RNS)</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Reactive oxygen and nitrogen species cause direct and indirect damage to DNA, protein, and cell membranes. A549 cells were treated with UFP, 50-100 µg/mL. ROS and RNS were assessed after 24 h treatment, when UFP internalization was complete (Fig. 6). Formation of ROS (expressed as FU/µg protein) peaked at 10-30 min, with increasing   statistical significance for pellet UFPs, and remained up to 60 min. Production of ROS was not observed after 24 h except for beech wood samples. The RNS peak, on the other hand, was evident after 10 min for all treatments, but statistically significant at 24 h only for beech wood UFPs (Fig. 6-7).</w:t>
      </w:r>
    </w:p>
    <w:p w:rsidR="001805E5" w:rsidRPr="002D1ED7" w:rsidRDefault="001805E5" w:rsidP="005B6941">
      <w:pPr>
        <w:snapToGrid w:val="0"/>
        <w:spacing w:before="113" w:after="113" w:line="360" w:lineRule="auto"/>
        <w:jc w:val="both"/>
        <w:rPr>
          <w:rFonts w:ascii="Arial" w:hAnsi="Arial"/>
          <w:i/>
          <w:lang w:val="en-GB"/>
        </w:rPr>
      </w:pPr>
      <w:r w:rsidRPr="002D1ED7">
        <w:rPr>
          <w:rFonts w:ascii="Arial" w:hAnsi="Arial"/>
          <w:i/>
          <w:lang w:val="en-GB"/>
        </w:rPr>
        <w:t>3.7. UFP mass- and energy-weighted toxicity</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Table 3 reports the toxicity relative to equal UFP mass doses. The minimum response is indicated with ??. The Table also shows the responses weighted by the energy output of the appliances. At 50 µg/ml, the same amount of UFP caused minimum cytotoxicity for FP; other values were more than two-fold higher: comparable values were observed between BW and BP, whereas highest cytotoxicity was observed for FW. No clear relationship was seen between cytotoxicity and UFP composition. Similar genotoxic responses (tail length) were detected in all samples except FW. The enrichment in PAH of FW samples suggests that these compounds are the genotoxicants causing the DNA damage observed. Further investigation of genotoxicity (DSBs) revealed comparable damage induced by all the samples, with least damage caused by BW. No clear association was found with composition. ROS (after 1 h) was higher for pellet samples and seemed to be related to the elemental content of UFP (especially Al). RNS formation (after 10 min), although giving significantly different values between the investigated cases, did not show any trend, either for the type of appliance or for the wood type.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The responses were also assessed with respect to the energy and environmental performances of the appliances, which determine the emissions and consequently the ambient exposures. This representation of data enhanced the differences observed between the investigated appliances, in favour of the appliance with higher efficiency (pellet stove). Normalizing the data to the energy output of the system revealed that the energy-weighted toxic response of the beech wood log combustion was significantly higher (1.8 to 4.8-fold) than for the other cases investigated. This result highlights increased risk of DNA damage from exposure to emissions from the combustion of high-ash content fuels in batch-wise appliances. </w:t>
      </w:r>
    </w:p>
    <w:p w:rsidR="001805E5" w:rsidRPr="002D1ED7" w:rsidRDefault="001805E5" w:rsidP="005B6941">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r w:rsidRPr="002D1ED7">
        <w:rPr>
          <w:rFonts w:ascii="Arial" w:hAnsi="Arial"/>
          <w:b/>
          <w:lang w:val="en-GB"/>
        </w:rPr>
        <w:t>4. Discussion</w:t>
      </w:r>
      <w:r w:rsidRPr="002D1ED7">
        <w:rPr>
          <w:rFonts w:ascii="Arial" w:hAnsi="Arial"/>
          <w:lang w:val="en-GB"/>
        </w:rPr>
        <w:t xml:space="preserve">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Literature data on the toxicity of particles resulting from biomass combustion are sometimes difficult to compare. The most significant differences in the experiments are related to combustion conditions, affecting  the properties of the UFPs emitted and the wood types [27,28]. The particles used for our experiments were specific for size (&lt;100 nm) and were emitted from the combustion of pellets or firewood (fir and beech). All</w:t>
      </w:r>
      <w:r w:rsidRPr="002D1ED7">
        <w:rPr>
          <w:lang w:val="en-GB"/>
        </w:rPr>
        <w:t xml:space="preserve"> </w:t>
      </w:r>
      <w:r w:rsidRPr="002D1ED7">
        <w:rPr>
          <w:rFonts w:ascii="Arial" w:hAnsi="Arial"/>
          <w:lang w:val="en-GB"/>
        </w:rPr>
        <w:t>types UFPs emitted by woody biomass combustion were taken up by A549 cells within 24 h of treatment. Furthermore, in agreement with other authors, the presence of serum in the treatment medium facilitates entrance into the cells, because the protein corona stabilizes UFPs in medium, facilitating translocation [15,29].</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All UFPs elicited DNA damage after 24 h treatment, as shown by the alkaline comet  assay (SSBs, alkali-labile and apurinic sites), and by evaluation of phosphorylated sites by the gamma-H2AX test (DSBs). Already at 50 </w:t>
      </w:r>
      <w:r w:rsidRPr="002D1ED7">
        <w:rPr>
          <w:rFonts w:ascii="Arial" w:hAnsi="Arial" w:cs="Arial"/>
          <w:lang w:val="en-GB"/>
        </w:rPr>
        <w:t>µ</w:t>
      </w:r>
      <w:r w:rsidRPr="002D1ED7">
        <w:rPr>
          <w:rFonts w:ascii="Arial" w:hAnsi="Arial"/>
          <w:lang w:val="en-GB"/>
        </w:rPr>
        <w:t>g/ml, damage not associated with cytotoxicity was observed. The fir wood log UFPs caused the greatest DNA damage, while there were no differences numbers of phosphorylated foci correlated with UFP</w:t>
      </w:r>
      <w:r w:rsidRPr="002D1ED7" w:rsidDel="00336A66">
        <w:rPr>
          <w:rFonts w:ascii="Arial" w:hAnsi="Arial"/>
          <w:lang w:val="en-GB"/>
        </w:rPr>
        <w:t xml:space="preserve"> </w:t>
      </w:r>
      <w:r w:rsidRPr="002D1ED7">
        <w:rPr>
          <w:rFonts w:ascii="Arial" w:hAnsi="Arial"/>
          <w:lang w:val="en-GB"/>
        </w:rPr>
        <w:t>type.</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Alteration of cellular redox status was a possible cause of DNA damage: ROS and RNS were probably generated directly by the particle surface at short times but also as secondary processes due to the inflammatory response. In a previous paper</w:t>
      </w:r>
      <w:r w:rsidRPr="002D1ED7">
        <w:rPr>
          <w:lang w:val="en-GB"/>
        </w:rPr>
        <w:t xml:space="preserve"> </w:t>
      </w:r>
      <w:r w:rsidRPr="002D1ED7">
        <w:rPr>
          <w:rFonts w:ascii="Arial" w:hAnsi="Arial"/>
          <w:lang w:val="en-GB"/>
        </w:rPr>
        <w:t>[16], we demonstrated that pro-inflammatory IL-8 appears to be less important in the lung epithelial cells A549 compared to the monocyte cell line THP-1. Although human lung cells were less sensitive, a greater effect was evident with wood log UFPs compared to pellet UFPs. In the literature, few reports show a correlation between these pyrolysis products and inflammatory/ toxic effects [28-30].</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 xml:space="preserve">Carbohydrate pyrolysates have tumor-initiating activity in the two-stage mouse skin carcinogenesis model [31]. Literature data report strong associations between reactive oxygen species production and concentrations of galactosan, levoglucosan, and potassium in wood smoke particles [28,30]. However, genotoxicity and inflammatory potential do not correlate well in in vitro experiments, implying that the factors determining  the two endpoints are different [16,32]. </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UFPs generated from the batch-wise room heater had much higher PAH fraction than UFPs from pellet combustion. These compounds may contribute to DNA damage. PAH metabolites form bulky DNA adducts and cause oxidative DNA damage. Many PAHs are ligands for the aryl hydrocarbon receptor, a transcription factor regulating expression of PAH bioactivating enzymes [32,33].</w:t>
      </w:r>
    </w:p>
    <w:p w:rsidR="001805E5" w:rsidRPr="002D1ED7" w:rsidRDefault="001805E5" w:rsidP="006263D1">
      <w:pPr>
        <w:snapToGrid w:val="0"/>
        <w:spacing w:before="113" w:after="113" w:line="360" w:lineRule="auto"/>
        <w:ind w:firstLine="708"/>
        <w:jc w:val="both"/>
        <w:rPr>
          <w:rFonts w:ascii="Arial" w:hAnsi="Arial"/>
          <w:lang w:val="en-GB"/>
        </w:rPr>
      </w:pPr>
      <w:r w:rsidRPr="002D1ED7">
        <w:rPr>
          <w:rFonts w:ascii="Arial" w:hAnsi="Arial"/>
          <w:lang w:val="en-GB"/>
        </w:rPr>
        <w:t>In conclusion, UFP samples were genotoxic to human lung epithelial cells (A549). In all appliance and fuel-type combinations investigated, study of UFP chemical composition suggested a combined effect of anhydrosugars (especially levoglucosan), elemental content (especially Fe, Al), and PAHs. The combustion of firewood in batch-wise appliances in general, and the use of high ash content woods in particular, can cause increased relative (i.e., referred to unit thermal energy output) genotoxic potential. The energy-weighted effect is more representative of particulate exposures than reference to an equal mass dose of UFPs.</w:t>
      </w: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Pr="002D1ED7" w:rsidRDefault="001805E5" w:rsidP="0025445B">
      <w:pPr>
        <w:snapToGrid w:val="0"/>
        <w:spacing w:before="113" w:after="113" w:line="360" w:lineRule="auto"/>
        <w:jc w:val="both"/>
        <w:rPr>
          <w:rFonts w:ascii="Arial" w:hAnsi="Arial"/>
          <w:lang w:val="en-GB"/>
        </w:rPr>
      </w:pPr>
    </w:p>
    <w:p w:rsidR="001805E5" w:rsidRDefault="001805E5" w:rsidP="00A9162D">
      <w:pPr>
        <w:autoSpaceDE w:val="0"/>
        <w:autoSpaceDN w:val="0"/>
        <w:adjustRightInd w:val="0"/>
        <w:ind w:left="640" w:hanging="640"/>
        <w:rPr>
          <w:rFonts w:ascii="Arial" w:hAnsi="Arial" w:cs="Arial"/>
          <w:lang w:val="en-GB"/>
        </w:rPr>
      </w:pPr>
    </w:p>
    <w:p w:rsidR="001805E5" w:rsidRDefault="001805E5" w:rsidP="00A9162D">
      <w:pPr>
        <w:autoSpaceDE w:val="0"/>
        <w:autoSpaceDN w:val="0"/>
        <w:adjustRightInd w:val="0"/>
        <w:ind w:left="640" w:hanging="640"/>
        <w:rPr>
          <w:rFonts w:ascii="Arial" w:hAnsi="Arial" w:cs="Arial"/>
          <w:lang w:val="en-GB"/>
        </w:rPr>
      </w:pPr>
    </w:p>
    <w:p w:rsidR="001805E5" w:rsidRPr="002D1ED7" w:rsidRDefault="001805E5" w:rsidP="00A9162D">
      <w:pPr>
        <w:autoSpaceDE w:val="0"/>
        <w:autoSpaceDN w:val="0"/>
        <w:adjustRightInd w:val="0"/>
        <w:ind w:left="640" w:hanging="640"/>
        <w:rPr>
          <w:rFonts w:ascii="Arial" w:hAnsi="Arial" w:cs="Arial"/>
          <w:b/>
          <w:i/>
          <w:lang w:val="en-GB"/>
        </w:rPr>
      </w:pPr>
      <w:r w:rsidRPr="002D1ED7">
        <w:rPr>
          <w:rFonts w:ascii="Arial" w:hAnsi="Arial" w:cs="Arial"/>
          <w:b/>
          <w:i/>
          <w:lang w:val="en-GB"/>
        </w:rPr>
        <w:t>References</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w:t>
      </w:r>
      <w:r w:rsidRPr="002D1ED7">
        <w:rPr>
          <w:rFonts w:ascii="Arial" w:hAnsi="Arial" w:cs="Arial"/>
          <w:lang w:val="en-GB"/>
        </w:rPr>
        <w:tab/>
        <w:t>J. Jokiniemi, K. Hytönen, J. Tissari, I. Obernberger, T. Brunner, G. Bärnthaler, J. Friesenbichler, R.O. Salonen, M.-R. Hirvonen, P. Jalava, A. Pennanen, M. Happo, M. Vallius, P. Markkanen, Biomass combustion in residential heating: particulate measurements, sampling, and physicochemical and toxicological characterisation., Univ. KUOPIO Dep. Environ. Sci. Fine Part. Aerosol Technol. Lab. (2008). http://www.bios-bioenergy.at/uploads/media/Paper-Obernberger-Biomass-Combustion-in-Residential-Heating-2008-01-01.pdf (accessed March 3, 2017).</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w:t>
      </w:r>
      <w:r w:rsidRPr="002D1ED7">
        <w:rPr>
          <w:rFonts w:ascii="Arial" w:hAnsi="Arial" w:cs="Arial"/>
          <w:lang w:val="en-GB"/>
        </w:rPr>
        <w:tab/>
        <w:t>A. Kocbach Bølling, J. Pagels, K.E. Yttri, L. Barregard, G. Sallsten, P.E. Schwarze, C. Boman, Health effects of residential wood smoke particles: the importance of combustion conditions and physicochemical particle properties, Part. Fibre Toxicol. 6 (2009) 29. doi:10.1186/1743-8977-6-29.</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[3]</w:t>
      </w:r>
      <w:r w:rsidRPr="002D1ED7">
        <w:rPr>
          <w:rFonts w:ascii="Arial" w:hAnsi="Arial" w:cs="Arial"/>
          <w:lang w:val="en-GB"/>
        </w:rPr>
        <w:tab/>
        <w:t>A.G. Russell, B. Brunekreef, A focus on particulate matter and health, Environ. Sci. Technol. 43 (2009) 4620–4625. doi:10.1021/es9005459.</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[4]</w:t>
      </w:r>
      <w:r w:rsidRPr="002D1ED7">
        <w:rPr>
          <w:rFonts w:ascii="Arial" w:hAnsi="Arial" w:cs="Arial"/>
          <w:lang w:val="en-GB"/>
        </w:rPr>
        <w:tab/>
        <w:t>M. Sehlstedt, R. Dove, C. Boman, J. Pagels, E. Swietlicki, J. Löndahl, R. Westerholm, J. Bosson, S. Barath, A.F. Behndig, J. Pourazar, T. Sandström, I.S. Mudway, A. Blomberg, Antioxidant airway responses following experimental exposure to wood smoke in man, Part. Fibre Toxicol. 7 (2010) 21. doi:10.1186/1743-8977-7-21.</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[5]</w:t>
      </w:r>
      <w:r w:rsidRPr="002D1ED7">
        <w:rPr>
          <w:rFonts w:ascii="Arial" w:hAnsi="Arial" w:cs="Arial"/>
          <w:lang w:val="en-GB"/>
        </w:rPr>
        <w:tab/>
        <w:t>L.P. Naeher, M. Brauer, M. Lipsett, J.T. Zelikoff, C.D. Simpson, J.Q. Koenig, K.R. Smith, Woodsmoke health effects: a review, Inhal Toxicol. 19 (2007) 67–106. doi:10.1080/08958370600985875.</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[6]</w:t>
      </w:r>
      <w:r w:rsidRPr="002D1ED7">
        <w:rPr>
          <w:rFonts w:ascii="Arial" w:hAnsi="Arial" w:cs="Arial"/>
          <w:lang w:val="en-GB"/>
        </w:rPr>
        <w:tab/>
        <w:t>G. Norris, S.N. YoungPong, J.Q. Koenig, T. V Larson, L. Sheppard, J.W. Stout, An association between fine particles and asthma emergency department visits for children in Seattle, Environ. Health Perspect. 107 (1999) 489–493. doi:10.2307/3434632.</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[7]</w:t>
      </w:r>
      <w:r w:rsidRPr="002D1ED7">
        <w:rPr>
          <w:rFonts w:ascii="Arial" w:hAnsi="Arial" w:cs="Arial"/>
          <w:lang w:val="en-GB"/>
        </w:rPr>
        <w:tab/>
        <w:t>L. Barregard, G. Sällsten, P. Gustafson, L. Andersson, L. Johansson, S. Basu, L. Stigendal, Experimental exposure to wood-smoke particles in healthy humans: effects on markers of inflammation, coagulation, and lipid peroxidation, Inhal. Toxicol. 18 (2006) 845–853. doi:10.1080/08958370600685798.</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[8]</w:t>
      </w:r>
      <w:r w:rsidRPr="002D1ED7">
        <w:rPr>
          <w:rFonts w:ascii="Arial" w:hAnsi="Arial" w:cs="Arial"/>
          <w:lang w:val="en-GB"/>
        </w:rPr>
        <w:tab/>
        <w:t>P.H. Danielsen, S. Loft, A. Kocbach, P.E. Schwarze, P. M</w:t>
      </w:r>
      <w:r w:rsidRPr="002D1ED7">
        <w:rPr>
          <w:rFonts w:ascii="Arial" w:hAnsi="Arial" w:cs="Arial"/>
          <w:lang w:val="en-GB"/>
        </w:rPr>
        <w:sym w:font="WP MultinationalA Courier" w:char="F05F"/>
      </w:r>
      <w:r w:rsidRPr="002D1ED7">
        <w:rPr>
          <w:rFonts w:ascii="Arial" w:hAnsi="Arial" w:cs="Arial"/>
          <w:lang w:val="en-GB"/>
        </w:rPr>
        <w:t>ller, Oxidative damage to DNA and repair induced by Norwegian wood smoke particles in human A549 and THP-1 cell lines, Mutat. Res. 674 (2009) 116–122. doi:10.1016/j.mrgentox.2008.10.014.</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[9]</w:t>
      </w:r>
      <w:r w:rsidRPr="002D1ED7">
        <w:rPr>
          <w:rFonts w:ascii="Arial" w:hAnsi="Arial" w:cs="Arial"/>
          <w:lang w:val="en-GB"/>
        </w:rPr>
        <w:tab/>
        <w:t>P.-L. Liu, Y.-L.Y.-H. Chen, Y.-L.Y.-H. Chen, S.-J. Lin, Y.R. Kou, Wood smoke extract induces oxidative stress-mediated caspase-independent apoptosis in human lung endothelial cells: role of AIF and EndoG, Am. J. Physiol. Lung Cell. Mol. Physiol. 289 (2005) L739–L749. doi:10.1152/ajplung.00099.2005.</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[10]</w:t>
      </w:r>
      <w:r w:rsidRPr="002D1ED7">
        <w:rPr>
          <w:rFonts w:ascii="Arial" w:hAnsi="Arial" w:cs="Arial"/>
          <w:lang w:val="en-GB"/>
        </w:rPr>
        <w:tab/>
        <w:t>S. Salvi, S.T. Holgate, Mechanisms of particulate matter toxicity, Clin. Exp. Allergy. 29 (1999) 1187–1194. doi:10.1046/j.1365-2222.1999.00576.x.</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[11]</w:t>
      </w:r>
      <w:r w:rsidRPr="002D1ED7">
        <w:rPr>
          <w:rFonts w:ascii="Arial" w:hAnsi="Arial" w:cs="Arial"/>
          <w:lang w:val="en-GB"/>
        </w:rPr>
        <w:tab/>
        <w:t>E. Corsini, S. Budello, L. Marabini, V. Galbiati, A. Piazzalunga, P. Barbieri, S. Cozzutto, M. Marinovich, D. Pitea, C.L. Galli, Comparison of wood smoke PM2.5 obtained from the combustion of FIR and beech pellets on inflammation and DNA damage in A549 and THP-1 human cell lines, Arch. Toxicol. 87 (2013) 2187–2199. doi:10.1007/s00204-013-1071-z.</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[12]</w:t>
      </w:r>
      <w:r w:rsidRPr="002D1ED7">
        <w:rPr>
          <w:rFonts w:ascii="Arial" w:hAnsi="Arial" w:cs="Arial"/>
          <w:lang w:val="en-GB"/>
        </w:rPr>
        <w:tab/>
        <w:t>L. Barregard, G. Sallsten, L. Andersson, A.-C. Almstrand, P. Gustafson, M. Andersson, A.-C. Olin, Experimental exposure to wood smoke: effects on airway inflammation and oxidative stress, Occup. Environ. Med. 65 (2008) 319–324. doi:10.1136/oem.2006.032458.</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[13]</w:t>
      </w:r>
      <w:r w:rsidRPr="002D1ED7">
        <w:rPr>
          <w:rFonts w:ascii="Arial" w:hAnsi="Arial" w:cs="Arial"/>
          <w:lang w:val="en-GB"/>
        </w:rPr>
        <w:tab/>
        <w:t>P.H. Danielsen, E.V. Bräuner, L. Barregard, G. Sällsten, M. Wallin, R. Olinski, R. Rozalski, P. Møller, S. Loft, Oxidatively damaged DNA and its repair after experimental exposure to wood smoke in healthy humans, Mutat. Res. 642 (2008) 37–42. doi:10.1016/j.mrfmmm.2008.04.001.</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[14]</w:t>
      </w:r>
      <w:r w:rsidRPr="002D1ED7">
        <w:rPr>
          <w:rFonts w:ascii="Arial" w:hAnsi="Arial" w:cs="Arial"/>
          <w:lang w:val="en-GB"/>
        </w:rPr>
        <w:tab/>
        <w:t>G. Sällsten, P. Gustafson, L. Johansson, S. Johannesson, P. Molnár, B. Strandberg, C. Tullin, L. Barregard, Experimental wood smoke exposure in humans. Inhal. Toxicol. 18 (2006) 855–64. doi:10.1080/08958370600822391.</w:t>
      </w:r>
    </w:p>
    <w:p w:rsidR="001805E5" w:rsidRPr="002D1ED7" w:rsidRDefault="001805E5" w:rsidP="00ED35D3">
      <w:pPr>
        <w:autoSpaceDE w:val="0"/>
        <w:autoSpaceDN w:val="0"/>
        <w:adjustRightInd w:val="0"/>
        <w:ind w:left="640" w:hanging="640"/>
        <w:rPr>
          <w:rFonts w:ascii="Arial" w:hAnsi="Arial" w:cs="Arial"/>
        </w:rPr>
      </w:pPr>
      <w:r w:rsidRPr="002D1ED7">
        <w:rPr>
          <w:rFonts w:ascii="Arial" w:hAnsi="Arial" w:cs="Arial"/>
          <w:lang w:val="en-GB"/>
        </w:rPr>
        <w:t>[15]</w:t>
      </w:r>
      <w:r w:rsidRPr="002D1ED7">
        <w:rPr>
          <w:rFonts w:ascii="Arial" w:hAnsi="Arial" w:cs="Arial"/>
          <w:lang w:val="en-GB"/>
        </w:rPr>
        <w:tab/>
        <w:t xml:space="preserve">A. Muala, G. Rankin, M. Sehlstedt, J. Unosson, J.A. Bosson, A. Behndig, J. Pourazar, R. Nyström, E. Pettersson, C. Bergvall, R. Westerholm, P.I. Jalava, M.S. Happo, O. Uski, M.-R. Hirvonen, F.J. Kelly, I.S. Mudway, A. Blomberg, C. Boman, T. Sandström, Acute exposure to wood smoke from incomplete combustion--indications of cytotoxicity, Part. </w:t>
      </w:r>
      <w:r w:rsidRPr="002D1ED7">
        <w:rPr>
          <w:rFonts w:ascii="Arial" w:hAnsi="Arial" w:cs="Arial"/>
        </w:rPr>
        <w:t>Fibre Toxicol. 12 (2015) 33. doi:10.1186/s12989-015-0111-7.</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rPr>
        <w:t>[16]</w:t>
      </w:r>
      <w:r w:rsidRPr="002D1ED7">
        <w:rPr>
          <w:rFonts w:ascii="Arial" w:hAnsi="Arial" w:cs="Arial"/>
        </w:rPr>
        <w:tab/>
        <w:t xml:space="preserve">E. Corsini, S. Ozgen, A. Papale, V. Galbiati, G. Lonati, P. Fermo, L. Corbella, G. Valli, V. Bernardoni, M. Dell’Acqua, S. Becagli, D. Caruso, R. Vecchi, C.L. Galli, M. Marinovich, Insights on wood combustion generated proinflammatory ultrafine particles (UFP), Toxicol. </w:t>
      </w:r>
      <w:r w:rsidRPr="002D1ED7">
        <w:rPr>
          <w:rFonts w:ascii="Arial" w:hAnsi="Arial" w:cs="Arial"/>
          <w:lang w:val="en-GB"/>
        </w:rPr>
        <w:t>Lett. 266 (2016) 74–84. doi:10.1016/j.toxlet.2016.12.005.</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[17]</w:t>
      </w:r>
      <w:r w:rsidRPr="002D1ED7">
        <w:rPr>
          <w:rFonts w:ascii="Arial" w:hAnsi="Arial" w:cs="Arial"/>
          <w:lang w:val="en-GB"/>
        </w:rPr>
        <w:tab/>
        <w:t>J. Leskinen, J. Tissari, O. Uski, A. Virén, T. Torvela, T. Kaivosoja, H. Lamberg, I. Nuutinen, T. Kettunen, J. Joutsensaari, P.I. Jalava, O. Sippula, M.-R. Hirvonen, J. Jokiniemi, Fine particle emissions in three different combustion conditions of a wood chip-fired appliance – Particulate physico-chemical properties and induced cell death, Atmos. Environ. 86 (2014) 129–139. doi:10.1016/j.atmosenv.2013.12.012.</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[18]</w:t>
      </w:r>
      <w:r w:rsidRPr="002D1ED7">
        <w:rPr>
          <w:rFonts w:ascii="Arial" w:hAnsi="Arial" w:cs="Arial"/>
          <w:lang w:val="en-GB"/>
        </w:rPr>
        <w:tab/>
        <w:t>S. Ozgen, S. Cernuschi, M. Giugliano, Experimental evaluation of particle number emissions from wood combustion in a closed fireplace, Biomass and Bioenergy. 50 (2013) 65–74. doi:10.1016/j.biombioe.2013.01.015.</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[19]</w:t>
      </w:r>
      <w:r w:rsidRPr="002D1ED7">
        <w:rPr>
          <w:rFonts w:ascii="Arial" w:hAnsi="Arial" w:cs="Arial"/>
          <w:lang w:val="en-GB"/>
        </w:rPr>
        <w:tab/>
        <w:t>S. Ozgen, S. Caserini, S. Galante, M. Giugliano, E. Angelino, A. Marongiu, F. Hugony, G. Migliavacca, C. Morreale, Emission factors from small scale appliances burning wood and pellets, Atmos. Environ. 94 (2014) 144–153. doi:10.1016/j.atmosenv.2014.05.032.</w:t>
      </w:r>
    </w:p>
    <w:p w:rsidR="001805E5" w:rsidRPr="002D1ED7" w:rsidRDefault="001805E5" w:rsidP="00ED35D3">
      <w:pPr>
        <w:autoSpaceDE w:val="0"/>
        <w:autoSpaceDN w:val="0"/>
        <w:adjustRightInd w:val="0"/>
        <w:ind w:left="640" w:hanging="640"/>
        <w:rPr>
          <w:rFonts w:ascii="Arial" w:hAnsi="Arial" w:cs="Arial"/>
        </w:rPr>
      </w:pPr>
      <w:r w:rsidRPr="002D1ED7">
        <w:rPr>
          <w:rFonts w:ascii="Arial" w:hAnsi="Arial" w:cs="Arial"/>
          <w:lang w:val="en-GB"/>
        </w:rPr>
        <w:t>[20]</w:t>
      </w:r>
      <w:r w:rsidRPr="002D1ED7">
        <w:rPr>
          <w:rFonts w:ascii="Arial" w:hAnsi="Arial" w:cs="Arial"/>
          <w:lang w:val="en-GB"/>
        </w:rPr>
        <w:tab/>
        <w:t xml:space="preserve">M. Durga, S. Nathiya, A. Rajasekar, T. Devasena, Effects of ultrafine petrol exhaust particles on cytotoxicity, oxidative stress generation, DNA damage and inflammation in human A549 lung cells and murine RAW 264.7 macrophages, Environ. </w:t>
      </w:r>
      <w:r w:rsidRPr="002D1ED7">
        <w:rPr>
          <w:rFonts w:ascii="Arial" w:hAnsi="Arial" w:cs="Arial"/>
        </w:rPr>
        <w:t>Toxicol. Pharmacol. 38 (2014) 518–30. doi:10.1016/j.etap.2014.08.003.</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rPr>
        <w:t>[21]</w:t>
      </w:r>
      <w:r w:rsidRPr="002D1ED7">
        <w:rPr>
          <w:rFonts w:ascii="Arial" w:hAnsi="Arial" w:cs="Arial"/>
        </w:rPr>
        <w:tab/>
        <w:t xml:space="preserve">E.  Corsini, R.Vecchi, L.Marabini, P. Fermo, S. Becagli, V.  Bernardoni, D. Caruso, L. Corbella, M. Dell’Acqua, C. L. Galli, G.  </w:t>
      </w:r>
      <w:r w:rsidRPr="002D1ED7">
        <w:rPr>
          <w:rFonts w:ascii="Arial" w:hAnsi="Arial" w:cs="Arial"/>
          <w:lang w:val="en-GB"/>
        </w:rPr>
        <w:t>Lonati, S. Ozgen, A. Papale, S. Signorini, R. Tardivo,, G. Valli, M. Marinovich, ultrafine particles chemical composition and biological effects: ambient air measurements at an alpine town impacted by wood burning, Sci. Total Environ. 587 (2017) 223-231.</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[22]</w:t>
      </w:r>
      <w:r w:rsidRPr="002D1ED7">
        <w:rPr>
          <w:rFonts w:ascii="Arial" w:hAnsi="Arial" w:cs="Arial"/>
          <w:lang w:val="en-GB"/>
        </w:rPr>
        <w:tab/>
        <w:t>N.P. Singh, M.T. McCoy, R.R. Tice, E.L. Schneider, A simple technique for quantitation of low levels of DNA damage in individual cells, Exp. Cell Res. 175 (1988) 184–191. doi:10.1016/0014-4827(88)90265-0.</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[23]</w:t>
      </w:r>
      <w:r w:rsidRPr="002D1ED7">
        <w:rPr>
          <w:rFonts w:ascii="Arial" w:hAnsi="Arial" w:cs="Arial"/>
          <w:lang w:val="en-GB"/>
        </w:rPr>
        <w:tab/>
        <w:t>K. Wischermann, S. Popp, S. Moshir, K. Scharfetter-Kochanek, M. Wlaschek, F. de Gruijl, W. Hartschuh, R. Greinert, B. Volkmer,  a Faust,  a Rapp, P. Schmezer, P. Boukamp, UVA radiation causes DNA strand breaks, chromosomal aberrations and tumorigenic transformation in HaCaT skin keratinocytes, Oncogene. 27 (2008) 4269–4280. doi:10.1038/onc.2008.70.</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[24]</w:t>
      </w:r>
      <w:r w:rsidRPr="002D1ED7">
        <w:rPr>
          <w:rFonts w:ascii="Arial" w:hAnsi="Arial" w:cs="Arial"/>
          <w:lang w:val="en-GB"/>
        </w:rPr>
        <w:tab/>
        <w:t>H. Wang, J.A. Joseph, Quantifying cellular oxidative stress by dichlorofluorescein assay using microplate reader, Free Radic. Biol. Med. 27 (1999) 612–616. doi:10.1016/S0891-5849(99)00107-0.</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[25]</w:t>
      </w:r>
      <w:r w:rsidRPr="002D1ED7">
        <w:rPr>
          <w:rFonts w:ascii="Arial" w:hAnsi="Arial" w:cs="Arial"/>
          <w:lang w:val="en-GB"/>
        </w:rPr>
        <w:tab/>
        <w:t>J.S. Carroll, C.J. Ku, W. Karunarathne, D.M. Spence, Red blood cell stimulation of platelet nitric oxide production indicated by quantitative monitoring of the communication between cells in the bloodstream, Anal. Chem. (2007). doi:10.1021/ac0706271.</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[26]</w:t>
      </w:r>
      <w:r w:rsidRPr="002D1ED7">
        <w:rPr>
          <w:rFonts w:ascii="Arial" w:hAnsi="Arial" w:cs="Arial"/>
          <w:lang w:val="en-GB"/>
        </w:rPr>
        <w:tab/>
        <w:t>R.J. Lowry Oliver, Randall, Protein measurement with the Folin phenol reagent, Readings. 193 (1951) 265–275. doi:10.1016/0304-3894(92)87011-4.</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[27]</w:t>
      </w:r>
      <w:r w:rsidRPr="002D1ED7">
        <w:rPr>
          <w:rFonts w:ascii="Arial" w:hAnsi="Arial" w:cs="Arial"/>
          <w:lang w:val="en-GB"/>
        </w:rPr>
        <w:tab/>
        <w:t>C. Alves, C. Gonçalves, A.P. Fernandes, L. Tarelho, C. Pio, Fireplace and woodstove fine particle emissions from combustion of western Mediterranean wood types, Atmos. Res. 101 (2011) 692–700. doi:10.1016/j.atmosres.2011.04.015.</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[28]</w:t>
      </w:r>
      <w:r w:rsidRPr="002D1ED7">
        <w:rPr>
          <w:rFonts w:ascii="Arial" w:hAnsi="Arial" w:cs="Arial"/>
          <w:lang w:val="en-GB"/>
        </w:rPr>
        <w:tab/>
        <w:t>B. Vu, C.A. Alves, C. Gonçalves, C. Pio, F. Gonçalves, R. Pereira, Mutagenicity assessment of aerosols in emissions from wood combustion in Portugal, Environ. Pollut. 166 (2012) 172–181. doi:10.1016/j.envpol.2012.03.005.</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[29]</w:t>
      </w:r>
      <w:r w:rsidRPr="002D1ED7">
        <w:rPr>
          <w:rFonts w:ascii="Arial" w:hAnsi="Arial" w:cs="Arial"/>
          <w:lang w:val="en-GB"/>
        </w:rPr>
        <w:tab/>
        <w:t>S. Barillet, M.-L. Jugan, M. Laye, Y. Leconte, N. Herlin-Boime, C. Reynaud, M. Carrière, In vitro evaluation of SiC nanoparticles impact on A549 pulmonary cells: cyto-, genotoxicity and oxidative stress, Toxicol. Lett. 198 (2010) 324–30. doi:10.1016/j.toxlet.2010.07.009.</w:t>
      </w:r>
    </w:p>
    <w:p w:rsidR="001805E5" w:rsidRPr="002D1ED7" w:rsidRDefault="001805E5" w:rsidP="00ED35D3">
      <w:pPr>
        <w:autoSpaceDE w:val="0"/>
        <w:autoSpaceDN w:val="0"/>
        <w:adjustRightInd w:val="0"/>
        <w:ind w:left="640" w:hanging="640"/>
        <w:rPr>
          <w:rFonts w:ascii="Arial" w:hAnsi="Arial" w:cs="Arial"/>
          <w:lang w:val="en-GB"/>
        </w:rPr>
      </w:pPr>
      <w:r w:rsidRPr="002D1ED7">
        <w:rPr>
          <w:rFonts w:ascii="Arial" w:hAnsi="Arial" w:cs="Arial"/>
          <w:lang w:val="en-GB"/>
        </w:rPr>
        <w:t>[30]</w:t>
      </w:r>
      <w:r w:rsidRPr="002D1ED7">
        <w:rPr>
          <w:rFonts w:ascii="Arial" w:hAnsi="Arial" w:cs="Arial"/>
          <w:lang w:val="en-GB"/>
        </w:rPr>
        <w:tab/>
        <w:t>S.H. Hamad, J.J. Schauer, D.S. Antkiewicz, M.M. Shafer, A.K.H. Kadhim, ROS production and gene expression in alveolar macrophages exposed to PM2.5 from Baghdad, Iraq: Seasonal trends and impact of chemical composition, Sci. Total Environ. 543 (2016) 739–745. doi:10.1016/j.scitotenv.2015.11.065.</w:t>
      </w:r>
    </w:p>
    <w:p w:rsidR="001805E5" w:rsidRPr="002D1ED7" w:rsidRDefault="001805E5" w:rsidP="002D1ED7">
      <w:pPr>
        <w:autoSpaceDE w:val="0"/>
        <w:autoSpaceDN w:val="0"/>
        <w:adjustRightInd w:val="0"/>
        <w:ind w:left="640" w:hanging="640"/>
        <w:rPr>
          <w:rFonts w:ascii="Arial" w:hAnsi="Arial" w:cs="Arial"/>
          <w:lang w:val="en-GB"/>
        </w:rPr>
      </w:pPr>
      <w:r w:rsidRPr="002D1ED7">
        <w:rPr>
          <w:rFonts w:ascii="Arial" w:hAnsi="Arial" w:cs="Arial"/>
          <w:lang w:val="en-GB"/>
        </w:rPr>
        <w:t>[31]</w:t>
      </w:r>
      <w:r w:rsidRPr="002D1ED7">
        <w:rPr>
          <w:rFonts w:ascii="Arial" w:hAnsi="Arial" w:cs="Arial"/>
          <w:lang w:val="en-GB"/>
        </w:rPr>
        <w:tab/>
        <w:t>A. Saffari, N. Daher, M.M. Shafer, J.J. Schauer, C. Sioutas, Seasonal and spatial variation of trace elements and metals in quasi-ultrafine (PM0.25) particles in the Los Angeles metropolitan area and characterization of their sources, Environ. Pollut. 181 (2013) 14–23. doi:10.1016/j.envpol.2013.06.001.</w:t>
      </w:r>
    </w:p>
    <w:p w:rsidR="001805E5" w:rsidRPr="002D1ED7" w:rsidRDefault="001805E5" w:rsidP="002D1ED7">
      <w:pPr>
        <w:autoSpaceDE w:val="0"/>
        <w:autoSpaceDN w:val="0"/>
        <w:adjustRightInd w:val="0"/>
        <w:ind w:left="640" w:hanging="640"/>
        <w:rPr>
          <w:rFonts w:ascii="Arial" w:hAnsi="Arial" w:cs="Arial"/>
          <w:lang w:val="en-GB"/>
        </w:rPr>
      </w:pPr>
      <w:r w:rsidRPr="002D1ED7">
        <w:rPr>
          <w:rFonts w:ascii="Arial" w:hAnsi="Arial" w:cs="Arial"/>
          <w:lang w:val="en-GB"/>
        </w:rPr>
        <w:t>[32]</w:t>
      </w:r>
      <w:r w:rsidRPr="002D1ED7">
        <w:rPr>
          <w:rFonts w:ascii="Arial" w:hAnsi="Arial" w:cs="Arial"/>
          <w:lang w:val="en-GB"/>
        </w:rPr>
        <w:tab/>
        <w:t>J.-H. Park, D. Mangal, K.A. Tacka, A.M. Quinn, R.G. Harvey, I.A. Blair, T.M. Penning, Evidence for the aldo-keto reductase pathway of polycyclic aromatic trans-dihydrodiol activation in human lung A549 cells, Proc. Natl. Acad. Sci. U. S. A. 105 (2008) 6846–51. doi:10.1073/pnas.0802776105</w:t>
      </w:r>
    </w:p>
    <w:p w:rsidR="001805E5" w:rsidRPr="00A97F7E" w:rsidRDefault="001805E5" w:rsidP="005F00A6">
      <w:pPr>
        <w:autoSpaceDE w:val="0"/>
        <w:autoSpaceDN w:val="0"/>
        <w:adjustRightInd w:val="0"/>
        <w:ind w:left="640" w:hanging="640"/>
        <w:rPr>
          <w:rFonts w:ascii="Arial" w:hAnsi="Arial" w:cs="Arial"/>
          <w:noProof/>
          <w:lang w:val="en-GB"/>
        </w:rPr>
      </w:pPr>
      <w:r w:rsidRPr="002D1ED7">
        <w:rPr>
          <w:rFonts w:ascii="Arial" w:hAnsi="Arial" w:cs="Arial"/>
          <w:noProof/>
          <w:lang w:val="en-GB"/>
        </w:rPr>
        <w:t>[33]</w:t>
      </w:r>
      <w:r w:rsidRPr="002D1ED7">
        <w:rPr>
          <w:rFonts w:ascii="Arial" w:hAnsi="Arial" w:cs="Arial"/>
          <w:noProof/>
          <w:lang w:val="en-GB"/>
        </w:rPr>
        <w:tab/>
        <w:t>Z. Andrysik, J. Vondracek, S. Marvanova, M. Ciganek, J. Neca, K. Pencikova, B. Mahadevan, J.Topinka, W.M. BairdA. Kozubik, M. Machala, Activation of the aryl hydrocarbon receptor is the major toxic mode of action of an organic extract of a reference urban dust particulate matter mixture: The role of polycyclic aromatic hydrocarbons, Mutat. Res. 714 (2011) 53-62.</w:t>
      </w:r>
    </w:p>
    <w:p w:rsidR="001805E5" w:rsidRPr="005F00A6" w:rsidRDefault="001805E5" w:rsidP="00FC7A6E">
      <w:pPr>
        <w:jc w:val="both"/>
        <w:rPr>
          <w:lang w:val="en-GB"/>
        </w:rPr>
      </w:pPr>
    </w:p>
    <w:sectPr w:rsidR="001805E5" w:rsidRPr="005F00A6" w:rsidSect="00346D24">
      <w:foot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05E5" w:rsidRDefault="001805E5" w:rsidP="00115EC8">
      <w:r>
        <w:separator/>
      </w:r>
    </w:p>
  </w:endnote>
  <w:endnote w:type="continuationSeparator" w:id="0">
    <w:p w:rsidR="001805E5" w:rsidRDefault="001805E5" w:rsidP="00115EC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Segoe UI">
    <w:panose1 w:val="020B0502040204020203"/>
    <w:charset w:val="00"/>
    <w:family w:val="swiss"/>
    <w:pitch w:val="variable"/>
    <w:sig w:usb0="E00022FF" w:usb1="C000205B" w:usb2="00000009" w:usb3="00000000" w:csb0="000001DF" w:csb1="00000000"/>
  </w:font>
  <w:font w:name="Arial">
    <w:panose1 w:val="020B0604020202020204"/>
    <w:charset w:val="00"/>
    <w:family w:val="swiss"/>
    <w:pitch w:val="variable"/>
    <w:sig w:usb0="20002A87" w:usb1="80000000" w:usb2="00000008" w:usb3="00000000" w:csb0="000001FF" w:csb1="00000000"/>
  </w:font>
  <w:font w:name="WP MultinationalA Courier">
    <w:altName w:val="Symbol"/>
    <w:panose1 w:val="00000000000000000000"/>
    <w:charset w:val="02"/>
    <w:family w:val="modern"/>
    <w:notTrueType/>
    <w:pitch w:val="fixed"/>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05E5" w:rsidRDefault="001805E5">
    <w:pPr>
      <w:pStyle w:val="Footer"/>
      <w:jc w:val="right"/>
    </w:pPr>
    <w:fldSimple w:instr="PAGE   \* MERGEFORMAT">
      <w:r>
        <w:rPr>
          <w:noProof/>
        </w:rPr>
        <w:t>14</w:t>
      </w:r>
    </w:fldSimple>
  </w:p>
  <w:p w:rsidR="001805E5" w:rsidRDefault="001805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05E5" w:rsidRDefault="001805E5" w:rsidP="00115EC8">
      <w:r>
        <w:separator/>
      </w:r>
    </w:p>
  </w:footnote>
  <w:footnote w:type="continuationSeparator" w:id="0">
    <w:p w:rsidR="001805E5" w:rsidRDefault="001805E5" w:rsidP="00115EC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AF0797"/>
    <w:multiLevelType w:val="hybridMultilevel"/>
    <w:tmpl w:val="9F8417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47EC59BB"/>
    <w:multiLevelType w:val="hybridMultilevel"/>
    <w:tmpl w:val="7376EE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55480531"/>
    <w:multiLevelType w:val="hybridMultilevel"/>
    <w:tmpl w:val="9A60BA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752A19CC"/>
    <w:multiLevelType w:val="hybridMultilevel"/>
    <w:tmpl w:val="8E26D026"/>
    <w:lvl w:ilvl="0" w:tplc="757EF8C0">
      <w:start w:val="1"/>
      <w:numFmt w:val="decimal"/>
      <w:lvlText w:val="%1."/>
      <w:lvlJc w:val="left"/>
      <w:pPr>
        <w:ind w:left="720" w:hanging="360"/>
      </w:pPr>
      <w:rPr>
        <w:rFonts w:cs="Times New Roman"/>
        <w:b/>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56553"/>
    <w:rsid w:val="000026ED"/>
    <w:rsid w:val="000029D3"/>
    <w:rsid w:val="00002C3C"/>
    <w:rsid w:val="000031E3"/>
    <w:rsid w:val="0000622C"/>
    <w:rsid w:val="00012D75"/>
    <w:rsid w:val="000251D5"/>
    <w:rsid w:val="00033F42"/>
    <w:rsid w:val="00037B23"/>
    <w:rsid w:val="00056544"/>
    <w:rsid w:val="00076CE6"/>
    <w:rsid w:val="000829FA"/>
    <w:rsid w:val="00091A69"/>
    <w:rsid w:val="000D6A0C"/>
    <w:rsid w:val="000D6C0F"/>
    <w:rsid w:val="000F1251"/>
    <w:rsid w:val="000F47F6"/>
    <w:rsid w:val="0010726A"/>
    <w:rsid w:val="00115EC8"/>
    <w:rsid w:val="0013325E"/>
    <w:rsid w:val="00140A75"/>
    <w:rsid w:val="0015581C"/>
    <w:rsid w:val="0016424E"/>
    <w:rsid w:val="001805E5"/>
    <w:rsid w:val="00185BD8"/>
    <w:rsid w:val="00195C53"/>
    <w:rsid w:val="001A4503"/>
    <w:rsid w:val="001D2E71"/>
    <w:rsid w:val="001D3011"/>
    <w:rsid w:val="001D5BE1"/>
    <w:rsid w:val="001E0729"/>
    <w:rsid w:val="001E7B68"/>
    <w:rsid w:val="00201A64"/>
    <w:rsid w:val="00217543"/>
    <w:rsid w:val="00232EFA"/>
    <w:rsid w:val="00237BB8"/>
    <w:rsid w:val="00247EF2"/>
    <w:rsid w:val="0025445B"/>
    <w:rsid w:val="00256329"/>
    <w:rsid w:val="0026082D"/>
    <w:rsid w:val="00282C46"/>
    <w:rsid w:val="002978C9"/>
    <w:rsid w:val="002A229C"/>
    <w:rsid w:val="002A7873"/>
    <w:rsid w:val="002B6FBD"/>
    <w:rsid w:val="002C275F"/>
    <w:rsid w:val="002C59F1"/>
    <w:rsid w:val="002D1ED7"/>
    <w:rsid w:val="002D3818"/>
    <w:rsid w:val="002F1229"/>
    <w:rsid w:val="00327CBA"/>
    <w:rsid w:val="003300C2"/>
    <w:rsid w:val="00332C08"/>
    <w:rsid w:val="00336A66"/>
    <w:rsid w:val="00346D24"/>
    <w:rsid w:val="00366AFA"/>
    <w:rsid w:val="00366F30"/>
    <w:rsid w:val="00367007"/>
    <w:rsid w:val="00367D63"/>
    <w:rsid w:val="00375879"/>
    <w:rsid w:val="00376CFF"/>
    <w:rsid w:val="003813AD"/>
    <w:rsid w:val="003838F7"/>
    <w:rsid w:val="003A02FD"/>
    <w:rsid w:val="003A09DA"/>
    <w:rsid w:val="003A1113"/>
    <w:rsid w:val="003A1803"/>
    <w:rsid w:val="003A20BB"/>
    <w:rsid w:val="003B1479"/>
    <w:rsid w:val="003B3F07"/>
    <w:rsid w:val="003B4887"/>
    <w:rsid w:val="003D1D13"/>
    <w:rsid w:val="003E26C1"/>
    <w:rsid w:val="003F3F92"/>
    <w:rsid w:val="0040412E"/>
    <w:rsid w:val="00404F6D"/>
    <w:rsid w:val="004076BF"/>
    <w:rsid w:val="00407D87"/>
    <w:rsid w:val="00434420"/>
    <w:rsid w:val="00434E0B"/>
    <w:rsid w:val="0044029C"/>
    <w:rsid w:val="00452A21"/>
    <w:rsid w:val="0045739A"/>
    <w:rsid w:val="00467946"/>
    <w:rsid w:val="0047089F"/>
    <w:rsid w:val="00470A79"/>
    <w:rsid w:val="004726DF"/>
    <w:rsid w:val="00473EF2"/>
    <w:rsid w:val="00477393"/>
    <w:rsid w:val="004879ED"/>
    <w:rsid w:val="00491C13"/>
    <w:rsid w:val="0049539D"/>
    <w:rsid w:val="004A3973"/>
    <w:rsid w:val="004A73B7"/>
    <w:rsid w:val="004C0A3A"/>
    <w:rsid w:val="004C2668"/>
    <w:rsid w:val="004D09BE"/>
    <w:rsid w:val="004D0E9F"/>
    <w:rsid w:val="004F19A6"/>
    <w:rsid w:val="005039E8"/>
    <w:rsid w:val="00503F95"/>
    <w:rsid w:val="0051119B"/>
    <w:rsid w:val="00520028"/>
    <w:rsid w:val="00540B65"/>
    <w:rsid w:val="00546CD4"/>
    <w:rsid w:val="00547EA6"/>
    <w:rsid w:val="0055580C"/>
    <w:rsid w:val="0058668F"/>
    <w:rsid w:val="005867C8"/>
    <w:rsid w:val="00592C8D"/>
    <w:rsid w:val="00593D0E"/>
    <w:rsid w:val="00594CC5"/>
    <w:rsid w:val="00597B20"/>
    <w:rsid w:val="005A261E"/>
    <w:rsid w:val="005A563B"/>
    <w:rsid w:val="005B6941"/>
    <w:rsid w:val="005C52C7"/>
    <w:rsid w:val="005C67F8"/>
    <w:rsid w:val="005E136B"/>
    <w:rsid w:val="005E137E"/>
    <w:rsid w:val="005F00A6"/>
    <w:rsid w:val="005F3086"/>
    <w:rsid w:val="0060650F"/>
    <w:rsid w:val="0061111A"/>
    <w:rsid w:val="00612564"/>
    <w:rsid w:val="00612FD2"/>
    <w:rsid w:val="006213F4"/>
    <w:rsid w:val="0062309E"/>
    <w:rsid w:val="006263D1"/>
    <w:rsid w:val="006463EB"/>
    <w:rsid w:val="00647CF1"/>
    <w:rsid w:val="00667AAA"/>
    <w:rsid w:val="006A6527"/>
    <w:rsid w:val="006B1A8C"/>
    <w:rsid w:val="006B7EC6"/>
    <w:rsid w:val="006C24CE"/>
    <w:rsid w:val="006D0DD5"/>
    <w:rsid w:val="006D12B0"/>
    <w:rsid w:val="0070092B"/>
    <w:rsid w:val="00704D88"/>
    <w:rsid w:val="0070684C"/>
    <w:rsid w:val="00712410"/>
    <w:rsid w:val="00732ACC"/>
    <w:rsid w:val="007362EA"/>
    <w:rsid w:val="00745957"/>
    <w:rsid w:val="00746F66"/>
    <w:rsid w:val="007657B8"/>
    <w:rsid w:val="00774BCE"/>
    <w:rsid w:val="007761C8"/>
    <w:rsid w:val="00776590"/>
    <w:rsid w:val="00776E44"/>
    <w:rsid w:val="007E62F4"/>
    <w:rsid w:val="007E706F"/>
    <w:rsid w:val="00812FFF"/>
    <w:rsid w:val="00823287"/>
    <w:rsid w:val="00832244"/>
    <w:rsid w:val="00841315"/>
    <w:rsid w:val="0085081C"/>
    <w:rsid w:val="008601D3"/>
    <w:rsid w:val="00862B58"/>
    <w:rsid w:val="008677DF"/>
    <w:rsid w:val="00872C45"/>
    <w:rsid w:val="00877740"/>
    <w:rsid w:val="008839F4"/>
    <w:rsid w:val="00884717"/>
    <w:rsid w:val="008965D6"/>
    <w:rsid w:val="008968A3"/>
    <w:rsid w:val="00896AEE"/>
    <w:rsid w:val="008A051D"/>
    <w:rsid w:val="008A23E0"/>
    <w:rsid w:val="008B145C"/>
    <w:rsid w:val="008C0A99"/>
    <w:rsid w:val="008C7863"/>
    <w:rsid w:val="008E194C"/>
    <w:rsid w:val="008E2989"/>
    <w:rsid w:val="008F1BD9"/>
    <w:rsid w:val="00902DFB"/>
    <w:rsid w:val="00926EBA"/>
    <w:rsid w:val="0094113B"/>
    <w:rsid w:val="009500B3"/>
    <w:rsid w:val="00954AE8"/>
    <w:rsid w:val="00956553"/>
    <w:rsid w:val="00957643"/>
    <w:rsid w:val="00957752"/>
    <w:rsid w:val="00973B3C"/>
    <w:rsid w:val="009775C5"/>
    <w:rsid w:val="00977BED"/>
    <w:rsid w:val="00980C31"/>
    <w:rsid w:val="009A6698"/>
    <w:rsid w:val="009B05B3"/>
    <w:rsid w:val="009C0DB9"/>
    <w:rsid w:val="009C25EA"/>
    <w:rsid w:val="009C526E"/>
    <w:rsid w:val="009D3229"/>
    <w:rsid w:val="009F6F16"/>
    <w:rsid w:val="00A011E9"/>
    <w:rsid w:val="00A02DE1"/>
    <w:rsid w:val="00A20A3C"/>
    <w:rsid w:val="00A24070"/>
    <w:rsid w:val="00A309E6"/>
    <w:rsid w:val="00A31FE3"/>
    <w:rsid w:val="00A351C6"/>
    <w:rsid w:val="00A4676F"/>
    <w:rsid w:val="00A47784"/>
    <w:rsid w:val="00A507C0"/>
    <w:rsid w:val="00A50A36"/>
    <w:rsid w:val="00A5783A"/>
    <w:rsid w:val="00A672E7"/>
    <w:rsid w:val="00A71CB9"/>
    <w:rsid w:val="00A759C9"/>
    <w:rsid w:val="00A85A54"/>
    <w:rsid w:val="00A9042A"/>
    <w:rsid w:val="00A9162D"/>
    <w:rsid w:val="00A97F7E"/>
    <w:rsid w:val="00AB6365"/>
    <w:rsid w:val="00AC3817"/>
    <w:rsid w:val="00AD0A19"/>
    <w:rsid w:val="00AD2B78"/>
    <w:rsid w:val="00AE726E"/>
    <w:rsid w:val="00AF02CB"/>
    <w:rsid w:val="00AF29D6"/>
    <w:rsid w:val="00AF3FA8"/>
    <w:rsid w:val="00AF40D4"/>
    <w:rsid w:val="00AF4DD0"/>
    <w:rsid w:val="00AF6004"/>
    <w:rsid w:val="00B05B1E"/>
    <w:rsid w:val="00B1184B"/>
    <w:rsid w:val="00B14927"/>
    <w:rsid w:val="00B1580B"/>
    <w:rsid w:val="00B16B4B"/>
    <w:rsid w:val="00B226A2"/>
    <w:rsid w:val="00B23610"/>
    <w:rsid w:val="00B2474A"/>
    <w:rsid w:val="00B26031"/>
    <w:rsid w:val="00B33F69"/>
    <w:rsid w:val="00B40BE7"/>
    <w:rsid w:val="00B50051"/>
    <w:rsid w:val="00B67A33"/>
    <w:rsid w:val="00B77024"/>
    <w:rsid w:val="00B85105"/>
    <w:rsid w:val="00B91307"/>
    <w:rsid w:val="00B927E2"/>
    <w:rsid w:val="00BA05EE"/>
    <w:rsid w:val="00BA16DF"/>
    <w:rsid w:val="00BA568E"/>
    <w:rsid w:val="00BB1C2D"/>
    <w:rsid w:val="00BB6416"/>
    <w:rsid w:val="00BB6719"/>
    <w:rsid w:val="00BC7059"/>
    <w:rsid w:val="00BD615E"/>
    <w:rsid w:val="00BE37C8"/>
    <w:rsid w:val="00C22838"/>
    <w:rsid w:val="00C22D24"/>
    <w:rsid w:val="00C54D68"/>
    <w:rsid w:val="00C661AD"/>
    <w:rsid w:val="00C82473"/>
    <w:rsid w:val="00C853A9"/>
    <w:rsid w:val="00C915CB"/>
    <w:rsid w:val="00CA092D"/>
    <w:rsid w:val="00CB260C"/>
    <w:rsid w:val="00CB54A4"/>
    <w:rsid w:val="00CB5EE7"/>
    <w:rsid w:val="00CC1C0C"/>
    <w:rsid w:val="00CC254D"/>
    <w:rsid w:val="00CD72B3"/>
    <w:rsid w:val="00CE2055"/>
    <w:rsid w:val="00CE74AC"/>
    <w:rsid w:val="00CF1316"/>
    <w:rsid w:val="00CF52E6"/>
    <w:rsid w:val="00CF55EF"/>
    <w:rsid w:val="00CF595C"/>
    <w:rsid w:val="00D111AB"/>
    <w:rsid w:val="00D12DA7"/>
    <w:rsid w:val="00D15FCB"/>
    <w:rsid w:val="00D301A2"/>
    <w:rsid w:val="00D37F32"/>
    <w:rsid w:val="00D50E73"/>
    <w:rsid w:val="00D5661C"/>
    <w:rsid w:val="00D8115A"/>
    <w:rsid w:val="00D91EEB"/>
    <w:rsid w:val="00D95E40"/>
    <w:rsid w:val="00D974F1"/>
    <w:rsid w:val="00DA04A1"/>
    <w:rsid w:val="00DA7537"/>
    <w:rsid w:val="00DB17F5"/>
    <w:rsid w:val="00DC0286"/>
    <w:rsid w:val="00DC459C"/>
    <w:rsid w:val="00DD496D"/>
    <w:rsid w:val="00DE7774"/>
    <w:rsid w:val="00DE7B44"/>
    <w:rsid w:val="00DF46AB"/>
    <w:rsid w:val="00E008D9"/>
    <w:rsid w:val="00E05256"/>
    <w:rsid w:val="00E108B4"/>
    <w:rsid w:val="00E2709C"/>
    <w:rsid w:val="00E2760A"/>
    <w:rsid w:val="00E31BAC"/>
    <w:rsid w:val="00E52E68"/>
    <w:rsid w:val="00E7344A"/>
    <w:rsid w:val="00E85BCC"/>
    <w:rsid w:val="00E93B46"/>
    <w:rsid w:val="00E95303"/>
    <w:rsid w:val="00E954DC"/>
    <w:rsid w:val="00EA1DD4"/>
    <w:rsid w:val="00EC2843"/>
    <w:rsid w:val="00ED35D3"/>
    <w:rsid w:val="00EF1E7F"/>
    <w:rsid w:val="00F139C5"/>
    <w:rsid w:val="00F4284D"/>
    <w:rsid w:val="00F44B9D"/>
    <w:rsid w:val="00F53DC8"/>
    <w:rsid w:val="00F5590A"/>
    <w:rsid w:val="00F64D5D"/>
    <w:rsid w:val="00F65054"/>
    <w:rsid w:val="00F67D0C"/>
    <w:rsid w:val="00F7205A"/>
    <w:rsid w:val="00FA42EB"/>
    <w:rsid w:val="00FB28DD"/>
    <w:rsid w:val="00FC7A6E"/>
    <w:rsid w:val="00FC7CBA"/>
    <w:rsid w:val="00FD2B94"/>
    <w:rsid w:val="00FD682B"/>
    <w:rsid w:val="00FE4C8B"/>
    <w:rsid w:val="00FF6CF7"/>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lace"/>
  <w:smartTagType w:namespaceuri="urn:schemas-microsoft-com:office:smarttags" w:name="country-region"/>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553"/>
    <w:pPr>
      <w:widowControl w:val="0"/>
      <w:suppressAutoHyphens/>
    </w:pPr>
    <w:rPr>
      <w:rFonts w:ascii="Times New Roman" w:eastAsia="SimSun" w:hAnsi="Times New Roman" w:cs="Mangal"/>
      <w:kern w:val="2"/>
      <w:sz w:val="24"/>
      <w:szCs w:val="24"/>
      <w:lang w:eastAsia="hi-IN" w:bidi="hi-I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horttext">
    <w:name w:val="short_text"/>
    <w:basedOn w:val="DefaultParagraphFont"/>
    <w:uiPriority w:val="99"/>
    <w:rsid w:val="00956553"/>
    <w:rPr>
      <w:rFonts w:cs="Times New Roman"/>
    </w:rPr>
  </w:style>
  <w:style w:type="paragraph" w:styleId="CommentText">
    <w:name w:val="annotation text"/>
    <w:basedOn w:val="Normal"/>
    <w:link w:val="CommentTextChar"/>
    <w:uiPriority w:val="99"/>
    <w:semiHidden/>
    <w:rsid w:val="001E7B68"/>
    <w:rPr>
      <w:sz w:val="20"/>
      <w:szCs w:val="18"/>
    </w:rPr>
  </w:style>
  <w:style w:type="character" w:customStyle="1" w:styleId="CommentTextChar">
    <w:name w:val="Comment Text Char"/>
    <w:basedOn w:val="DefaultParagraphFont"/>
    <w:link w:val="CommentText"/>
    <w:uiPriority w:val="99"/>
    <w:semiHidden/>
    <w:locked/>
    <w:rsid w:val="001E7B68"/>
    <w:rPr>
      <w:rFonts w:ascii="Times New Roman" w:eastAsia="SimSun" w:hAnsi="Times New Roman" w:cs="Mangal"/>
      <w:kern w:val="2"/>
      <w:sz w:val="18"/>
      <w:szCs w:val="18"/>
      <w:lang w:eastAsia="hi-IN" w:bidi="hi-IN"/>
    </w:rPr>
  </w:style>
  <w:style w:type="character" w:styleId="CommentReference">
    <w:name w:val="annotation reference"/>
    <w:basedOn w:val="DefaultParagraphFont"/>
    <w:uiPriority w:val="99"/>
    <w:semiHidden/>
    <w:rsid w:val="001E7B68"/>
    <w:rPr>
      <w:rFonts w:cs="Times New Roman"/>
      <w:sz w:val="16"/>
      <w:szCs w:val="16"/>
    </w:rPr>
  </w:style>
  <w:style w:type="paragraph" w:styleId="ListParagraph">
    <w:name w:val="List Paragraph"/>
    <w:basedOn w:val="Normal"/>
    <w:uiPriority w:val="99"/>
    <w:qFormat/>
    <w:rsid w:val="00CC254D"/>
    <w:pPr>
      <w:ind w:left="720"/>
      <w:contextualSpacing/>
    </w:pPr>
    <w:rPr>
      <w:szCs w:val="21"/>
    </w:rPr>
  </w:style>
  <w:style w:type="paragraph" w:styleId="BalloonText">
    <w:name w:val="Balloon Text"/>
    <w:basedOn w:val="Normal"/>
    <w:link w:val="BalloonTextChar"/>
    <w:uiPriority w:val="99"/>
    <w:semiHidden/>
    <w:rsid w:val="00C853A9"/>
    <w:rPr>
      <w:rFonts w:ascii="Segoe UI" w:hAnsi="Segoe UI"/>
      <w:sz w:val="18"/>
      <w:szCs w:val="16"/>
    </w:rPr>
  </w:style>
  <w:style w:type="character" w:customStyle="1" w:styleId="BalloonTextChar">
    <w:name w:val="Balloon Text Char"/>
    <w:basedOn w:val="DefaultParagraphFont"/>
    <w:link w:val="BalloonText"/>
    <w:uiPriority w:val="99"/>
    <w:semiHidden/>
    <w:locked/>
    <w:rsid w:val="00C853A9"/>
    <w:rPr>
      <w:rFonts w:ascii="Segoe UI" w:eastAsia="SimSun" w:hAnsi="Segoe UI" w:cs="Mangal"/>
      <w:kern w:val="2"/>
      <w:sz w:val="16"/>
      <w:szCs w:val="16"/>
      <w:lang w:eastAsia="hi-IN" w:bidi="hi-IN"/>
    </w:rPr>
  </w:style>
  <w:style w:type="paragraph" w:styleId="CommentSubject">
    <w:name w:val="annotation subject"/>
    <w:basedOn w:val="CommentText"/>
    <w:next w:val="CommentText"/>
    <w:link w:val="CommentSubjectChar"/>
    <w:uiPriority w:val="99"/>
    <w:semiHidden/>
    <w:rsid w:val="003B4887"/>
    <w:rPr>
      <w:b/>
      <w:bCs/>
    </w:rPr>
  </w:style>
  <w:style w:type="character" w:customStyle="1" w:styleId="CommentSubjectChar">
    <w:name w:val="Comment Subject Char"/>
    <w:basedOn w:val="CommentTextChar"/>
    <w:link w:val="CommentSubject"/>
    <w:uiPriority w:val="99"/>
    <w:semiHidden/>
    <w:locked/>
    <w:rsid w:val="003B4887"/>
    <w:rPr>
      <w:b/>
      <w:bCs/>
    </w:rPr>
  </w:style>
  <w:style w:type="paragraph" w:styleId="Revision">
    <w:name w:val="Revision"/>
    <w:hidden/>
    <w:uiPriority w:val="99"/>
    <w:semiHidden/>
    <w:rsid w:val="009B05B3"/>
    <w:rPr>
      <w:rFonts w:ascii="Times New Roman" w:eastAsia="SimSun" w:hAnsi="Times New Roman" w:cs="Mangal"/>
      <w:kern w:val="2"/>
      <w:sz w:val="24"/>
      <w:szCs w:val="21"/>
      <w:lang w:eastAsia="hi-IN" w:bidi="hi-IN"/>
    </w:rPr>
  </w:style>
  <w:style w:type="paragraph" w:styleId="Header">
    <w:name w:val="header"/>
    <w:basedOn w:val="Normal"/>
    <w:link w:val="HeaderChar"/>
    <w:uiPriority w:val="99"/>
    <w:rsid w:val="00115EC8"/>
    <w:pPr>
      <w:tabs>
        <w:tab w:val="center" w:pos="4819"/>
        <w:tab w:val="right" w:pos="9638"/>
      </w:tabs>
    </w:pPr>
    <w:rPr>
      <w:szCs w:val="21"/>
    </w:rPr>
  </w:style>
  <w:style w:type="character" w:customStyle="1" w:styleId="HeaderChar">
    <w:name w:val="Header Char"/>
    <w:basedOn w:val="DefaultParagraphFont"/>
    <w:link w:val="Header"/>
    <w:uiPriority w:val="99"/>
    <w:locked/>
    <w:rsid w:val="00115EC8"/>
    <w:rPr>
      <w:rFonts w:ascii="Times New Roman" w:eastAsia="SimSun" w:hAnsi="Times New Roman" w:cs="Mangal"/>
      <w:kern w:val="2"/>
      <w:sz w:val="21"/>
      <w:szCs w:val="21"/>
      <w:lang w:eastAsia="hi-IN" w:bidi="hi-IN"/>
    </w:rPr>
  </w:style>
  <w:style w:type="paragraph" w:styleId="Footer">
    <w:name w:val="footer"/>
    <w:basedOn w:val="Normal"/>
    <w:link w:val="FooterChar"/>
    <w:uiPriority w:val="99"/>
    <w:rsid w:val="00115EC8"/>
    <w:pPr>
      <w:tabs>
        <w:tab w:val="center" w:pos="4819"/>
        <w:tab w:val="right" w:pos="9638"/>
      </w:tabs>
    </w:pPr>
    <w:rPr>
      <w:szCs w:val="21"/>
    </w:rPr>
  </w:style>
  <w:style w:type="character" w:customStyle="1" w:styleId="FooterChar">
    <w:name w:val="Footer Char"/>
    <w:basedOn w:val="DefaultParagraphFont"/>
    <w:link w:val="Footer"/>
    <w:uiPriority w:val="99"/>
    <w:locked/>
    <w:rsid w:val="00115EC8"/>
    <w:rPr>
      <w:rFonts w:ascii="Times New Roman" w:eastAsia="SimSun" w:hAnsi="Times New Roman" w:cs="Mangal"/>
      <w:kern w:val="2"/>
      <w:sz w:val="21"/>
      <w:szCs w:val="21"/>
      <w:lang w:eastAsia="hi-IN" w:bidi="hi-IN"/>
    </w:rPr>
  </w:style>
</w:styles>
</file>

<file path=word/webSettings.xml><?xml version="1.0" encoding="utf-8"?>
<w:webSettings xmlns:r="http://schemas.openxmlformats.org/officeDocument/2006/relationships" xmlns:w="http://schemas.openxmlformats.org/wordprocessingml/2006/main">
  <w:divs>
    <w:div w:id="2039812633">
      <w:marLeft w:val="0"/>
      <w:marRight w:val="0"/>
      <w:marTop w:val="0"/>
      <w:marBottom w:val="0"/>
      <w:divBdr>
        <w:top w:val="none" w:sz="0" w:space="0" w:color="auto"/>
        <w:left w:val="none" w:sz="0" w:space="0" w:color="auto"/>
        <w:bottom w:val="none" w:sz="0" w:space="0" w:color="auto"/>
        <w:right w:val="none" w:sz="0" w:space="0" w:color="auto"/>
      </w:divBdr>
    </w:div>
    <w:div w:id="2039812634">
      <w:marLeft w:val="0"/>
      <w:marRight w:val="0"/>
      <w:marTop w:val="0"/>
      <w:marBottom w:val="0"/>
      <w:divBdr>
        <w:top w:val="none" w:sz="0" w:space="0" w:color="auto"/>
        <w:left w:val="none" w:sz="0" w:space="0" w:color="auto"/>
        <w:bottom w:val="none" w:sz="0" w:space="0" w:color="auto"/>
        <w:right w:val="none" w:sz="0" w:space="0" w:color="auto"/>
      </w:divBdr>
    </w:div>
    <w:div w:id="2039812635">
      <w:marLeft w:val="0"/>
      <w:marRight w:val="0"/>
      <w:marTop w:val="0"/>
      <w:marBottom w:val="0"/>
      <w:divBdr>
        <w:top w:val="none" w:sz="0" w:space="0" w:color="auto"/>
        <w:left w:val="none" w:sz="0" w:space="0" w:color="auto"/>
        <w:bottom w:val="none" w:sz="0" w:space="0" w:color="auto"/>
        <w:right w:val="none" w:sz="0" w:space="0" w:color="auto"/>
      </w:divBdr>
    </w:div>
    <w:div w:id="20398126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TotalTime>
  <Pages>14</Pages>
  <Words>5191</Words>
  <Characters>29591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Ultrafine particles (UFPs) from domestic wood stoves: genotoxicity in human lung carcinoma A549 cells</dc:title>
  <dc:subject/>
  <dc:creator>Marabini</dc:creator>
  <cp:keywords/>
  <dc:description/>
  <cp:lastModifiedBy>Politecnico di Milano</cp:lastModifiedBy>
  <cp:revision>2</cp:revision>
  <dcterms:created xsi:type="dcterms:W3CDTF">2017-10-06T10:28:00Z</dcterms:created>
  <dcterms:modified xsi:type="dcterms:W3CDTF">2017-10-06T10:28:00Z</dcterms:modified>
</cp:coreProperties>
</file>